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D8412">
      <w:pPr>
        <w:rPr>
          <w:rFonts w:ascii="仿宋_GB2312" w:hAnsi="仿宋_GB2312" w:eastAsia="仿宋_GB2312" w:cs="仿宋_GB2312"/>
          <w:sz w:val="36"/>
          <w:szCs w:val="36"/>
        </w:rPr>
      </w:pPr>
    </w:p>
    <w:p w14:paraId="74CBE6DA">
      <w:pPr>
        <w:rPr>
          <w:rFonts w:ascii="仿宋_GB2312" w:hAnsi="仿宋_GB2312" w:eastAsia="仿宋_GB2312" w:cs="仿宋_GB2312"/>
          <w:sz w:val="36"/>
          <w:szCs w:val="36"/>
        </w:rPr>
      </w:pPr>
    </w:p>
    <w:p w14:paraId="71CE5598">
      <w:pPr>
        <w:rPr>
          <w:rFonts w:ascii="仿宋_GB2312" w:hAnsi="仿宋_GB2312" w:eastAsia="仿宋_GB2312" w:cs="仿宋_GB2312"/>
          <w:sz w:val="36"/>
          <w:szCs w:val="36"/>
        </w:rPr>
      </w:pPr>
    </w:p>
    <w:p w14:paraId="33320430">
      <w:pPr>
        <w:rPr>
          <w:rFonts w:ascii="仿宋_GB2312" w:hAnsi="仿宋_GB2312" w:eastAsia="仿宋_GB2312" w:cs="仿宋_GB2312"/>
          <w:sz w:val="36"/>
          <w:szCs w:val="36"/>
        </w:rPr>
      </w:pPr>
    </w:p>
    <w:p w14:paraId="4DCE9FE3">
      <w:pPr>
        <w:rPr>
          <w:rFonts w:hint="eastAsia" w:ascii="仿宋_GB2312" w:hAnsi="仿宋_GB2312" w:eastAsia="仿宋_GB2312" w:cs="仿宋_GB2312"/>
          <w:sz w:val="36"/>
          <w:szCs w:val="36"/>
        </w:rPr>
      </w:pPr>
    </w:p>
    <w:p w14:paraId="75183E26">
      <w:pPr>
        <w:bidi w:val="0"/>
        <w:jc w:val="center"/>
        <w:rPr>
          <w:rFonts w:hint="eastAsia"/>
          <w:b w:val="0"/>
          <w:bCs/>
          <w:sz w:val="72"/>
          <w:szCs w:val="72"/>
        </w:rPr>
      </w:pPr>
      <w:r>
        <w:rPr>
          <w:rFonts w:hint="eastAsia" w:ascii="方正小标宋_GBK" w:eastAsia="方正小标宋_GBK"/>
          <w:b w:val="0"/>
          <w:bCs/>
          <w:sz w:val="72"/>
          <w:szCs w:val="72"/>
        </w:rPr>
        <w:t>建设项目环境影响报告表</w:t>
      </w:r>
    </w:p>
    <w:p w14:paraId="37FC38DF">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46770C47">
      <w:pPr>
        <w:adjustRightInd w:val="0"/>
        <w:snapToGrid w:val="0"/>
        <w:spacing w:line="288" w:lineRule="auto"/>
        <w:jc w:val="center"/>
        <w:outlineLvl w:val="9"/>
        <w:rPr>
          <w:rFonts w:ascii="华文仿宋" w:hAnsi="华文仿宋" w:eastAsia="华文仿宋" w:cs="华文仿宋"/>
          <w:color w:val="000000"/>
          <w:kern w:val="44"/>
          <w:sz w:val="44"/>
          <w:szCs w:val="44"/>
        </w:rPr>
      </w:pPr>
    </w:p>
    <w:p w14:paraId="252D4A29">
      <w:pPr>
        <w:jc w:val="center"/>
        <w:rPr>
          <w:rFonts w:eastAsia="仿宋"/>
          <w:sz w:val="52"/>
          <w:szCs w:val="52"/>
        </w:rPr>
      </w:pPr>
    </w:p>
    <w:p w14:paraId="0D23D932">
      <w:pPr>
        <w:ind w:firstLine="1040"/>
        <w:rPr>
          <w:rFonts w:eastAsia="仿宋"/>
          <w:sz w:val="44"/>
          <w:szCs w:val="44"/>
        </w:rPr>
      </w:pPr>
    </w:p>
    <w:p w14:paraId="3B70490B">
      <w:pPr>
        <w:ind w:firstLine="1040"/>
        <w:rPr>
          <w:rFonts w:eastAsia="仿宋"/>
          <w:sz w:val="44"/>
          <w:szCs w:val="44"/>
        </w:rPr>
      </w:pPr>
    </w:p>
    <w:p w14:paraId="5CBEA72C">
      <w:pPr>
        <w:ind w:firstLine="1040"/>
        <w:rPr>
          <w:rFonts w:eastAsia="仿宋"/>
          <w:sz w:val="44"/>
          <w:szCs w:val="44"/>
        </w:rPr>
      </w:pPr>
    </w:p>
    <w:p w14:paraId="14792259">
      <w:pPr>
        <w:ind w:firstLine="1040"/>
        <w:jc w:val="center"/>
        <w:rPr>
          <w:rFonts w:eastAsia="仿宋"/>
          <w:sz w:val="44"/>
          <w:szCs w:val="44"/>
        </w:rPr>
      </w:pPr>
      <w:r>
        <w:rPr>
          <w:rFonts w:hint="eastAsia" w:ascii="仿宋_GB2312" w:eastAsia="仿宋_GB2312"/>
          <w:b w:val="0"/>
          <w:bCs w:val="0"/>
          <w:sz w:val="36"/>
          <w:szCs w:val="36"/>
          <w:highlight w:val="none"/>
          <w:u w:val="none"/>
          <w:lang w:val="en-US" w:eastAsia="zh-CN"/>
        </w:rPr>
        <w:t xml:space="preserve">       </w:t>
      </w:r>
    </w:p>
    <w:p w14:paraId="0205FBB2">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 xml:space="preserve">      年产260套工业电</w:t>
      </w:r>
      <w:r>
        <w:rPr>
          <w:rFonts w:hint="default" w:ascii="仿宋_GB2312" w:eastAsia="仿宋_GB2312"/>
          <w:b w:val="0"/>
          <w:bCs w:val="0"/>
          <w:sz w:val="36"/>
          <w:szCs w:val="36"/>
          <w:highlight w:val="none"/>
          <w:u w:val="single"/>
          <w:lang w:val="en-US" w:eastAsia="zh-CN"/>
        </w:rPr>
        <w:t>炉</w:t>
      </w:r>
      <w:r>
        <w:rPr>
          <w:rFonts w:hint="eastAsia" w:ascii="仿宋_GB2312" w:eastAsia="仿宋_GB2312"/>
          <w:sz w:val="36"/>
          <w:szCs w:val="36"/>
          <w:u w:val="single"/>
          <w:lang w:val="en-US" w:eastAsia="zh-CN"/>
        </w:rPr>
        <w:t xml:space="preserve">项目               </w:t>
      </w:r>
      <w:r>
        <w:rPr>
          <w:rFonts w:hint="eastAsia" w:ascii="仿宋_GB2312" w:eastAsia="仿宋_GB2312"/>
          <w:sz w:val="36"/>
          <w:szCs w:val="36"/>
          <w:u w:val="single"/>
        </w:rPr>
        <w:t xml:space="preserve"> </w:t>
      </w:r>
    </w:p>
    <w:p w14:paraId="300B1BC4">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lang w:eastAsia="zh-CN"/>
        </w:rPr>
        <w:t>淮北市平祥感应炉</w:t>
      </w:r>
      <w:r>
        <w:rPr>
          <w:rFonts w:hint="eastAsia" w:ascii="仿宋_GB2312" w:eastAsia="仿宋_GB2312"/>
          <w:sz w:val="36"/>
          <w:szCs w:val="36"/>
          <w:u w:val="single"/>
          <w:lang w:val="en-US" w:eastAsia="zh-CN"/>
        </w:rPr>
        <w:t xml:space="preserve">有限公司 </w:t>
      </w:r>
      <w:r>
        <w:rPr>
          <w:rFonts w:hint="eastAsia" w:ascii="仿宋_GB2312" w:eastAsia="仿宋_GB2312"/>
          <w:sz w:val="36"/>
          <w:szCs w:val="36"/>
          <w:u w:val="single"/>
        </w:rPr>
        <w:t xml:space="preserve">  </w:t>
      </w:r>
    </w:p>
    <w:p w14:paraId="312B2674">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二〇二六年三月</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p>
    <w:p w14:paraId="1BF186AF">
      <w:pPr>
        <w:adjustRightInd w:val="0"/>
        <w:snapToGrid w:val="0"/>
        <w:spacing w:line="288" w:lineRule="auto"/>
        <w:ind w:firstLine="1040"/>
        <w:rPr>
          <w:rFonts w:ascii="仿宋_GB2312" w:eastAsia="仿宋_GB2312"/>
          <w:sz w:val="36"/>
          <w:szCs w:val="36"/>
          <w:u w:val="single"/>
        </w:rPr>
      </w:pPr>
      <w:bookmarkStart w:id="0" w:name="_Hlk57884087"/>
    </w:p>
    <w:p w14:paraId="03C2032A">
      <w:pPr>
        <w:adjustRightInd w:val="0"/>
        <w:snapToGrid w:val="0"/>
        <w:spacing w:line="288" w:lineRule="auto"/>
        <w:ind w:firstLine="1040"/>
        <w:rPr>
          <w:rFonts w:ascii="仿宋_GB2312" w:eastAsia="仿宋_GB2312"/>
          <w:sz w:val="36"/>
          <w:szCs w:val="36"/>
        </w:rPr>
      </w:pPr>
    </w:p>
    <w:p w14:paraId="42EAD9FD">
      <w:pPr>
        <w:adjustRightInd w:val="0"/>
        <w:snapToGrid w:val="0"/>
        <w:spacing w:line="288" w:lineRule="auto"/>
        <w:ind w:firstLine="1040"/>
        <w:rPr>
          <w:rFonts w:ascii="仿宋_GB2312" w:eastAsia="仿宋_GB2312"/>
          <w:sz w:val="36"/>
          <w:szCs w:val="36"/>
        </w:rPr>
      </w:pPr>
    </w:p>
    <w:p w14:paraId="622C3623">
      <w:pPr>
        <w:adjustRightInd w:val="0"/>
        <w:snapToGrid w:val="0"/>
        <w:spacing w:line="288" w:lineRule="auto"/>
        <w:ind w:firstLine="1040"/>
        <w:rPr>
          <w:rFonts w:hint="eastAsia" w:ascii="仿宋_GB2312" w:eastAsia="仿宋_GB2312"/>
          <w:sz w:val="36"/>
          <w:szCs w:val="36"/>
        </w:rPr>
      </w:pPr>
    </w:p>
    <w:p w14:paraId="3AC47AE3">
      <w:pPr>
        <w:adjustRightInd w:val="0"/>
        <w:snapToGrid w:val="0"/>
        <w:spacing w:line="288" w:lineRule="auto"/>
        <w:ind w:firstLine="1040"/>
        <w:rPr>
          <w:rFonts w:hint="eastAsia" w:ascii="仿宋_GB2312" w:eastAsia="仿宋_GB2312"/>
          <w:sz w:val="36"/>
          <w:szCs w:val="36"/>
        </w:rPr>
      </w:pPr>
    </w:p>
    <w:bookmarkEnd w:id="0"/>
    <w:p w14:paraId="68AB27F5">
      <w:pPr>
        <w:adjustRightInd w:val="0"/>
        <w:snapToGrid w:val="0"/>
        <w:spacing w:line="288" w:lineRule="auto"/>
        <w:jc w:val="center"/>
        <w:rPr>
          <w:rFonts w:hint="eastAsia" w:ascii="楷体_GB2312" w:eastAsia="楷体_GB2312"/>
          <w:sz w:val="36"/>
          <w:szCs w:val="36"/>
        </w:rPr>
        <w:sectPr>
          <w:headerReference r:id="rId3" w:type="default"/>
          <w:footerReference r:id="rId4" w:type="default"/>
          <w:footerReference r:id="rId5" w:type="even"/>
          <w:pgSz w:w="11906" w:h="16838"/>
          <w:pgMar w:top="1440" w:right="1800" w:bottom="1440" w:left="1800"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eastAsia" w:ascii="楷体_GB2312" w:eastAsia="楷体_GB2312"/>
          <w:sz w:val="36"/>
          <w:szCs w:val="36"/>
        </w:rPr>
        <w:t>中华人民共和国生态环境部制</w:t>
      </w:r>
    </w:p>
    <w:p w14:paraId="3D90D8FA">
      <w:pPr>
        <w:adjustRightInd w:val="0"/>
        <w:snapToGrid w:val="0"/>
        <w:spacing w:line="288" w:lineRule="auto"/>
        <w:jc w:val="center"/>
        <w:rPr>
          <w:rFonts w:hint="eastAsia" w:ascii="楷体_GB2312" w:eastAsia="楷体_GB2312"/>
          <w:sz w:val="36"/>
          <w:szCs w:val="36"/>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F532957">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0"/>
        </w:rPr>
      </w:pPr>
      <w:r>
        <w:rPr>
          <w:rFonts w:hint="eastAsia"/>
          <w:b w:val="0"/>
          <w:bCs w:val="0"/>
          <w:snapToGrid w:val="0"/>
          <w:sz w:val="30"/>
        </w:rPr>
        <w:t>一、建设项目基本情况</w:t>
      </w:r>
    </w:p>
    <w:tbl>
      <w:tblPr>
        <w:tblStyle w:val="2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73"/>
        <w:gridCol w:w="1447"/>
        <w:gridCol w:w="1999"/>
        <w:gridCol w:w="1676"/>
        <w:gridCol w:w="3175"/>
      </w:tblGrid>
      <w:tr w14:paraId="1C322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2020" w:type="dxa"/>
            <w:gridSpan w:val="2"/>
            <w:noWrap w:val="0"/>
            <w:tcMar>
              <w:top w:w="57" w:type="dxa"/>
              <w:left w:w="113" w:type="dxa"/>
              <w:bottom w:w="57" w:type="dxa"/>
              <w:right w:w="113" w:type="dxa"/>
            </w:tcMar>
            <w:vAlign w:val="center"/>
          </w:tcPr>
          <w:p w14:paraId="4E38702C">
            <w:pPr>
              <w:adjustRightInd w:val="0"/>
              <w:snapToGrid w:val="0"/>
              <w:jc w:val="center"/>
              <w:rPr>
                <w:rFonts w:ascii="宋体" w:hAnsi="宋体" w:cs="宋体"/>
                <w:sz w:val="24"/>
                <w:szCs w:val="24"/>
              </w:rPr>
            </w:pPr>
            <w:r>
              <w:rPr>
                <w:rFonts w:hint="eastAsia" w:ascii="宋体" w:hAnsi="宋体" w:cs="宋体"/>
                <w:sz w:val="24"/>
                <w:szCs w:val="24"/>
              </w:rPr>
              <w:t>建设项目名称</w:t>
            </w:r>
          </w:p>
        </w:tc>
        <w:tc>
          <w:tcPr>
            <w:tcW w:w="6850" w:type="dxa"/>
            <w:gridSpan w:val="3"/>
            <w:noWrap w:val="0"/>
            <w:tcMar>
              <w:top w:w="57" w:type="dxa"/>
              <w:left w:w="113" w:type="dxa"/>
              <w:bottom w:w="57" w:type="dxa"/>
              <w:right w:w="113" w:type="dxa"/>
            </w:tcMar>
            <w:vAlign w:val="center"/>
          </w:tcPr>
          <w:p w14:paraId="24E74EAC">
            <w:pPr>
              <w:adjustRightInd w:val="0"/>
              <w:snapToGrid w:val="0"/>
              <w:jc w:val="center"/>
              <w:rPr>
                <w:rFonts w:hint="eastAsia" w:ascii="Times New Roman" w:hAnsi="Times New Roman" w:eastAsia="宋体" w:cs="Times New Roman"/>
                <w:sz w:val="24"/>
                <w:szCs w:val="24"/>
                <w:lang w:eastAsia="zh-CN"/>
              </w:rPr>
            </w:pPr>
            <w:r>
              <w:rPr>
                <w:rFonts w:hint="eastAsia" w:cs="Times New Roman"/>
                <w:sz w:val="24"/>
                <w:szCs w:val="24"/>
                <w:lang w:eastAsia="zh-CN"/>
              </w:rPr>
              <w:t>年产260套工业电炉项目</w:t>
            </w:r>
          </w:p>
        </w:tc>
      </w:tr>
      <w:tr w14:paraId="736CC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24636173">
            <w:pPr>
              <w:adjustRightInd w:val="0"/>
              <w:snapToGrid w:val="0"/>
              <w:jc w:val="center"/>
              <w:rPr>
                <w:rFonts w:ascii="宋体" w:hAnsi="宋体" w:cs="宋体"/>
                <w:sz w:val="24"/>
                <w:szCs w:val="24"/>
              </w:rPr>
            </w:pPr>
            <w:r>
              <w:rPr>
                <w:rFonts w:hint="eastAsia" w:ascii="宋体" w:hAnsi="宋体" w:cs="宋体"/>
                <w:sz w:val="24"/>
                <w:szCs w:val="24"/>
              </w:rPr>
              <w:t>项目代码</w:t>
            </w:r>
          </w:p>
        </w:tc>
        <w:tc>
          <w:tcPr>
            <w:tcW w:w="6850" w:type="dxa"/>
            <w:gridSpan w:val="3"/>
            <w:noWrap w:val="0"/>
            <w:tcMar>
              <w:top w:w="57" w:type="dxa"/>
              <w:left w:w="113" w:type="dxa"/>
              <w:bottom w:w="57" w:type="dxa"/>
              <w:right w:w="113" w:type="dxa"/>
            </w:tcMar>
            <w:vAlign w:val="center"/>
          </w:tcPr>
          <w:p w14:paraId="511A9585">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2405-340602-04-01-338781</w:t>
            </w:r>
          </w:p>
        </w:tc>
      </w:tr>
      <w:tr w14:paraId="582C3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37A7528E">
            <w:pPr>
              <w:adjustRightInd w:val="0"/>
              <w:snapToGrid w:val="0"/>
              <w:jc w:val="center"/>
              <w:rPr>
                <w:rFonts w:hint="eastAsia" w:ascii="宋体" w:hAnsi="宋体" w:cs="宋体"/>
                <w:sz w:val="24"/>
                <w:szCs w:val="24"/>
              </w:rPr>
            </w:pPr>
            <w:r>
              <w:rPr>
                <w:rFonts w:hint="eastAsia" w:ascii="宋体" w:hAnsi="宋体" w:cs="宋体"/>
                <w:sz w:val="24"/>
                <w:szCs w:val="24"/>
              </w:rPr>
              <w:t>建设单位联系人</w:t>
            </w:r>
          </w:p>
        </w:tc>
        <w:tc>
          <w:tcPr>
            <w:tcW w:w="1999" w:type="dxa"/>
            <w:shd w:val="clear" w:color="auto" w:fill="auto"/>
            <w:noWrap w:val="0"/>
            <w:tcMar>
              <w:top w:w="57" w:type="dxa"/>
              <w:left w:w="113" w:type="dxa"/>
              <w:bottom w:w="57" w:type="dxa"/>
              <w:right w:w="113" w:type="dxa"/>
            </w:tcMar>
            <w:vAlign w:val="center"/>
          </w:tcPr>
          <w:p w14:paraId="1C24D04D">
            <w:pPr>
              <w:adjustRightInd w:val="0"/>
              <w:snapToGrid w:val="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史万平</w:t>
            </w:r>
          </w:p>
        </w:tc>
        <w:tc>
          <w:tcPr>
            <w:tcW w:w="1676" w:type="dxa"/>
            <w:shd w:val="clear" w:color="auto" w:fill="auto"/>
            <w:noWrap w:val="0"/>
            <w:tcMar>
              <w:top w:w="57" w:type="dxa"/>
              <w:left w:w="113" w:type="dxa"/>
              <w:bottom w:w="57" w:type="dxa"/>
              <w:right w:w="113" w:type="dxa"/>
            </w:tcMar>
            <w:vAlign w:val="center"/>
          </w:tcPr>
          <w:p w14:paraId="317DB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4"/>
                <w:szCs w:val="24"/>
                <w:highlight w:val="none"/>
                <w:lang w:val="en-US" w:eastAsia="zh-CN"/>
              </w:rPr>
            </w:pPr>
            <w:r>
              <w:rPr>
                <w:rFonts w:hint="eastAsia"/>
                <w:bCs/>
                <w:sz w:val="24"/>
                <w:szCs w:val="24"/>
                <w:highlight w:val="none"/>
                <w:lang w:val="en-US" w:eastAsia="zh-CN"/>
              </w:rPr>
              <w:t>联系方式</w:t>
            </w:r>
          </w:p>
        </w:tc>
        <w:tc>
          <w:tcPr>
            <w:tcW w:w="3175" w:type="dxa"/>
            <w:shd w:val="clear" w:color="auto" w:fill="auto"/>
            <w:noWrap w:val="0"/>
            <w:tcMar>
              <w:top w:w="57" w:type="dxa"/>
              <w:left w:w="113" w:type="dxa"/>
              <w:bottom w:w="57" w:type="dxa"/>
              <w:right w:w="113" w:type="dxa"/>
            </w:tcMar>
            <w:vAlign w:val="center"/>
          </w:tcPr>
          <w:p w14:paraId="44C0BC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 w:val="24"/>
                <w:szCs w:val="24"/>
                <w:highlight w:val="none"/>
                <w:lang w:val="en-US" w:eastAsia="zh-CN"/>
              </w:rPr>
            </w:pPr>
            <w:r>
              <w:rPr>
                <w:rFonts w:hint="default"/>
                <w:bCs/>
                <w:sz w:val="24"/>
                <w:szCs w:val="24"/>
                <w:highlight w:val="none"/>
                <w:lang w:val="en-US" w:eastAsia="zh-CN"/>
              </w:rPr>
              <w:t>1</w:t>
            </w:r>
            <w:r>
              <w:rPr>
                <w:rFonts w:hint="eastAsia"/>
                <w:bCs/>
                <w:sz w:val="24"/>
                <w:szCs w:val="24"/>
                <w:highlight w:val="none"/>
                <w:lang w:val="en-US" w:eastAsia="zh-CN"/>
              </w:rPr>
              <w:t>5956158888</w:t>
            </w:r>
          </w:p>
        </w:tc>
      </w:tr>
      <w:tr w14:paraId="6592B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29809D6A">
            <w:pPr>
              <w:adjustRightInd w:val="0"/>
              <w:snapToGrid w:val="0"/>
              <w:jc w:val="center"/>
              <w:rPr>
                <w:rFonts w:ascii="宋体" w:hAnsi="宋体" w:cs="宋体"/>
                <w:sz w:val="24"/>
                <w:szCs w:val="24"/>
              </w:rPr>
            </w:pPr>
            <w:r>
              <w:rPr>
                <w:rFonts w:hint="eastAsia" w:ascii="宋体" w:hAnsi="宋体" w:cs="宋体"/>
                <w:sz w:val="24"/>
                <w:szCs w:val="24"/>
              </w:rPr>
              <w:t>建设地点</w:t>
            </w:r>
          </w:p>
        </w:tc>
        <w:tc>
          <w:tcPr>
            <w:tcW w:w="6850" w:type="dxa"/>
            <w:gridSpan w:val="3"/>
            <w:shd w:val="clear" w:color="auto" w:fill="auto"/>
            <w:noWrap w:val="0"/>
            <w:tcMar>
              <w:top w:w="57" w:type="dxa"/>
              <w:left w:w="113" w:type="dxa"/>
              <w:bottom w:w="57" w:type="dxa"/>
              <w:right w:w="113" w:type="dxa"/>
            </w:tcMar>
            <w:vAlign w:val="center"/>
          </w:tcPr>
          <w:p w14:paraId="2B400FD5">
            <w:pPr>
              <w:adjustRightInd w:val="0"/>
              <w:snapToGrid w:val="0"/>
              <w:jc w:val="center"/>
              <w:rPr>
                <w:rFonts w:hint="eastAsia" w:ascii="宋体" w:hAnsi="宋体" w:eastAsia="宋体" w:cs="宋体"/>
                <w:sz w:val="24"/>
                <w:szCs w:val="24"/>
                <w:highlight w:val="none"/>
                <w:lang w:val="en-US" w:eastAsia="zh-CN"/>
              </w:rPr>
            </w:pPr>
            <w:r>
              <w:rPr>
                <w:rFonts w:hint="eastAsia" w:cs="Times New Roman"/>
                <w:sz w:val="24"/>
                <w:szCs w:val="24"/>
                <w:highlight w:val="none"/>
                <w:u w:val="none"/>
                <w:lang w:eastAsia="zh-CN"/>
              </w:rPr>
              <w:t>安徽省淮北市杜集区杜集经济开发区萧淮路16号</w:t>
            </w:r>
          </w:p>
        </w:tc>
      </w:tr>
      <w:tr w14:paraId="5DCDF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52CE802E">
            <w:pPr>
              <w:adjustRightInd w:val="0"/>
              <w:snapToGrid w:val="0"/>
              <w:jc w:val="center"/>
              <w:rPr>
                <w:rFonts w:ascii="宋体" w:hAnsi="宋体" w:cs="宋体"/>
                <w:sz w:val="24"/>
                <w:szCs w:val="24"/>
              </w:rPr>
            </w:pPr>
            <w:r>
              <w:rPr>
                <w:rFonts w:hint="eastAsia" w:ascii="宋体" w:hAnsi="宋体" w:cs="宋体"/>
                <w:sz w:val="24"/>
                <w:szCs w:val="24"/>
              </w:rPr>
              <w:t>地理坐标</w:t>
            </w:r>
          </w:p>
        </w:tc>
        <w:tc>
          <w:tcPr>
            <w:tcW w:w="6850" w:type="dxa"/>
            <w:gridSpan w:val="3"/>
            <w:shd w:val="clear" w:color="auto" w:fill="auto"/>
            <w:noWrap w:val="0"/>
            <w:tcMar>
              <w:top w:w="57" w:type="dxa"/>
              <w:left w:w="113" w:type="dxa"/>
              <w:bottom w:w="57" w:type="dxa"/>
              <w:right w:w="113" w:type="dxa"/>
            </w:tcMar>
            <w:vAlign w:val="center"/>
          </w:tcPr>
          <w:p w14:paraId="65C77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4"/>
                <w:szCs w:val="24"/>
                <w:highlight w:val="none"/>
                <w:lang w:val="en-US" w:eastAsia="zh-CN"/>
              </w:rPr>
            </w:pPr>
            <w:r>
              <w:rPr>
                <w:rFonts w:hint="eastAsia"/>
                <w:bCs/>
                <w:sz w:val="24"/>
                <w:szCs w:val="24"/>
                <w:highlight w:val="none"/>
                <w:lang w:val="en-US" w:eastAsia="zh-CN"/>
              </w:rPr>
              <w:t>（ 116 度 50 分 47.76</w:t>
            </w:r>
            <w:r>
              <w:rPr>
                <w:rFonts w:hint="eastAsia"/>
                <w:sz w:val="24"/>
                <w:szCs w:val="24"/>
                <w:lang w:val="en-US" w:eastAsia="zh-CN"/>
              </w:rPr>
              <w:t>0</w:t>
            </w:r>
            <w:r>
              <w:rPr>
                <w:rFonts w:hint="eastAsia"/>
                <w:bCs/>
                <w:sz w:val="24"/>
                <w:szCs w:val="24"/>
                <w:highlight w:val="none"/>
                <w:lang w:val="en-US" w:eastAsia="zh-CN"/>
              </w:rPr>
              <w:t xml:space="preserve"> 秒， 34 度 4 分 16.388 秒）</w:t>
            </w:r>
          </w:p>
        </w:tc>
      </w:tr>
      <w:tr w14:paraId="5CC28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20" w:type="dxa"/>
            <w:gridSpan w:val="2"/>
            <w:noWrap w:val="0"/>
            <w:tcMar>
              <w:top w:w="57" w:type="dxa"/>
              <w:left w:w="113" w:type="dxa"/>
              <w:bottom w:w="57" w:type="dxa"/>
              <w:right w:w="113" w:type="dxa"/>
            </w:tcMar>
            <w:vAlign w:val="center"/>
          </w:tcPr>
          <w:p w14:paraId="1DF8572A">
            <w:pPr>
              <w:adjustRightInd w:val="0"/>
              <w:snapToGrid w:val="0"/>
              <w:jc w:val="center"/>
              <w:rPr>
                <w:rFonts w:hint="eastAsia" w:ascii="宋体" w:hAnsi="宋体" w:cs="宋体"/>
                <w:sz w:val="24"/>
                <w:szCs w:val="24"/>
              </w:rPr>
            </w:pPr>
            <w:r>
              <w:rPr>
                <w:rFonts w:hint="eastAsia" w:ascii="宋体" w:hAnsi="宋体" w:cs="宋体"/>
                <w:sz w:val="24"/>
                <w:szCs w:val="24"/>
              </w:rPr>
              <w:t>国民经济</w:t>
            </w:r>
          </w:p>
          <w:p w14:paraId="4B855581">
            <w:pPr>
              <w:adjustRightInd w:val="0"/>
              <w:snapToGrid w:val="0"/>
              <w:jc w:val="center"/>
              <w:rPr>
                <w:rFonts w:ascii="宋体" w:hAnsi="宋体" w:cs="宋体"/>
                <w:sz w:val="24"/>
                <w:szCs w:val="24"/>
              </w:rPr>
            </w:pPr>
            <w:r>
              <w:rPr>
                <w:rFonts w:hint="eastAsia" w:ascii="宋体" w:hAnsi="宋体" w:cs="宋体"/>
                <w:sz w:val="24"/>
                <w:szCs w:val="24"/>
              </w:rPr>
              <w:t>行业类别</w:t>
            </w:r>
          </w:p>
        </w:tc>
        <w:tc>
          <w:tcPr>
            <w:tcW w:w="1999" w:type="dxa"/>
            <w:shd w:val="clear" w:color="auto" w:fill="auto"/>
            <w:noWrap w:val="0"/>
            <w:tcMar>
              <w:top w:w="57" w:type="dxa"/>
              <w:left w:w="113" w:type="dxa"/>
              <w:bottom w:w="57" w:type="dxa"/>
              <w:right w:w="113" w:type="dxa"/>
            </w:tcMar>
            <w:vAlign w:val="center"/>
          </w:tcPr>
          <w:p w14:paraId="66BF6D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4"/>
                <w:szCs w:val="24"/>
                <w:highlight w:val="none"/>
                <w:lang w:val="en-US" w:eastAsia="zh-CN"/>
              </w:rPr>
            </w:pPr>
            <w:r>
              <w:rPr>
                <w:rFonts w:hint="eastAsia"/>
                <w:bCs/>
                <w:sz w:val="24"/>
                <w:szCs w:val="24"/>
                <w:highlight w:val="none"/>
                <w:lang w:val="en-US" w:eastAsia="zh-CN"/>
              </w:rPr>
              <w:t>[C3461]烘炉、熔炉及电炉制造</w:t>
            </w:r>
          </w:p>
        </w:tc>
        <w:tc>
          <w:tcPr>
            <w:tcW w:w="1676" w:type="dxa"/>
            <w:shd w:val="clear" w:color="auto" w:fill="auto"/>
            <w:noWrap w:val="0"/>
            <w:tcMar>
              <w:top w:w="57" w:type="dxa"/>
              <w:left w:w="113" w:type="dxa"/>
              <w:bottom w:w="57" w:type="dxa"/>
              <w:right w:w="113" w:type="dxa"/>
            </w:tcMar>
            <w:vAlign w:val="center"/>
          </w:tcPr>
          <w:p w14:paraId="54970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4"/>
                <w:szCs w:val="24"/>
                <w:highlight w:val="none"/>
                <w:lang w:val="en-US" w:eastAsia="zh-CN"/>
              </w:rPr>
            </w:pPr>
            <w:bookmarkStart w:id="1" w:name="_Hlk49843745"/>
            <w:r>
              <w:rPr>
                <w:rFonts w:hint="eastAsia"/>
                <w:bCs/>
                <w:sz w:val="24"/>
                <w:szCs w:val="24"/>
                <w:highlight w:val="none"/>
                <w:lang w:val="en-US" w:eastAsia="zh-CN"/>
              </w:rPr>
              <w:t>建设项目</w:t>
            </w:r>
          </w:p>
          <w:p w14:paraId="62C6D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4"/>
                <w:szCs w:val="24"/>
                <w:highlight w:val="none"/>
                <w:lang w:val="en-US" w:eastAsia="zh-CN"/>
              </w:rPr>
            </w:pPr>
            <w:r>
              <w:rPr>
                <w:rFonts w:hint="eastAsia"/>
                <w:bCs/>
                <w:sz w:val="24"/>
                <w:szCs w:val="24"/>
                <w:highlight w:val="none"/>
                <w:lang w:val="en-US" w:eastAsia="zh-CN"/>
              </w:rPr>
              <w:t>行业类别</w:t>
            </w:r>
            <w:bookmarkEnd w:id="1"/>
          </w:p>
        </w:tc>
        <w:tc>
          <w:tcPr>
            <w:tcW w:w="3175" w:type="dxa"/>
            <w:shd w:val="clear" w:color="auto" w:fill="auto"/>
            <w:noWrap w:val="0"/>
            <w:tcMar>
              <w:top w:w="57" w:type="dxa"/>
              <w:left w:w="113" w:type="dxa"/>
              <w:bottom w:w="57" w:type="dxa"/>
              <w:right w:w="113" w:type="dxa"/>
            </w:tcMar>
            <w:vAlign w:val="center"/>
          </w:tcPr>
          <w:p w14:paraId="04AAAA7A">
            <w:pPr>
              <w:pStyle w:val="7"/>
              <w:rPr>
                <w:rFonts w:hint="default"/>
                <w:bCs/>
                <w:sz w:val="24"/>
                <w:szCs w:val="24"/>
                <w:highlight w:val="none"/>
                <w:lang w:val="en-US" w:eastAsia="zh-CN"/>
              </w:rPr>
            </w:pPr>
            <w:r>
              <w:rPr>
                <w:rFonts w:hint="eastAsia"/>
                <w:bCs/>
                <w:sz w:val="24"/>
                <w:szCs w:val="24"/>
                <w:highlight w:val="none"/>
                <w:lang w:val="en-US" w:eastAsia="zh-CN"/>
              </w:rPr>
              <w:t>三十一、通用设备制造业 34-烘炉、风机、包装等设备制造 346</w:t>
            </w:r>
          </w:p>
        </w:tc>
      </w:tr>
      <w:tr w14:paraId="37633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20" w:type="dxa"/>
            <w:gridSpan w:val="2"/>
            <w:noWrap w:val="0"/>
            <w:tcMar>
              <w:top w:w="57" w:type="dxa"/>
              <w:left w:w="113" w:type="dxa"/>
              <w:bottom w:w="57" w:type="dxa"/>
              <w:right w:w="113" w:type="dxa"/>
            </w:tcMar>
            <w:vAlign w:val="center"/>
          </w:tcPr>
          <w:p w14:paraId="5E3FE46F">
            <w:pPr>
              <w:adjustRightInd w:val="0"/>
              <w:snapToGrid w:val="0"/>
              <w:jc w:val="center"/>
              <w:rPr>
                <w:rFonts w:ascii="宋体" w:hAnsi="宋体" w:cs="宋体"/>
                <w:sz w:val="24"/>
                <w:szCs w:val="24"/>
              </w:rPr>
            </w:pPr>
            <w:r>
              <w:rPr>
                <w:rFonts w:hint="eastAsia" w:ascii="宋体" w:hAnsi="宋体" w:cs="宋体"/>
                <w:sz w:val="24"/>
                <w:szCs w:val="24"/>
              </w:rPr>
              <w:t>建设性质</w:t>
            </w:r>
          </w:p>
        </w:tc>
        <w:tc>
          <w:tcPr>
            <w:tcW w:w="1999" w:type="dxa"/>
            <w:shd w:val="clear" w:color="auto" w:fill="auto"/>
            <w:noWrap w:val="0"/>
            <w:tcMar>
              <w:top w:w="57" w:type="dxa"/>
              <w:left w:w="113" w:type="dxa"/>
              <w:bottom w:w="57" w:type="dxa"/>
              <w:right w:w="113" w:type="dxa"/>
            </w:tcMar>
            <w:vAlign w:val="center"/>
          </w:tcPr>
          <w:p w14:paraId="16154ED5">
            <w:pPr>
              <w:jc w:val="left"/>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rPr>
              <w:t>新建（迁建）</w:t>
            </w:r>
          </w:p>
          <w:p w14:paraId="409F286E">
            <w:pPr>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rPr>
              <w:t>改建</w:t>
            </w:r>
          </w:p>
          <w:p w14:paraId="19DDA5D8">
            <w:pPr>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rPr>
              <w:t>扩建</w:t>
            </w:r>
          </w:p>
          <w:p w14:paraId="1D929888">
            <w:pPr>
              <w:jc w:val="left"/>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rPr>
              <w:t>技术改造</w:t>
            </w:r>
          </w:p>
        </w:tc>
        <w:tc>
          <w:tcPr>
            <w:tcW w:w="1676" w:type="dxa"/>
            <w:shd w:val="clear" w:color="auto" w:fill="auto"/>
            <w:noWrap w:val="0"/>
            <w:tcMar>
              <w:top w:w="57" w:type="dxa"/>
              <w:left w:w="113" w:type="dxa"/>
              <w:bottom w:w="57" w:type="dxa"/>
              <w:right w:w="113" w:type="dxa"/>
            </w:tcMar>
            <w:vAlign w:val="center"/>
          </w:tcPr>
          <w:p w14:paraId="5FD50536">
            <w:pPr>
              <w:adjustRightInd w:val="0"/>
              <w:snapToGrid w:val="0"/>
              <w:jc w:val="center"/>
              <w:rPr>
                <w:rFonts w:hint="eastAsia" w:ascii="宋体" w:hAnsi="宋体" w:cs="宋体"/>
                <w:sz w:val="24"/>
                <w:szCs w:val="24"/>
                <w:highlight w:val="none"/>
              </w:rPr>
            </w:pPr>
            <w:r>
              <w:rPr>
                <w:rFonts w:hint="eastAsia" w:ascii="宋体" w:hAnsi="宋体" w:cs="宋体"/>
                <w:sz w:val="24"/>
                <w:szCs w:val="24"/>
                <w:highlight w:val="none"/>
              </w:rPr>
              <w:t>建设项目</w:t>
            </w:r>
          </w:p>
          <w:p w14:paraId="0EB41BDD">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申报情形</w:t>
            </w:r>
          </w:p>
        </w:tc>
        <w:tc>
          <w:tcPr>
            <w:tcW w:w="3175" w:type="dxa"/>
            <w:shd w:val="clear" w:color="auto" w:fill="auto"/>
            <w:noWrap w:val="0"/>
            <w:tcMar>
              <w:top w:w="57" w:type="dxa"/>
              <w:left w:w="113" w:type="dxa"/>
              <w:bottom w:w="57" w:type="dxa"/>
              <w:right w:w="113" w:type="dxa"/>
            </w:tcMar>
            <w:vAlign w:val="center"/>
          </w:tcPr>
          <w:p w14:paraId="6EB21517">
            <w:pPr>
              <w:jc w:val="left"/>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rPr>
              <w:t>首次申报项目</w:t>
            </w:r>
            <w:r>
              <w:rPr>
                <w:rFonts w:ascii="宋体" w:hAnsi="宋体" w:cs="宋体"/>
                <w:sz w:val="24"/>
                <w:szCs w:val="24"/>
                <w:highlight w:val="none"/>
              </w:rPr>
              <w:t xml:space="preserve">             </w:t>
            </w:r>
          </w:p>
          <w:p w14:paraId="56340934">
            <w:pPr>
              <w:jc w:val="left"/>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rPr>
              <w:t>不予批准后再次申报项目</w:t>
            </w:r>
          </w:p>
          <w:p w14:paraId="2102F621">
            <w:pPr>
              <w:jc w:val="left"/>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rPr>
              <w:t>超五年重新审核项目</w:t>
            </w:r>
            <w:r>
              <w:rPr>
                <w:rFonts w:ascii="宋体" w:hAnsi="宋体" w:cs="宋体"/>
                <w:sz w:val="24"/>
                <w:szCs w:val="24"/>
                <w:highlight w:val="none"/>
              </w:rPr>
              <w:t xml:space="preserve">     </w:t>
            </w:r>
          </w:p>
          <w:p w14:paraId="21E19814">
            <w:pPr>
              <w:jc w:val="left"/>
              <w:rPr>
                <w:rFonts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rPr>
              <w:t>重大变动重新报批项目</w:t>
            </w:r>
          </w:p>
        </w:tc>
      </w:tr>
      <w:tr w14:paraId="5EFCD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20" w:type="dxa"/>
            <w:gridSpan w:val="2"/>
            <w:noWrap w:val="0"/>
            <w:tcMar>
              <w:top w:w="57" w:type="dxa"/>
              <w:left w:w="113" w:type="dxa"/>
              <w:bottom w:w="57" w:type="dxa"/>
              <w:right w:w="113" w:type="dxa"/>
            </w:tcMar>
            <w:vAlign w:val="center"/>
          </w:tcPr>
          <w:p w14:paraId="5B12A7EA">
            <w:pPr>
              <w:adjustRightInd w:val="0"/>
              <w:snapToGrid w:val="0"/>
              <w:jc w:val="center"/>
              <w:rPr>
                <w:rFonts w:hint="eastAsia"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14:paraId="0606458E">
            <w:pPr>
              <w:adjustRightInd w:val="0"/>
              <w:snapToGrid w:val="0"/>
              <w:jc w:val="center"/>
              <w:rPr>
                <w:rFonts w:ascii="宋体" w:hAnsi="宋体" w:cs="宋体"/>
                <w:sz w:val="24"/>
                <w:szCs w:val="24"/>
              </w:rPr>
            </w:pPr>
            <w:r>
              <w:rPr>
                <w:rFonts w:hint="eastAsia" w:ascii="宋体" w:hAnsi="宋体" w:cs="宋体"/>
                <w:sz w:val="24"/>
                <w:szCs w:val="24"/>
              </w:rPr>
              <w:t>备案）部门（选填）</w:t>
            </w:r>
          </w:p>
        </w:tc>
        <w:tc>
          <w:tcPr>
            <w:tcW w:w="1999" w:type="dxa"/>
            <w:noWrap w:val="0"/>
            <w:tcMar>
              <w:top w:w="57" w:type="dxa"/>
              <w:left w:w="113" w:type="dxa"/>
              <w:bottom w:w="57" w:type="dxa"/>
              <w:right w:w="113" w:type="dxa"/>
            </w:tcMar>
            <w:vAlign w:val="center"/>
          </w:tcPr>
          <w:p w14:paraId="7B88547A">
            <w:pPr>
              <w:adjustRightInd w:val="0"/>
              <w:snapToGrid w:val="0"/>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淮北市杜集区发展和改革委员会</w:t>
            </w:r>
          </w:p>
        </w:tc>
        <w:tc>
          <w:tcPr>
            <w:tcW w:w="1676" w:type="dxa"/>
            <w:noWrap w:val="0"/>
            <w:tcMar>
              <w:top w:w="57" w:type="dxa"/>
              <w:left w:w="113" w:type="dxa"/>
              <w:bottom w:w="57" w:type="dxa"/>
              <w:right w:w="113" w:type="dxa"/>
            </w:tcMar>
            <w:vAlign w:val="center"/>
          </w:tcPr>
          <w:p w14:paraId="653B64DE">
            <w:pPr>
              <w:adjustRightInd w:val="0"/>
              <w:snapToGrid w:val="0"/>
              <w:jc w:val="center"/>
              <w:rPr>
                <w:rFonts w:hint="eastAsia"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r>
              <w:rPr>
                <w:rFonts w:hint="eastAsia" w:ascii="宋体" w:hAnsi="宋体" w:cs="宋体"/>
                <w:sz w:val="24"/>
                <w:szCs w:val="24"/>
              </w:rPr>
              <w:t>备案）文号（选填）</w:t>
            </w:r>
          </w:p>
        </w:tc>
        <w:tc>
          <w:tcPr>
            <w:tcW w:w="3175" w:type="dxa"/>
            <w:noWrap w:val="0"/>
            <w:tcMar>
              <w:top w:w="57" w:type="dxa"/>
              <w:left w:w="113" w:type="dxa"/>
              <w:bottom w:w="57" w:type="dxa"/>
              <w:right w:w="113" w:type="dxa"/>
            </w:tcMar>
            <w:vAlign w:val="center"/>
          </w:tcPr>
          <w:p w14:paraId="132CA63E">
            <w:pPr>
              <w:adjustRightInd w:val="0"/>
              <w:snapToGrid w:val="0"/>
              <w:jc w:val="center"/>
              <w:rPr>
                <w:rFonts w:hint="eastAsia" w:ascii="宋体" w:hAnsi="宋体" w:eastAsia="宋体" w:cs="宋体"/>
                <w:sz w:val="24"/>
                <w:szCs w:val="24"/>
                <w:lang w:val="en-US" w:eastAsia="zh-CN"/>
              </w:rPr>
            </w:pPr>
            <w:r>
              <w:rPr>
                <w:rFonts w:hint="default" w:ascii="Times New Roman" w:hAnsi="Times New Roman" w:eastAsia="宋体" w:cs="Times New Roman"/>
                <w:sz w:val="24"/>
                <w:szCs w:val="24"/>
                <w:lang w:val="en-US" w:eastAsia="zh-CN"/>
              </w:rPr>
              <w:t>杜发改备</w:t>
            </w:r>
            <w:r>
              <w:rPr>
                <w:rFonts w:hint="default" w:ascii="Times New Roman" w:hAnsi="Times New Roman" w:cs="Times New Roman"/>
                <w:bCs/>
                <w:sz w:val="24"/>
                <w:szCs w:val="24"/>
                <w:highlight w:val="none"/>
                <w:lang w:val="en-US" w:eastAsia="zh-CN"/>
              </w:rPr>
              <w:t>[</w:t>
            </w:r>
            <w:r>
              <w:rPr>
                <w:rFonts w:hint="default" w:ascii="Times New Roman" w:hAnsi="Times New Roman" w:eastAsia="宋体" w:cs="Times New Roman"/>
                <w:sz w:val="24"/>
                <w:szCs w:val="24"/>
                <w:lang w:val="en-US" w:eastAsia="zh-CN"/>
              </w:rPr>
              <w:t>2024</w:t>
            </w:r>
            <w:r>
              <w:rPr>
                <w:rFonts w:hint="default" w:ascii="Times New Roman" w:hAnsi="Times New Roman" w:cs="Times New Roman"/>
                <w:bCs/>
                <w:sz w:val="24"/>
                <w:szCs w:val="24"/>
                <w:highlight w:val="none"/>
                <w:lang w:val="en-US" w:eastAsia="zh-CN"/>
              </w:rPr>
              <w:t>]</w:t>
            </w:r>
            <w:r>
              <w:rPr>
                <w:rFonts w:hint="default" w:ascii="Times New Roman" w:hAnsi="Times New Roman" w:eastAsia="宋体" w:cs="Times New Roman"/>
                <w:sz w:val="24"/>
                <w:szCs w:val="24"/>
                <w:lang w:val="en-US" w:eastAsia="zh-CN"/>
              </w:rPr>
              <w:t>31号</w:t>
            </w:r>
          </w:p>
        </w:tc>
      </w:tr>
      <w:tr w14:paraId="2676CE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61BFB354">
            <w:pPr>
              <w:adjustRightInd w:val="0"/>
              <w:snapToGrid w:val="0"/>
              <w:jc w:val="center"/>
              <w:rPr>
                <w:rFonts w:ascii="宋体" w:hAnsi="宋体" w:cs="宋体"/>
                <w:sz w:val="24"/>
                <w:szCs w:val="24"/>
              </w:rPr>
            </w:pPr>
            <w:r>
              <w:rPr>
                <w:rFonts w:hint="eastAsia" w:ascii="宋体" w:hAnsi="宋体" w:cs="宋体"/>
                <w:sz w:val="24"/>
                <w:szCs w:val="24"/>
              </w:rPr>
              <w:t>总投资（万元）</w:t>
            </w:r>
          </w:p>
        </w:tc>
        <w:tc>
          <w:tcPr>
            <w:tcW w:w="1999" w:type="dxa"/>
            <w:noWrap w:val="0"/>
            <w:tcMar>
              <w:top w:w="57" w:type="dxa"/>
              <w:left w:w="113" w:type="dxa"/>
              <w:bottom w:w="57" w:type="dxa"/>
              <w:right w:w="113" w:type="dxa"/>
            </w:tcMar>
            <w:vAlign w:val="center"/>
          </w:tcPr>
          <w:p w14:paraId="20CF13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 w:val="24"/>
                <w:szCs w:val="24"/>
                <w:highlight w:val="red"/>
                <w:lang w:val="en-US" w:eastAsia="zh-CN"/>
              </w:rPr>
            </w:pPr>
            <w:r>
              <w:rPr>
                <w:rFonts w:hint="eastAsia"/>
                <w:bCs/>
                <w:sz w:val="24"/>
                <w:szCs w:val="24"/>
                <w:highlight w:val="none"/>
                <w:lang w:val="en-US" w:eastAsia="zh-CN"/>
              </w:rPr>
              <w:t>6158</w:t>
            </w:r>
          </w:p>
        </w:tc>
        <w:tc>
          <w:tcPr>
            <w:tcW w:w="1676" w:type="dxa"/>
            <w:noWrap w:val="0"/>
            <w:tcMar>
              <w:top w:w="57" w:type="dxa"/>
              <w:left w:w="113" w:type="dxa"/>
              <w:bottom w:w="57" w:type="dxa"/>
              <w:right w:w="113" w:type="dxa"/>
            </w:tcMar>
            <w:vAlign w:val="center"/>
          </w:tcPr>
          <w:p w14:paraId="63630DBF">
            <w:pPr>
              <w:adjustRightInd w:val="0"/>
              <w:snapToGrid w:val="0"/>
              <w:jc w:val="center"/>
              <w:rPr>
                <w:rFonts w:ascii="宋体" w:hAnsi="宋体" w:cs="宋体"/>
                <w:sz w:val="24"/>
                <w:szCs w:val="24"/>
                <w:highlight w:val="red"/>
              </w:rPr>
            </w:pPr>
            <w:r>
              <w:rPr>
                <w:rFonts w:hint="eastAsia" w:ascii="宋体" w:hAnsi="宋体" w:cs="宋体"/>
                <w:sz w:val="24"/>
                <w:szCs w:val="24"/>
                <w:highlight w:val="none"/>
              </w:rPr>
              <w:t>环保投资（万元）</w:t>
            </w:r>
          </w:p>
        </w:tc>
        <w:tc>
          <w:tcPr>
            <w:tcW w:w="3175" w:type="dxa"/>
            <w:noWrap w:val="0"/>
            <w:tcMar>
              <w:top w:w="57" w:type="dxa"/>
              <w:left w:w="113" w:type="dxa"/>
              <w:bottom w:w="57" w:type="dxa"/>
              <w:right w:w="113" w:type="dxa"/>
            </w:tcMar>
            <w:vAlign w:val="center"/>
          </w:tcPr>
          <w:p w14:paraId="6FE28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 w:val="24"/>
                <w:szCs w:val="24"/>
                <w:highlight w:val="red"/>
                <w:lang w:val="en-US" w:eastAsia="zh-CN"/>
              </w:rPr>
            </w:pPr>
            <w:r>
              <w:rPr>
                <w:rFonts w:hint="eastAsia"/>
                <w:bCs/>
                <w:sz w:val="24"/>
                <w:szCs w:val="24"/>
                <w:highlight w:val="none"/>
                <w:lang w:val="en-US" w:eastAsia="zh-CN"/>
              </w:rPr>
              <w:t>50</w:t>
            </w:r>
          </w:p>
        </w:tc>
      </w:tr>
      <w:tr w14:paraId="4DC6C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606BB28A">
            <w:pPr>
              <w:adjustRightInd w:val="0"/>
              <w:snapToGrid w:val="0"/>
              <w:jc w:val="center"/>
              <w:rPr>
                <w:rFonts w:ascii="宋体" w:hAnsi="宋体" w:cs="宋体"/>
                <w:sz w:val="24"/>
                <w:szCs w:val="24"/>
              </w:rPr>
            </w:pPr>
            <w:r>
              <w:rPr>
                <w:rFonts w:hint="eastAsia" w:ascii="宋体" w:hAnsi="宋体" w:cs="宋体"/>
                <w:sz w:val="24"/>
                <w:szCs w:val="24"/>
              </w:rPr>
              <w:t>环保投资占比（</w:t>
            </w:r>
            <w:r>
              <w:rPr>
                <w:rFonts w:ascii="宋体" w:hAnsi="宋体" w:cs="宋体"/>
                <w:sz w:val="24"/>
                <w:szCs w:val="24"/>
              </w:rPr>
              <w:t>%</w:t>
            </w:r>
            <w:r>
              <w:rPr>
                <w:rFonts w:hint="eastAsia" w:ascii="宋体" w:hAnsi="宋体" w:cs="宋体"/>
                <w:sz w:val="24"/>
                <w:szCs w:val="24"/>
              </w:rPr>
              <w:t>）</w:t>
            </w:r>
          </w:p>
        </w:tc>
        <w:tc>
          <w:tcPr>
            <w:tcW w:w="1999" w:type="dxa"/>
            <w:noWrap w:val="0"/>
            <w:tcMar>
              <w:top w:w="57" w:type="dxa"/>
              <w:left w:w="113" w:type="dxa"/>
              <w:bottom w:w="57" w:type="dxa"/>
              <w:right w:w="113" w:type="dxa"/>
            </w:tcMar>
            <w:vAlign w:val="center"/>
          </w:tcPr>
          <w:p w14:paraId="1ABFD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 w:val="24"/>
                <w:szCs w:val="24"/>
                <w:lang w:val="en-US" w:eastAsia="zh-CN"/>
              </w:rPr>
            </w:pPr>
            <w:r>
              <w:rPr>
                <w:rFonts w:hint="eastAsia"/>
                <w:bCs/>
                <w:sz w:val="24"/>
                <w:szCs w:val="24"/>
                <w:lang w:val="en-US" w:eastAsia="zh-CN"/>
              </w:rPr>
              <w:t>0.81%</w:t>
            </w:r>
          </w:p>
        </w:tc>
        <w:tc>
          <w:tcPr>
            <w:tcW w:w="1676" w:type="dxa"/>
            <w:noWrap w:val="0"/>
            <w:tcMar>
              <w:top w:w="57" w:type="dxa"/>
              <w:left w:w="113" w:type="dxa"/>
              <w:bottom w:w="57" w:type="dxa"/>
              <w:right w:w="113" w:type="dxa"/>
            </w:tcMar>
            <w:vAlign w:val="center"/>
          </w:tcPr>
          <w:p w14:paraId="3C339B86">
            <w:pPr>
              <w:adjustRightInd w:val="0"/>
              <w:snapToGrid w:val="0"/>
              <w:jc w:val="center"/>
              <w:rPr>
                <w:rFonts w:ascii="宋体" w:hAnsi="宋体" w:cs="宋体"/>
                <w:sz w:val="24"/>
                <w:szCs w:val="24"/>
              </w:rPr>
            </w:pPr>
            <w:r>
              <w:rPr>
                <w:rFonts w:hint="eastAsia" w:ascii="宋体" w:hAnsi="宋体" w:cs="宋体"/>
                <w:sz w:val="24"/>
                <w:szCs w:val="24"/>
              </w:rPr>
              <w:t>施工工期</w:t>
            </w:r>
          </w:p>
        </w:tc>
        <w:tc>
          <w:tcPr>
            <w:tcW w:w="3175" w:type="dxa"/>
            <w:noWrap w:val="0"/>
            <w:tcMar>
              <w:top w:w="57" w:type="dxa"/>
              <w:left w:w="113" w:type="dxa"/>
              <w:bottom w:w="57" w:type="dxa"/>
              <w:right w:w="113" w:type="dxa"/>
            </w:tcMar>
            <w:vAlign w:val="center"/>
          </w:tcPr>
          <w:p w14:paraId="77FDA4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 w:val="24"/>
                <w:szCs w:val="24"/>
                <w:lang w:val="en-US" w:eastAsia="zh-CN"/>
              </w:rPr>
            </w:pPr>
            <w:r>
              <w:rPr>
                <w:rFonts w:hint="eastAsia"/>
                <w:bCs/>
                <w:sz w:val="24"/>
                <w:szCs w:val="24"/>
                <w:highlight w:val="none"/>
                <w:lang w:val="en-US" w:eastAsia="zh-CN"/>
              </w:rPr>
              <w:t>3个月</w:t>
            </w:r>
          </w:p>
        </w:tc>
      </w:tr>
      <w:tr w14:paraId="67F6B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20" w:type="dxa"/>
            <w:gridSpan w:val="2"/>
            <w:noWrap w:val="0"/>
            <w:tcMar>
              <w:top w:w="57" w:type="dxa"/>
              <w:left w:w="113" w:type="dxa"/>
              <w:bottom w:w="57" w:type="dxa"/>
              <w:right w:w="113" w:type="dxa"/>
            </w:tcMar>
            <w:vAlign w:val="center"/>
          </w:tcPr>
          <w:p w14:paraId="3460D3AB">
            <w:pPr>
              <w:adjustRightInd w:val="0"/>
              <w:snapToGrid w:val="0"/>
              <w:jc w:val="center"/>
              <w:rPr>
                <w:rFonts w:hint="eastAsia" w:ascii="宋体" w:hAnsi="宋体" w:cs="宋体"/>
                <w:sz w:val="24"/>
                <w:szCs w:val="24"/>
              </w:rPr>
            </w:pPr>
            <w:r>
              <w:rPr>
                <w:rFonts w:hint="eastAsia" w:ascii="宋体" w:hAnsi="宋体" w:cs="宋体"/>
                <w:sz w:val="24"/>
                <w:szCs w:val="24"/>
              </w:rPr>
              <w:t>是否开工建设</w:t>
            </w:r>
          </w:p>
        </w:tc>
        <w:tc>
          <w:tcPr>
            <w:tcW w:w="1999" w:type="dxa"/>
            <w:noWrap w:val="0"/>
            <w:tcMar>
              <w:top w:w="57" w:type="dxa"/>
              <w:left w:w="113" w:type="dxa"/>
              <w:bottom w:w="57" w:type="dxa"/>
              <w:right w:w="113" w:type="dxa"/>
            </w:tcMar>
            <w:vAlign w:val="center"/>
          </w:tcPr>
          <w:p w14:paraId="2AC9B588">
            <w:pPr>
              <w:adjustRightInd w:val="0"/>
              <w:snapToGrid w:val="0"/>
              <w:rPr>
                <w:rFonts w:ascii="宋体" w:hAnsi="宋体" w:cs="宋体"/>
                <w:sz w:val="24"/>
                <w:szCs w:val="24"/>
              </w:rPr>
            </w:pPr>
            <w:r>
              <w:rPr>
                <w:rFonts w:hint="eastAsia" w:ascii="宋体" w:hAnsi="宋体" w:cs="宋体"/>
                <w:sz w:val="24"/>
                <w:szCs w:val="24"/>
              </w:rPr>
              <w:sym w:font="Wingdings 2" w:char="0052"/>
            </w:r>
            <w:r>
              <w:rPr>
                <w:rFonts w:hint="eastAsia" w:ascii="宋体" w:hAnsi="宋体" w:cs="宋体"/>
                <w:sz w:val="24"/>
                <w:szCs w:val="24"/>
              </w:rPr>
              <w:t>否</w:t>
            </w:r>
          </w:p>
          <w:p w14:paraId="0BF16A08">
            <w:pPr>
              <w:adjustRightInd w:val="0"/>
              <w:snapToGrid w:val="0"/>
              <w:rPr>
                <w:rFonts w:ascii="宋体" w:hAnsi="宋体" w:cs="宋体"/>
                <w:sz w:val="24"/>
                <w:szCs w:val="24"/>
              </w:rPr>
            </w:pPr>
            <w:r>
              <w:rPr>
                <w:rFonts w:hint="eastAsia" w:ascii="宋体" w:hAnsi="宋体" w:cs="宋体"/>
                <w:sz w:val="24"/>
                <w:szCs w:val="24"/>
              </w:rPr>
              <w:sym w:font="Wingdings 2" w:char="00A3"/>
            </w:r>
            <w:r>
              <w:rPr>
                <w:rFonts w:hint="eastAsia" w:ascii="宋体" w:hAnsi="宋体" w:cs="宋体"/>
                <w:sz w:val="24"/>
                <w:szCs w:val="24"/>
              </w:rPr>
              <w:t>是：</w:t>
            </w:r>
            <w:r>
              <w:rPr>
                <w:rFonts w:hint="eastAsia" w:ascii="宋体" w:hAnsi="宋体" w:cs="宋体"/>
                <w:sz w:val="24"/>
                <w:szCs w:val="24"/>
                <w:u w:val="single"/>
              </w:rPr>
              <w:t xml:space="preserve">             </w:t>
            </w:r>
          </w:p>
        </w:tc>
        <w:tc>
          <w:tcPr>
            <w:tcW w:w="1676" w:type="dxa"/>
            <w:noWrap w:val="0"/>
            <w:tcMar>
              <w:top w:w="57" w:type="dxa"/>
              <w:left w:w="113" w:type="dxa"/>
              <w:bottom w:w="57" w:type="dxa"/>
              <w:right w:w="113" w:type="dxa"/>
            </w:tcMar>
            <w:vAlign w:val="center"/>
          </w:tcPr>
          <w:p w14:paraId="0CBCA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sz w:val="24"/>
                <w:szCs w:val="24"/>
                <w:lang w:val="en-US" w:eastAsia="zh-CN"/>
              </w:rPr>
            </w:pPr>
            <w:r>
              <w:rPr>
                <w:rFonts w:hint="eastAsia"/>
                <w:bCs/>
                <w:sz w:val="24"/>
                <w:szCs w:val="24"/>
                <w:lang w:val="en-US" w:eastAsia="zh-CN"/>
              </w:rPr>
              <w:t>用地面积（m</w:t>
            </w:r>
            <w:r>
              <w:rPr>
                <w:rFonts w:hint="eastAsia"/>
                <w:bCs/>
                <w:sz w:val="24"/>
                <w:szCs w:val="24"/>
                <w:vertAlign w:val="superscript"/>
                <w:lang w:val="en-US" w:eastAsia="zh-CN"/>
              </w:rPr>
              <w:t>2</w:t>
            </w:r>
            <w:r>
              <w:rPr>
                <w:rFonts w:hint="eastAsia"/>
                <w:bCs/>
                <w:sz w:val="24"/>
                <w:szCs w:val="24"/>
                <w:lang w:val="en-US" w:eastAsia="zh-CN"/>
              </w:rPr>
              <w:t>）</w:t>
            </w:r>
          </w:p>
        </w:tc>
        <w:tc>
          <w:tcPr>
            <w:tcW w:w="3175" w:type="dxa"/>
            <w:noWrap w:val="0"/>
            <w:tcMar>
              <w:top w:w="57" w:type="dxa"/>
              <w:left w:w="113" w:type="dxa"/>
              <w:bottom w:w="57" w:type="dxa"/>
              <w:right w:w="113" w:type="dxa"/>
            </w:tcMar>
            <w:vAlign w:val="center"/>
          </w:tcPr>
          <w:p w14:paraId="3DFE5C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sz w:val="24"/>
                <w:szCs w:val="24"/>
                <w:lang w:val="en-US" w:eastAsia="zh-CN"/>
              </w:rPr>
            </w:pPr>
            <w:r>
              <w:rPr>
                <w:rFonts w:hint="eastAsia"/>
                <w:bCs/>
                <w:sz w:val="24"/>
                <w:szCs w:val="24"/>
                <w:lang w:val="en-US" w:eastAsia="zh-CN"/>
              </w:rPr>
              <w:t>34668</w:t>
            </w:r>
          </w:p>
        </w:tc>
      </w:tr>
      <w:tr w14:paraId="35D38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0" w:type="dxa"/>
            <w:gridSpan w:val="2"/>
            <w:noWrap w:val="0"/>
            <w:tcMar>
              <w:top w:w="57" w:type="dxa"/>
              <w:left w:w="113" w:type="dxa"/>
              <w:bottom w:w="57" w:type="dxa"/>
              <w:right w:w="113" w:type="dxa"/>
            </w:tcMar>
            <w:vAlign w:val="center"/>
          </w:tcPr>
          <w:p w14:paraId="4619322E">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专项评价设置情况</w:t>
            </w:r>
          </w:p>
        </w:tc>
        <w:tc>
          <w:tcPr>
            <w:tcW w:w="6850" w:type="dxa"/>
            <w:gridSpan w:val="3"/>
            <w:noWrap w:val="0"/>
            <w:tcMar>
              <w:top w:w="57" w:type="dxa"/>
              <w:left w:w="113" w:type="dxa"/>
              <w:bottom w:w="57" w:type="dxa"/>
              <w:right w:w="113" w:type="dxa"/>
            </w:tcMar>
            <w:vAlign w:val="center"/>
          </w:tcPr>
          <w:p w14:paraId="5774225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eastAsia="宋体"/>
                <w:sz w:val="24"/>
                <w:szCs w:val="24"/>
                <w:lang w:val="en-US" w:eastAsia="zh-CN"/>
              </w:rPr>
            </w:pPr>
            <w:r>
              <w:rPr>
                <w:rFonts w:hint="eastAsia"/>
                <w:sz w:val="24"/>
                <w:szCs w:val="24"/>
                <w:lang w:val="en-US" w:eastAsia="zh-CN"/>
              </w:rPr>
              <w:t>无，具体判别见下表。</w:t>
            </w:r>
          </w:p>
          <w:tbl>
            <w:tblPr>
              <w:tblStyle w:val="25"/>
              <w:tblW w:w="6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185"/>
              <w:gridCol w:w="3465"/>
              <w:gridCol w:w="1966"/>
            </w:tblGrid>
            <w:tr w14:paraId="67A3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185" w:type="dxa"/>
                  <w:vAlign w:val="center"/>
                </w:tcPr>
                <w:p w14:paraId="3DF25935">
                  <w:pPr>
                    <w:autoSpaceDE w:val="0"/>
                    <w:autoSpaceDN w:val="0"/>
                    <w:adjustRightInd w:val="0"/>
                    <w:snapToGrid w:val="0"/>
                    <w:jc w:val="center"/>
                    <w:rPr>
                      <w:rFonts w:hint="default" w:ascii="宋体" w:hAnsi="宋体" w:eastAsia="宋体" w:cs="宋体"/>
                      <w:b/>
                      <w:bCs/>
                      <w:kern w:val="0"/>
                      <w:sz w:val="21"/>
                      <w:szCs w:val="21"/>
                      <w:vertAlign w:val="baseline"/>
                      <w:lang w:val="en-US" w:eastAsia="zh-CN"/>
                    </w:rPr>
                  </w:pPr>
                  <w:r>
                    <w:rPr>
                      <w:rFonts w:hint="default" w:ascii="宋体" w:hAnsi="宋体" w:eastAsia="宋体" w:cs="宋体"/>
                      <w:b/>
                      <w:bCs/>
                      <w:kern w:val="0"/>
                      <w:sz w:val="21"/>
                      <w:szCs w:val="21"/>
                      <w:vertAlign w:val="baseline"/>
                      <w:lang w:val="en-US" w:eastAsia="zh-CN"/>
                    </w:rPr>
                    <w:t>专项评价的类别</w:t>
                  </w:r>
                </w:p>
              </w:tc>
              <w:tc>
                <w:tcPr>
                  <w:tcW w:w="3465" w:type="dxa"/>
                  <w:vAlign w:val="center"/>
                </w:tcPr>
                <w:p w14:paraId="2BED8E83">
                  <w:pPr>
                    <w:autoSpaceDE w:val="0"/>
                    <w:autoSpaceDN w:val="0"/>
                    <w:adjustRightInd w:val="0"/>
                    <w:snapToGrid w:val="0"/>
                    <w:jc w:val="center"/>
                    <w:rPr>
                      <w:rFonts w:hint="default" w:ascii="宋体" w:hAnsi="宋体" w:eastAsia="宋体" w:cs="宋体"/>
                      <w:b/>
                      <w:bCs/>
                      <w:kern w:val="0"/>
                      <w:sz w:val="21"/>
                      <w:szCs w:val="21"/>
                      <w:vertAlign w:val="baseline"/>
                      <w:lang w:val="en-US" w:eastAsia="zh-CN"/>
                    </w:rPr>
                  </w:pPr>
                  <w:r>
                    <w:rPr>
                      <w:rFonts w:hint="default" w:ascii="宋体" w:hAnsi="宋体" w:eastAsia="宋体" w:cs="宋体"/>
                      <w:b/>
                      <w:bCs/>
                      <w:kern w:val="0"/>
                      <w:sz w:val="21"/>
                      <w:szCs w:val="21"/>
                      <w:vertAlign w:val="baseline"/>
                      <w:lang w:val="en-US" w:eastAsia="zh-CN"/>
                    </w:rPr>
                    <w:t>设置原则</w:t>
                  </w:r>
                </w:p>
              </w:tc>
              <w:tc>
                <w:tcPr>
                  <w:tcW w:w="1966" w:type="dxa"/>
                  <w:vAlign w:val="center"/>
                </w:tcPr>
                <w:p w14:paraId="3F32997E">
                  <w:pPr>
                    <w:autoSpaceDE w:val="0"/>
                    <w:autoSpaceDN w:val="0"/>
                    <w:adjustRightInd w:val="0"/>
                    <w:snapToGrid w:val="0"/>
                    <w:jc w:val="center"/>
                    <w:rPr>
                      <w:rFonts w:hint="default" w:ascii="宋体" w:hAnsi="宋体" w:eastAsia="宋体" w:cs="宋体"/>
                      <w:b/>
                      <w:bCs/>
                      <w:kern w:val="0"/>
                      <w:sz w:val="21"/>
                      <w:szCs w:val="21"/>
                      <w:vertAlign w:val="baseline"/>
                      <w:lang w:val="en-US" w:eastAsia="zh-CN"/>
                    </w:rPr>
                  </w:pPr>
                  <w:r>
                    <w:rPr>
                      <w:rFonts w:hint="eastAsia" w:ascii="宋体" w:hAnsi="宋体" w:cs="宋体"/>
                      <w:b/>
                      <w:bCs/>
                      <w:kern w:val="0"/>
                      <w:sz w:val="21"/>
                      <w:szCs w:val="21"/>
                      <w:vertAlign w:val="baseline"/>
                      <w:lang w:val="en-US" w:eastAsia="zh-CN"/>
                    </w:rPr>
                    <w:t>本项目情况</w:t>
                  </w:r>
                </w:p>
              </w:tc>
            </w:tr>
            <w:tr w14:paraId="3E8C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185" w:type="dxa"/>
                  <w:vAlign w:val="center"/>
                </w:tcPr>
                <w:p w14:paraId="1B50C447">
                  <w:pPr>
                    <w:autoSpaceDE w:val="0"/>
                    <w:autoSpaceDN w:val="0"/>
                    <w:adjustRightInd w:val="0"/>
                    <w:snapToGrid w:val="0"/>
                    <w:jc w:val="center"/>
                    <w:rPr>
                      <w:rFonts w:hint="default" w:ascii="宋体" w:hAnsi="宋体" w:eastAsia="宋体" w:cs="宋体"/>
                      <w:kern w:val="0"/>
                      <w:sz w:val="21"/>
                      <w:szCs w:val="21"/>
                      <w:vertAlign w:val="baseline"/>
                      <w:lang w:val="en-US" w:eastAsia="zh-CN"/>
                    </w:rPr>
                  </w:pPr>
                  <w:r>
                    <w:rPr>
                      <w:rFonts w:hint="eastAsia" w:ascii="宋体" w:hAnsi="宋体" w:cs="宋体"/>
                      <w:kern w:val="0"/>
                      <w:sz w:val="21"/>
                      <w:szCs w:val="21"/>
                      <w:vertAlign w:val="baseline"/>
                      <w:lang w:val="en-US" w:eastAsia="zh-CN"/>
                    </w:rPr>
                    <w:t>大气</w:t>
                  </w:r>
                </w:p>
              </w:tc>
              <w:tc>
                <w:tcPr>
                  <w:tcW w:w="3465" w:type="dxa"/>
                  <w:vAlign w:val="center"/>
                </w:tcPr>
                <w:p w14:paraId="71A4D092">
                  <w:pPr>
                    <w:autoSpaceDE w:val="0"/>
                    <w:autoSpaceDN w:val="0"/>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排放废气含有毒有害污染物</w:t>
                  </w:r>
                  <w:r>
                    <w:rPr>
                      <w:rFonts w:hint="default" w:ascii="Times New Roman" w:hAnsi="Times New Roman" w:eastAsia="宋体" w:cs="Times New Roman"/>
                      <w:kern w:val="0"/>
                      <w:sz w:val="21"/>
                      <w:szCs w:val="21"/>
                      <w:vertAlign w:val="superscript"/>
                      <w:lang w:val="en-US" w:eastAsia="zh-CN"/>
                    </w:rPr>
                    <w:t>1</w:t>
                  </w:r>
                  <w:r>
                    <w:rPr>
                      <w:rFonts w:hint="default" w:ascii="Times New Roman" w:hAnsi="Times New Roman" w:eastAsia="宋体" w:cs="Times New Roman"/>
                      <w:kern w:val="0"/>
                      <w:sz w:val="21"/>
                      <w:szCs w:val="21"/>
                      <w:vertAlign w:val="baseline"/>
                      <w:lang w:val="en-US" w:eastAsia="zh-CN"/>
                    </w:rPr>
                    <w:t>、二噁英、苯并[a]芘、氰化物、氯气且厂界外500米范围内有环境空气保护目标的建设项目</w:t>
                  </w:r>
                </w:p>
              </w:tc>
              <w:tc>
                <w:tcPr>
                  <w:tcW w:w="1966" w:type="dxa"/>
                  <w:vAlign w:val="center"/>
                </w:tcPr>
                <w:p w14:paraId="361F1ECE">
                  <w:pPr>
                    <w:pStyle w:val="7"/>
                    <w:jc w:val="center"/>
                    <w:rPr>
                      <w:rFonts w:hint="default" w:ascii="宋体" w:hAnsi="宋体" w:eastAsia="宋体" w:cs="宋体"/>
                      <w:kern w:val="0"/>
                      <w:sz w:val="21"/>
                      <w:szCs w:val="21"/>
                      <w:highlight w:val="none"/>
                      <w:vertAlign w:val="baseline"/>
                      <w:lang w:val="en-US" w:eastAsia="zh-CN"/>
                    </w:rPr>
                  </w:pPr>
                  <w:r>
                    <w:rPr>
                      <w:rFonts w:hint="eastAsia" w:cs="Times New Roman"/>
                      <w:kern w:val="0"/>
                      <w:sz w:val="21"/>
                      <w:szCs w:val="21"/>
                      <w:vertAlign w:val="baseline"/>
                      <w:lang w:val="en-US" w:eastAsia="zh-CN"/>
                    </w:rPr>
                    <w:t>排放废气不涉及</w:t>
                  </w:r>
                  <w:r>
                    <w:rPr>
                      <w:rFonts w:hint="default" w:ascii="Times New Roman" w:hAnsi="Times New Roman" w:eastAsia="宋体" w:cs="Times New Roman"/>
                      <w:kern w:val="0"/>
                      <w:sz w:val="21"/>
                      <w:szCs w:val="21"/>
                      <w:vertAlign w:val="baseline"/>
                      <w:lang w:val="en-US" w:eastAsia="zh-CN"/>
                    </w:rPr>
                    <w:t>有毒有害污染物、二噁英、苯并[a]芘、氰化物、氯气</w:t>
                  </w:r>
                </w:p>
              </w:tc>
            </w:tr>
            <w:tr w14:paraId="5587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185" w:type="dxa"/>
                  <w:vAlign w:val="center"/>
                </w:tcPr>
                <w:p w14:paraId="1B1E25C9">
                  <w:pPr>
                    <w:autoSpaceDE w:val="0"/>
                    <w:autoSpaceDN w:val="0"/>
                    <w:adjustRightInd w:val="0"/>
                    <w:snapToGrid w:val="0"/>
                    <w:jc w:val="center"/>
                    <w:rPr>
                      <w:rFonts w:hint="default" w:ascii="宋体" w:hAnsi="宋体" w:eastAsia="宋体" w:cs="宋体"/>
                      <w:kern w:val="0"/>
                      <w:sz w:val="21"/>
                      <w:szCs w:val="21"/>
                      <w:vertAlign w:val="baseline"/>
                      <w:lang w:val="en-US" w:eastAsia="zh-CN"/>
                    </w:rPr>
                  </w:pPr>
                  <w:r>
                    <w:rPr>
                      <w:rFonts w:hint="eastAsia" w:ascii="宋体" w:hAnsi="宋体" w:cs="宋体"/>
                      <w:kern w:val="0"/>
                      <w:sz w:val="21"/>
                      <w:szCs w:val="21"/>
                      <w:vertAlign w:val="baseline"/>
                      <w:lang w:val="en-US" w:eastAsia="zh-CN"/>
                    </w:rPr>
                    <w:t>地表水</w:t>
                  </w:r>
                </w:p>
              </w:tc>
              <w:tc>
                <w:tcPr>
                  <w:tcW w:w="3465" w:type="dxa"/>
                  <w:vAlign w:val="center"/>
                </w:tcPr>
                <w:p w14:paraId="1CAF085F">
                  <w:pPr>
                    <w:autoSpaceDE w:val="0"/>
                    <w:autoSpaceDN w:val="0"/>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新增工业废水直排建设项目（槽罐车外送污水处理厂的除外）；新增废水直排的污水集中处理厂</w:t>
                  </w:r>
                </w:p>
              </w:tc>
              <w:tc>
                <w:tcPr>
                  <w:tcW w:w="1966" w:type="dxa"/>
                  <w:vAlign w:val="center"/>
                </w:tcPr>
                <w:p w14:paraId="0B8C8FB7">
                  <w:pPr>
                    <w:autoSpaceDE w:val="0"/>
                    <w:autoSpaceDN w:val="0"/>
                    <w:adjustRightInd w:val="0"/>
                    <w:snapToGrid w:val="0"/>
                    <w:jc w:val="both"/>
                    <w:rPr>
                      <w:rFonts w:hint="default" w:ascii="宋体" w:hAnsi="宋体" w:eastAsia="宋体" w:cs="宋体"/>
                      <w:kern w:val="0"/>
                      <w:sz w:val="21"/>
                      <w:szCs w:val="21"/>
                      <w:highlight w:val="none"/>
                      <w:vertAlign w:val="baseline"/>
                      <w:lang w:val="en-US" w:eastAsia="zh-CN"/>
                    </w:rPr>
                  </w:pPr>
                  <w:r>
                    <w:rPr>
                      <w:rFonts w:hint="eastAsia" w:ascii="宋体" w:hAnsi="宋体" w:cs="宋体"/>
                      <w:kern w:val="0"/>
                      <w:sz w:val="21"/>
                      <w:szCs w:val="21"/>
                      <w:highlight w:val="none"/>
                      <w:vertAlign w:val="baseline"/>
                      <w:lang w:val="en-US" w:eastAsia="zh-CN"/>
                    </w:rPr>
                    <w:t>本项目生产废水循环使用不外排，生活污水经化粪池处理后达标排放。</w:t>
                  </w:r>
                </w:p>
              </w:tc>
            </w:tr>
            <w:tr w14:paraId="71D5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185" w:type="dxa"/>
                  <w:vAlign w:val="center"/>
                </w:tcPr>
                <w:p w14:paraId="48F9B851">
                  <w:pPr>
                    <w:autoSpaceDE w:val="0"/>
                    <w:autoSpaceDN w:val="0"/>
                    <w:adjustRightInd w:val="0"/>
                    <w:snapToGrid w:val="0"/>
                    <w:jc w:val="center"/>
                    <w:rPr>
                      <w:rFonts w:hint="default" w:ascii="宋体" w:hAnsi="宋体" w:eastAsia="宋体" w:cs="宋体"/>
                      <w:kern w:val="0"/>
                      <w:sz w:val="21"/>
                      <w:szCs w:val="21"/>
                      <w:vertAlign w:val="baseline"/>
                      <w:lang w:val="en-US" w:eastAsia="zh-CN"/>
                    </w:rPr>
                  </w:pPr>
                  <w:r>
                    <w:rPr>
                      <w:rFonts w:hint="eastAsia" w:ascii="宋体" w:hAnsi="宋体" w:cs="宋体"/>
                      <w:kern w:val="0"/>
                      <w:sz w:val="21"/>
                      <w:szCs w:val="21"/>
                      <w:vertAlign w:val="baseline"/>
                      <w:lang w:val="en-US" w:eastAsia="zh-CN"/>
                    </w:rPr>
                    <w:t>环境风险</w:t>
                  </w:r>
                </w:p>
              </w:tc>
              <w:tc>
                <w:tcPr>
                  <w:tcW w:w="3465" w:type="dxa"/>
                  <w:vAlign w:val="center"/>
                </w:tcPr>
                <w:p w14:paraId="71CA1397">
                  <w:pPr>
                    <w:autoSpaceDE w:val="0"/>
                    <w:autoSpaceDN w:val="0"/>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有毒有害和易燃易爆危险物质存储量超过临界量</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vertAlign w:val="baseline"/>
                      <w:lang w:val="en-US" w:eastAsia="zh-CN"/>
                    </w:rPr>
                    <w:t>的建设项目</w:t>
                  </w:r>
                </w:p>
              </w:tc>
              <w:tc>
                <w:tcPr>
                  <w:tcW w:w="1966" w:type="dxa"/>
                  <w:vAlign w:val="center"/>
                </w:tcPr>
                <w:p w14:paraId="1F947A9F">
                  <w:pPr>
                    <w:autoSpaceDE w:val="0"/>
                    <w:autoSpaceDN w:val="0"/>
                    <w:adjustRightInd w:val="0"/>
                    <w:snapToGrid w:val="0"/>
                    <w:jc w:val="center"/>
                    <w:rPr>
                      <w:rFonts w:hint="default" w:ascii="宋体" w:hAnsi="宋体" w:eastAsia="宋体" w:cs="宋体"/>
                      <w:kern w:val="0"/>
                      <w:sz w:val="21"/>
                      <w:szCs w:val="21"/>
                      <w:vertAlign w:val="baseline"/>
                      <w:lang w:val="en-US" w:eastAsia="zh-CN"/>
                    </w:rPr>
                  </w:pPr>
                  <w:r>
                    <w:rPr>
                      <w:rFonts w:hint="eastAsia" w:ascii="宋体" w:hAnsi="宋体" w:cs="宋体"/>
                      <w:kern w:val="0"/>
                      <w:sz w:val="21"/>
                      <w:szCs w:val="21"/>
                      <w:vertAlign w:val="baseline"/>
                      <w:lang w:val="en-US" w:eastAsia="zh-CN"/>
                    </w:rPr>
                    <w:t>危险物质存储量未超过临界量</w:t>
                  </w:r>
                </w:p>
              </w:tc>
            </w:tr>
            <w:tr w14:paraId="7B9D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185" w:type="dxa"/>
                  <w:vAlign w:val="center"/>
                </w:tcPr>
                <w:p w14:paraId="7AC08D86">
                  <w:pPr>
                    <w:autoSpaceDE w:val="0"/>
                    <w:autoSpaceDN w:val="0"/>
                    <w:adjustRightInd w:val="0"/>
                    <w:snapToGrid w:val="0"/>
                    <w:jc w:val="center"/>
                    <w:rPr>
                      <w:rFonts w:hint="default" w:ascii="宋体" w:hAnsi="宋体" w:eastAsia="宋体" w:cs="宋体"/>
                      <w:kern w:val="0"/>
                      <w:sz w:val="21"/>
                      <w:szCs w:val="21"/>
                      <w:vertAlign w:val="baseline"/>
                      <w:lang w:val="en-US" w:eastAsia="zh-CN"/>
                    </w:rPr>
                  </w:pPr>
                  <w:r>
                    <w:rPr>
                      <w:rFonts w:hint="eastAsia" w:ascii="宋体" w:hAnsi="宋体" w:cs="宋体"/>
                      <w:kern w:val="0"/>
                      <w:sz w:val="21"/>
                      <w:szCs w:val="21"/>
                      <w:vertAlign w:val="baseline"/>
                      <w:lang w:val="en-US" w:eastAsia="zh-CN"/>
                    </w:rPr>
                    <w:t>生态</w:t>
                  </w:r>
                </w:p>
              </w:tc>
              <w:tc>
                <w:tcPr>
                  <w:tcW w:w="3465" w:type="dxa"/>
                  <w:vAlign w:val="center"/>
                </w:tcPr>
                <w:p w14:paraId="5035A8F4">
                  <w:pPr>
                    <w:autoSpaceDE w:val="0"/>
                    <w:autoSpaceDN w:val="0"/>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kern w:val="0"/>
                      <w:sz w:val="21"/>
                      <w:szCs w:val="21"/>
                      <w:vertAlign w:val="baseline"/>
                      <w:lang w:val="en-US" w:eastAsia="zh-CN"/>
                    </w:rPr>
                    <w:t>取水口下游500米范围内有重要水生生物的自然产卵场、索饵场、越冬场和洄游通道的新增河道取水的污染类建设项目</w:t>
                  </w:r>
                </w:p>
              </w:tc>
              <w:tc>
                <w:tcPr>
                  <w:tcW w:w="1966" w:type="dxa"/>
                  <w:vAlign w:val="center"/>
                </w:tcPr>
                <w:p w14:paraId="2C251D95">
                  <w:pPr>
                    <w:autoSpaceDE w:val="0"/>
                    <w:autoSpaceDN w:val="0"/>
                    <w:adjustRightInd w:val="0"/>
                    <w:snapToGrid w:val="0"/>
                    <w:jc w:val="center"/>
                    <w:rPr>
                      <w:rFonts w:hint="default" w:ascii="宋体" w:hAnsi="宋体" w:eastAsia="宋体" w:cs="宋体"/>
                      <w:kern w:val="0"/>
                      <w:sz w:val="21"/>
                      <w:szCs w:val="21"/>
                      <w:vertAlign w:val="baseline"/>
                      <w:lang w:val="en-US" w:eastAsia="zh-CN"/>
                    </w:rPr>
                  </w:pPr>
                  <w:r>
                    <w:rPr>
                      <w:rFonts w:hint="eastAsia" w:ascii="宋体" w:hAnsi="宋体" w:cs="宋体"/>
                      <w:kern w:val="0"/>
                      <w:sz w:val="21"/>
                      <w:szCs w:val="21"/>
                      <w:vertAlign w:val="baseline"/>
                      <w:lang w:val="en-US" w:eastAsia="zh-CN"/>
                    </w:rPr>
                    <w:t>不涉及取水口</w:t>
                  </w:r>
                </w:p>
              </w:tc>
            </w:tr>
            <w:tr w14:paraId="0AB3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185" w:type="dxa"/>
                  <w:vAlign w:val="center"/>
                </w:tcPr>
                <w:p w14:paraId="6882E413">
                  <w:pPr>
                    <w:autoSpaceDE w:val="0"/>
                    <w:autoSpaceDN w:val="0"/>
                    <w:adjustRightInd w:val="0"/>
                    <w:snapToGrid w:val="0"/>
                    <w:jc w:val="center"/>
                    <w:rPr>
                      <w:rFonts w:hint="default" w:ascii="宋体" w:hAnsi="宋体" w:cs="宋体"/>
                      <w:kern w:val="0"/>
                      <w:sz w:val="21"/>
                      <w:szCs w:val="21"/>
                      <w:vertAlign w:val="baseline"/>
                      <w:lang w:val="en-US" w:eastAsia="zh-CN"/>
                    </w:rPr>
                  </w:pPr>
                  <w:r>
                    <w:rPr>
                      <w:rFonts w:hint="eastAsia" w:ascii="宋体" w:hAnsi="宋体" w:cs="宋体"/>
                      <w:kern w:val="0"/>
                      <w:sz w:val="21"/>
                      <w:szCs w:val="21"/>
                      <w:vertAlign w:val="baseline"/>
                      <w:lang w:val="en-US" w:eastAsia="zh-CN"/>
                    </w:rPr>
                    <w:t>海洋</w:t>
                  </w:r>
                </w:p>
              </w:tc>
              <w:tc>
                <w:tcPr>
                  <w:tcW w:w="3465" w:type="dxa"/>
                  <w:vAlign w:val="center"/>
                </w:tcPr>
                <w:p w14:paraId="5463DDDD">
                  <w:pPr>
                    <w:autoSpaceDE w:val="0"/>
                    <w:autoSpaceDN w:val="0"/>
                    <w:adjustRightInd w:val="0"/>
                    <w:snapToGrid w:val="0"/>
                    <w:jc w:val="center"/>
                    <w:rPr>
                      <w:rFonts w:hint="default" w:ascii="宋体" w:hAnsi="宋体" w:eastAsia="宋体" w:cs="宋体"/>
                      <w:kern w:val="0"/>
                      <w:sz w:val="21"/>
                      <w:szCs w:val="21"/>
                      <w:vertAlign w:val="baseline"/>
                      <w:lang w:val="en-US" w:eastAsia="zh-CN"/>
                    </w:rPr>
                  </w:pPr>
                  <w:r>
                    <w:rPr>
                      <w:rFonts w:hint="default" w:ascii="宋体" w:hAnsi="宋体" w:eastAsia="宋体" w:cs="宋体"/>
                      <w:kern w:val="0"/>
                      <w:sz w:val="21"/>
                      <w:szCs w:val="21"/>
                      <w:vertAlign w:val="baseline"/>
                      <w:lang w:val="en-US" w:eastAsia="zh-CN"/>
                    </w:rPr>
                    <w:t>直接向海排放污染物的海洋工程建设项目</w:t>
                  </w:r>
                </w:p>
              </w:tc>
              <w:tc>
                <w:tcPr>
                  <w:tcW w:w="1966" w:type="dxa"/>
                  <w:vAlign w:val="center"/>
                </w:tcPr>
                <w:p w14:paraId="74632585">
                  <w:pPr>
                    <w:autoSpaceDE w:val="0"/>
                    <w:autoSpaceDN w:val="0"/>
                    <w:adjustRightInd w:val="0"/>
                    <w:snapToGrid w:val="0"/>
                    <w:jc w:val="center"/>
                    <w:rPr>
                      <w:rFonts w:hint="default" w:ascii="宋体" w:hAnsi="宋体" w:eastAsia="宋体" w:cs="宋体"/>
                      <w:kern w:val="0"/>
                      <w:sz w:val="21"/>
                      <w:szCs w:val="21"/>
                      <w:vertAlign w:val="baseline"/>
                      <w:lang w:val="en-US" w:eastAsia="zh-CN"/>
                    </w:rPr>
                  </w:pPr>
                  <w:r>
                    <w:rPr>
                      <w:rFonts w:hint="eastAsia" w:ascii="宋体" w:hAnsi="宋体" w:cs="宋体"/>
                      <w:kern w:val="0"/>
                      <w:sz w:val="21"/>
                      <w:szCs w:val="21"/>
                      <w:vertAlign w:val="baseline"/>
                      <w:lang w:val="en-US" w:eastAsia="zh-CN"/>
                    </w:rPr>
                    <w:t>不涉及海洋工程</w:t>
                  </w:r>
                </w:p>
              </w:tc>
            </w:tr>
          </w:tbl>
          <w:p w14:paraId="096D58F0">
            <w:pPr>
              <w:bidi w:val="0"/>
              <w:rPr>
                <w:b/>
                <w:bCs/>
                <w:sz w:val="22"/>
                <w:szCs w:val="22"/>
              </w:rPr>
            </w:pPr>
            <w:r>
              <w:rPr>
                <w:rFonts w:hint="eastAsia"/>
                <w:b/>
                <w:bCs/>
                <w:sz w:val="22"/>
                <w:szCs w:val="22"/>
                <w:lang w:val="en-US" w:eastAsia="zh-CN"/>
              </w:rPr>
              <w:t xml:space="preserve">注：1.废气中有毒有害污染物指纳入《有毒有害大气污染物名录》的污染物（不包括无排放标准的污染物）。 </w:t>
            </w:r>
          </w:p>
          <w:p w14:paraId="1C396F26">
            <w:pPr>
              <w:bidi w:val="0"/>
              <w:ind w:firstLine="442" w:firstLineChars="200"/>
              <w:rPr>
                <w:b/>
                <w:bCs/>
                <w:sz w:val="22"/>
                <w:szCs w:val="22"/>
              </w:rPr>
            </w:pPr>
            <w:r>
              <w:rPr>
                <w:rFonts w:hint="eastAsia"/>
                <w:b/>
                <w:bCs/>
                <w:sz w:val="22"/>
                <w:szCs w:val="22"/>
                <w:lang w:val="en-US" w:eastAsia="zh-CN"/>
              </w:rPr>
              <w:t xml:space="preserve">2.环境空气保护目标指自然保护区、风景名胜区、居住区、文化区和农村地区中人群较集中的区域。 </w:t>
            </w:r>
          </w:p>
          <w:p w14:paraId="0C9DEE80">
            <w:pPr>
              <w:bidi w:val="0"/>
              <w:ind w:firstLine="442" w:firstLineChars="200"/>
              <w:rPr>
                <w:rFonts w:hint="default" w:ascii="宋体" w:hAnsi="宋体" w:eastAsia="宋体" w:cs="宋体"/>
                <w:kern w:val="0"/>
                <w:sz w:val="24"/>
                <w:szCs w:val="24"/>
                <w:lang w:val="en-US" w:eastAsia="zh-CN"/>
              </w:rPr>
            </w:pPr>
            <w:r>
              <w:rPr>
                <w:rFonts w:hint="eastAsia"/>
                <w:b/>
                <w:bCs/>
                <w:sz w:val="22"/>
                <w:szCs w:val="22"/>
                <w:lang w:val="en-US" w:eastAsia="zh-CN"/>
              </w:rPr>
              <w:t>3.临界量及其计算方法可参考《建设项目环境风险评价技术导则》（HJ 169）附录 B、附录 C。</w:t>
            </w:r>
          </w:p>
        </w:tc>
      </w:tr>
      <w:tr w14:paraId="40FE7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0" w:type="dxa"/>
            <w:gridSpan w:val="2"/>
            <w:noWrap w:val="0"/>
            <w:tcMar>
              <w:top w:w="57" w:type="dxa"/>
              <w:left w:w="113" w:type="dxa"/>
              <w:bottom w:w="57" w:type="dxa"/>
              <w:right w:w="113" w:type="dxa"/>
            </w:tcMar>
            <w:vAlign w:val="center"/>
          </w:tcPr>
          <w:p w14:paraId="7E76810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cs="宋体"/>
                <w:kern w:val="0"/>
                <w:sz w:val="24"/>
                <w:szCs w:val="24"/>
              </w:rPr>
            </w:pPr>
            <w:r>
              <w:rPr>
                <w:rFonts w:hint="eastAsia" w:ascii="宋体" w:hAnsi="宋体" w:cs="宋体"/>
                <w:sz w:val="24"/>
                <w:szCs w:val="24"/>
              </w:rPr>
              <w:t>规划情况</w:t>
            </w:r>
          </w:p>
        </w:tc>
        <w:tc>
          <w:tcPr>
            <w:tcW w:w="6850" w:type="dxa"/>
            <w:gridSpan w:val="3"/>
            <w:noWrap w:val="0"/>
            <w:tcMar>
              <w:top w:w="57" w:type="dxa"/>
              <w:left w:w="113" w:type="dxa"/>
              <w:bottom w:w="57" w:type="dxa"/>
              <w:right w:w="113" w:type="dxa"/>
            </w:tcMar>
            <w:vAlign w:val="center"/>
          </w:tcPr>
          <w:p w14:paraId="362DE2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kern w:val="0"/>
                <w:sz w:val="24"/>
                <w:highlight w:val="none"/>
                <w:lang w:val="en-US" w:eastAsia="zh-CN"/>
              </w:rPr>
            </w:pPr>
            <w:r>
              <w:rPr>
                <w:rFonts w:hint="eastAsia" w:ascii="Times New Roman" w:hAnsi="Times New Roman" w:cs="Times New Roman"/>
                <w:b/>
                <w:bCs/>
                <w:color w:val="000000"/>
                <w:kern w:val="0"/>
                <w:sz w:val="24"/>
                <w:highlight w:val="none"/>
                <w:lang w:val="en-US" w:eastAsia="zh-CN"/>
              </w:rPr>
              <w:t>/</w:t>
            </w:r>
          </w:p>
        </w:tc>
      </w:tr>
      <w:tr w14:paraId="0958C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0" w:type="dxa"/>
            <w:gridSpan w:val="2"/>
            <w:noWrap w:val="0"/>
            <w:tcMar>
              <w:top w:w="57" w:type="dxa"/>
              <w:left w:w="113" w:type="dxa"/>
              <w:bottom w:w="57" w:type="dxa"/>
              <w:right w:w="113" w:type="dxa"/>
            </w:tcMar>
            <w:vAlign w:val="center"/>
          </w:tcPr>
          <w:p w14:paraId="28737272">
            <w:pPr>
              <w:keepNext w:val="0"/>
              <w:keepLines w:val="0"/>
              <w:pageBreakBefore w:val="0"/>
              <w:widowControl w:val="0"/>
              <w:kinsoku/>
              <w:wordWrap/>
              <w:overflowPunct/>
              <w:topLinePunct w:val="0"/>
              <w:bidi w:val="0"/>
              <w:adjustRightInd w:val="0"/>
              <w:snapToGrid w:val="0"/>
              <w:spacing w:line="240" w:lineRule="auto"/>
              <w:jc w:val="center"/>
              <w:textAlignment w:val="auto"/>
              <w:rPr>
                <w:rFonts w:ascii="宋体" w:hAnsi="宋体" w:cs="宋体"/>
                <w:sz w:val="24"/>
                <w:szCs w:val="24"/>
              </w:rPr>
            </w:pPr>
            <w:r>
              <w:rPr>
                <w:rFonts w:hint="eastAsia" w:ascii="宋体" w:hAnsi="宋体" w:cs="宋体"/>
                <w:sz w:val="24"/>
                <w:szCs w:val="24"/>
              </w:rPr>
              <w:t>规划环境影响</w:t>
            </w:r>
          </w:p>
          <w:p w14:paraId="29E7474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cs="宋体"/>
                <w:kern w:val="0"/>
                <w:sz w:val="24"/>
                <w:szCs w:val="24"/>
              </w:rPr>
            </w:pPr>
            <w:r>
              <w:rPr>
                <w:rFonts w:hint="eastAsia" w:ascii="宋体" w:hAnsi="宋体" w:cs="宋体"/>
                <w:sz w:val="24"/>
                <w:szCs w:val="24"/>
              </w:rPr>
              <w:t>评价情况</w:t>
            </w:r>
          </w:p>
        </w:tc>
        <w:tc>
          <w:tcPr>
            <w:tcW w:w="6850" w:type="dxa"/>
            <w:gridSpan w:val="3"/>
            <w:noWrap w:val="0"/>
            <w:tcMar>
              <w:top w:w="57" w:type="dxa"/>
              <w:left w:w="113" w:type="dxa"/>
              <w:bottom w:w="57" w:type="dxa"/>
              <w:right w:w="113" w:type="dxa"/>
            </w:tcMar>
            <w:vAlign w:val="center"/>
          </w:tcPr>
          <w:p w14:paraId="4D7AFD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kern w:val="0"/>
                <w:sz w:val="24"/>
                <w:highlight w:val="none"/>
                <w:lang w:val="en-US" w:eastAsia="zh-CN"/>
              </w:rPr>
            </w:pPr>
            <w:r>
              <w:rPr>
                <w:rFonts w:hint="default" w:ascii="Times New Roman" w:hAnsi="Times New Roman" w:cs="Times New Roman"/>
                <w:b/>
                <w:bCs/>
                <w:color w:val="000000"/>
                <w:kern w:val="0"/>
                <w:sz w:val="24"/>
                <w:highlight w:val="none"/>
                <w:lang w:val="en-US" w:eastAsia="zh-CN"/>
              </w:rPr>
              <w:t>/</w:t>
            </w:r>
          </w:p>
        </w:tc>
      </w:tr>
      <w:tr w14:paraId="7F2B91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20" w:type="dxa"/>
            <w:gridSpan w:val="2"/>
            <w:noWrap w:val="0"/>
            <w:tcMar>
              <w:top w:w="57" w:type="dxa"/>
              <w:left w:w="113" w:type="dxa"/>
              <w:bottom w:w="57" w:type="dxa"/>
              <w:right w:w="113" w:type="dxa"/>
            </w:tcMar>
            <w:vAlign w:val="center"/>
          </w:tcPr>
          <w:p w14:paraId="4B02CE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cs="宋体"/>
                <w:kern w:val="0"/>
                <w:sz w:val="24"/>
                <w:szCs w:val="24"/>
                <w:highlight w:val="none"/>
                <w:lang w:val="en-US" w:eastAsia="zh-CN"/>
              </w:rPr>
            </w:pPr>
            <w:r>
              <w:rPr>
                <w:rFonts w:hint="eastAsia" w:ascii="宋体" w:hAnsi="宋体" w:cs="宋体"/>
                <w:kern w:val="0"/>
                <w:sz w:val="24"/>
                <w:szCs w:val="24"/>
              </w:rPr>
              <w:t>规划及规划环境影响评价符合性分析</w:t>
            </w:r>
          </w:p>
        </w:tc>
        <w:tc>
          <w:tcPr>
            <w:tcW w:w="6850" w:type="dxa"/>
            <w:gridSpan w:val="3"/>
            <w:noWrap w:val="0"/>
            <w:tcMar>
              <w:top w:w="57" w:type="dxa"/>
              <w:left w:w="113" w:type="dxa"/>
              <w:bottom w:w="57" w:type="dxa"/>
              <w:right w:w="113" w:type="dxa"/>
            </w:tcMar>
            <w:vAlign w:val="center"/>
          </w:tcPr>
          <w:p w14:paraId="1C8BBA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0000"/>
                <w:kern w:val="0"/>
                <w:sz w:val="24"/>
                <w:highlight w:val="none"/>
                <w:lang w:val="en-US" w:eastAsia="zh-CN"/>
              </w:rPr>
            </w:pPr>
            <w:r>
              <w:rPr>
                <w:rFonts w:hint="default" w:ascii="Times New Roman" w:hAnsi="Times New Roman" w:cs="Times New Roman"/>
                <w:b/>
                <w:bCs/>
                <w:color w:val="000000"/>
                <w:kern w:val="0"/>
                <w:sz w:val="24"/>
                <w:highlight w:val="none"/>
                <w:lang w:val="en-US" w:eastAsia="zh-CN"/>
              </w:rPr>
              <w:t>/</w:t>
            </w:r>
          </w:p>
        </w:tc>
      </w:tr>
      <w:tr w14:paraId="3F804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73" w:type="dxa"/>
            <w:noWrap w:val="0"/>
            <w:tcMar>
              <w:top w:w="57" w:type="dxa"/>
              <w:left w:w="113" w:type="dxa"/>
              <w:bottom w:w="57" w:type="dxa"/>
              <w:right w:w="113" w:type="dxa"/>
            </w:tcMar>
            <w:vAlign w:val="center"/>
          </w:tcPr>
          <w:p w14:paraId="41ADA78E">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其他符合性分析</w:t>
            </w:r>
          </w:p>
        </w:tc>
        <w:tc>
          <w:tcPr>
            <w:tcW w:w="8297" w:type="dxa"/>
            <w:gridSpan w:val="4"/>
            <w:noWrap w:val="0"/>
            <w:tcMar>
              <w:top w:w="57" w:type="dxa"/>
              <w:left w:w="113" w:type="dxa"/>
              <w:bottom w:w="57" w:type="dxa"/>
              <w:right w:w="113" w:type="dxa"/>
            </w:tcMar>
            <w:vAlign w:val="center"/>
          </w:tcPr>
          <w:p w14:paraId="7051BDA2">
            <w:pPr>
              <w:autoSpaceDE w:val="0"/>
              <w:autoSpaceDN w:val="0"/>
              <w:adjustRightInd w:val="0"/>
              <w:snapToGrid w:val="0"/>
              <w:spacing w:line="360" w:lineRule="auto"/>
              <w:jc w:val="both"/>
              <w:rPr>
                <w:rFonts w:hint="eastAsia" w:ascii="宋体" w:hAnsi="宋体" w:cs="宋体"/>
                <w:b/>
                <w:bCs/>
                <w:kern w:val="0"/>
                <w:sz w:val="24"/>
                <w:szCs w:val="24"/>
                <w:lang w:val="en-US" w:eastAsia="zh-CN"/>
              </w:rPr>
            </w:pPr>
            <w:r>
              <w:rPr>
                <w:rFonts w:hint="eastAsia" w:ascii="宋体" w:hAnsi="宋体" w:cs="宋体"/>
                <w:b/>
                <w:bCs/>
                <w:kern w:val="0"/>
                <w:sz w:val="28"/>
                <w:szCs w:val="28"/>
                <w:lang w:val="en-US" w:eastAsia="zh-CN"/>
              </w:rPr>
              <w:t>1</w:t>
            </w:r>
            <w:r>
              <w:rPr>
                <w:rFonts w:hint="eastAsia" w:ascii="宋体" w:hAnsi="宋体" w:cs="宋体"/>
                <w:b/>
                <w:bCs/>
                <w:kern w:val="0"/>
                <w:sz w:val="28"/>
                <w:szCs w:val="28"/>
              </w:rPr>
              <w:t>、产业政策相符性</w:t>
            </w:r>
            <w:r>
              <w:rPr>
                <w:rFonts w:hint="eastAsia" w:ascii="宋体" w:hAnsi="宋体" w:cs="宋体"/>
                <w:b/>
                <w:bCs/>
                <w:kern w:val="0"/>
                <w:sz w:val="28"/>
                <w:szCs w:val="28"/>
                <w:lang w:val="en-US" w:eastAsia="zh-CN"/>
              </w:rPr>
              <w:t>分析</w:t>
            </w:r>
          </w:p>
          <w:p w14:paraId="155DAB9B">
            <w:pPr>
              <w:autoSpaceDE w:val="0"/>
              <w:autoSpaceDN w:val="0"/>
              <w:adjustRightInd w:val="0"/>
              <w:snapToGrid w:val="0"/>
              <w:spacing w:line="360" w:lineRule="auto"/>
              <w:ind w:firstLine="480" w:firstLineChars="200"/>
              <w:jc w:val="both"/>
              <w:rPr>
                <w:rFonts w:hint="eastAsia" w:ascii="宋体" w:hAnsi="宋体" w:cs="宋体"/>
                <w:kern w:val="0"/>
                <w:sz w:val="24"/>
                <w:szCs w:val="24"/>
              </w:rPr>
            </w:pPr>
            <w:r>
              <w:rPr>
                <w:rFonts w:hint="eastAsia" w:ascii="Times New Roman" w:hAnsi="Times New Roman" w:eastAsia="宋体" w:cs="Times New Roman"/>
                <w:color w:val="auto"/>
                <w:sz w:val="24"/>
                <w:szCs w:val="24"/>
              </w:rPr>
              <w:t>本项目</w:t>
            </w:r>
            <w:r>
              <w:rPr>
                <w:rFonts w:hint="eastAsia" w:cs="Times New Roman"/>
                <w:color w:val="auto"/>
                <w:sz w:val="24"/>
                <w:szCs w:val="24"/>
                <w:lang w:val="en-US" w:eastAsia="zh-CN"/>
              </w:rPr>
              <w:t>属于</w:t>
            </w:r>
            <w:r>
              <w:rPr>
                <w:rFonts w:hint="eastAsia"/>
                <w:color w:val="000000"/>
                <w:kern w:val="0"/>
                <w:sz w:val="24"/>
                <w:lang w:val="en-US" w:eastAsia="zh-CN"/>
              </w:rPr>
              <w:t>《国民经济行业分类》（GB/T 4754-2017）中的</w:t>
            </w:r>
            <w:r>
              <w:rPr>
                <w:rFonts w:hint="eastAsia" w:ascii="Times New Roman" w:hAnsi="Times New Roman" w:eastAsia="宋体" w:cs="Times New Roman"/>
                <w:color w:val="auto"/>
                <w:sz w:val="24"/>
                <w:szCs w:val="24"/>
              </w:rPr>
              <w:t>C3</w:t>
            </w:r>
            <w:r>
              <w:rPr>
                <w:rFonts w:hint="eastAsia" w:cs="Times New Roman"/>
                <w:color w:val="auto"/>
                <w:sz w:val="24"/>
                <w:szCs w:val="24"/>
                <w:lang w:val="en-US" w:eastAsia="zh-CN"/>
              </w:rPr>
              <w:t>461</w:t>
            </w:r>
            <w:r>
              <w:rPr>
                <w:rFonts w:hint="eastAsia"/>
                <w:bCs/>
                <w:sz w:val="24"/>
                <w:szCs w:val="24"/>
                <w:highlight w:val="none"/>
                <w:lang w:val="en-US" w:eastAsia="zh-CN"/>
              </w:rPr>
              <w:t>烘炉、熔炉及电炉制造。</w:t>
            </w:r>
            <w:r>
              <w:rPr>
                <w:rFonts w:hint="eastAsia" w:ascii="Times New Roman" w:hAnsi="Times New Roman" w:eastAsia="宋体" w:cs="Times New Roman"/>
                <w:color w:val="auto"/>
                <w:sz w:val="24"/>
                <w:szCs w:val="24"/>
              </w:rPr>
              <w:t>对照《产业结构调整指导目录（2024年本）》，</w:t>
            </w:r>
            <w:r>
              <w:rPr>
                <w:rFonts w:hint="eastAsia"/>
                <w:color w:val="000000"/>
                <w:kern w:val="0"/>
                <w:sz w:val="24"/>
                <w:lang w:val="en-US" w:eastAsia="zh-CN"/>
              </w:rPr>
              <w:t>本项目不属于限制类和淘汰类项目，视为允许类建设项目</w:t>
            </w:r>
            <w:r>
              <w:rPr>
                <w:rFonts w:hint="eastAsia"/>
                <w:bCs/>
                <w:sz w:val="24"/>
                <w:szCs w:val="24"/>
                <w:lang w:val="en-US" w:eastAsia="zh-CN"/>
              </w:rPr>
              <w:t>。</w:t>
            </w:r>
            <w:r>
              <w:rPr>
                <w:rFonts w:hint="eastAsia"/>
                <w:color w:val="000000"/>
                <w:kern w:val="0"/>
                <w:sz w:val="24"/>
                <w:lang w:val="en-US" w:eastAsia="zh-CN"/>
              </w:rPr>
              <w:t>本项目不属于《市场准入负面清单（2025年版）》中禁止准入类项目，本项目产品不在《环境保护综合名录（2021年版）》文件中“高污染、高环境风险”产品名录内，项目符合相关法律法规和政策规定</w:t>
            </w:r>
            <w:r>
              <w:rPr>
                <w:rFonts w:hint="eastAsia" w:ascii="宋体" w:hAnsi="宋体" w:cs="宋体"/>
                <w:kern w:val="0"/>
                <w:sz w:val="24"/>
                <w:szCs w:val="24"/>
              </w:rPr>
              <w:t>。</w:t>
            </w:r>
          </w:p>
          <w:p w14:paraId="6E38DB90">
            <w:pPr>
              <w:spacing w:line="360" w:lineRule="auto"/>
              <w:ind w:firstLine="480" w:firstLineChars="200"/>
              <w:jc w:val="left"/>
              <w:rPr>
                <w:rFonts w:hint="eastAsia" w:ascii="宋体" w:hAnsi="宋体" w:cs="宋体"/>
                <w:kern w:val="0"/>
                <w:sz w:val="24"/>
                <w:szCs w:val="24"/>
                <w:lang w:eastAsia="zh-CN"/>
              </w:rPr>
            </w:pPr>
            <w:r>
              <w:rPr>
                <w:rFonts w:hint="eastAsia"/>
                <w:color w:val="000000"/>
                <w:kern w:val="0"/>
                <w:sz w:val="24"/>
                <w:lang w:val="en-US" w:eastAsia="zh-CN"/>
              </w:rPr>
              <w:t>对照生态环境部《关于加强高耗能、高排放建设项目生态环境源头防控的指导意见》（环环评〔2021〕45号）及《安徽省“两高”项目管理目录（试行）》（皖节能〔2022〕2号），本项目不属于“两高”项目。</w:t>
            </w:r>
          </w:p>
          <w:p w14:paraId="6A00E4B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cs="宋体"/>
                <w:kern w:val="0"/>
                <w:sz w:val="24"/>
                <w:szCs w:val="24"/>
                <w:lang w:eastAsia="zh-CN"/>
              </w:rPr>
            </w:pPr>
            <w:r>
              <w:rPr>
                <w:rFonts w:hint="eastAsia" w:ascii="宋体" w:hAnsi="宋体" w:cs="宋体"/>
                <w:kern w:val="0"/>
                <w:sz w:val="24"/>
                <w:szCs w:val="24"/>
                <w:lang w:eastAsia="zh-CN"/>
              </w:rPr>
              <w:t>因此，本项目符合国家和</w:t>
            </w:r>
            <w:r>
              <w:rPr>
                <w:rFonts w:hint="eastAsia" w:ascii="宋体" w:hAnsi="宋体" w:cs="宋体"/>
                <w:kern w:val="0"/>
                <w:sz w:val="24"/>
                <w:szCs w:val="24"/>
                <w:lang w:val="en-US" w:eastAsia="zh-CN"/>
              </w:rPr>
              <w:t>安徽省</w:t>
            </w:r>
            <w:r>
              <w:rPr>
                <w:rFonts w:hint="eastAsia" w:ascii="宋体" w:hAnsi="宋体" w:cs="宋体"/>
                <w:kern w:val="0"/>
                <w:sz w:val="24"/>
                <w:szCs w:val="24"/>
                <w:lang w:eastAsia="zh-CN"/>
              </w:rPr>
              <w:t>产业政策。</w:t>
            </w:r>
          </w:p>
          <w:p w14:paraId="6ACBDF9D">
            <w:pPr>
              <w:autoSpaceDE w:val="0"/>
              <w:autoSpaceDN w:val="0"/>
              <w:adjustRightInd w:val="0"/>
              <w:snapToGrid w:val="0"/>
              <w:spacing w:line="360" w:lineRule="auto"/>
              <w:jc w:val="both"/>
              <w:rPr>
                <w:rFonts w:hint="eastAsia" w:ascii="宋体" w:hAnsi="宋体" w:cs="宋体"/>
                <w:b/>
                <w:bCs/>
                <w:kern w:val="0"/>
                <w:sz w:val="28"/>
                <w:szCs w:val="28"/>
              </w:rPr>
            </w:pPr>
            <w:r>
              <w:rPr>
                <w:rFonts w:hint="eastAsia" w:ascii="宋体" w:hAnsi="宋体" w:cs="宋体"/>
                <w:b/>
                <w:bCs/>
                <w:kern w:val="0"/>
                <w:sz w:val="28"/>
                <w:szCs w:val="28"/>
                <w:lang w:val="en-US" w:eastAsia="zh-CN"/>
              </w:rPr>
              <w:t>2</w:t>
            </w:r>
            <w:r>
              <w:rPr>
                <w:rFonts w:hint="eastAsia" w:ascii="宋体" w:hAnsi="宋体" w:cs="宋体"/>
                <w:b/>
                <w:bCs/>
                <w:kern w:val="0"/>
                <w:sz w:val="28"/>
                <w:szCs w:val="28"/>
              </w:rPr>
              <w:t>、选址可行性分析</w:t>
            </w:r>
          </w:p>
          <w:p w14:paraId="7B6A0D80">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（1）选址合理性</w:t>
            </w:r>
          </w:p>
          <w:p w14:paraId="34648AB1">
            <w:pPr>
              <w:keepNext w:val="0"/>
              <w:keepLines w:val="0"/>
              <w:pageBreakBefore w:val="0"/>
              <w:widowControl w:val="0"/>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val="en-US" w:eastAsia="zh-CN"/>
              </w:rPr>
              <w:t>①</w:t>
            </w:r>
            <w:r>
              <w:rPr>
                <w:rFonts w:hint="eastAsia" w:cs="Times New Roman"/>
                <w:bCs/>
                <w:sz w:val="24"/>
                <w:szCs w:val="24"/>
                <w:highlight w:val="none"/>
                <w:lang w:val="en-US" w:eastAsia="zh-CN"/>
              </w:rPr>
              <w:t>根据</w:t>
            </w:r>
            <w:r>
              <w:rPr>
                <w:rFonts w:hint="default" w:ascii="Times New Roman" w:hAnsi="Times New Roman" w:eastAsia="宋体" w:cs="Times New Roman"/>
                <w:sz w:val="24"/>
                <w:szCs w:val="24"/>
                <w:highlight w:val="none"/>
              </w:rPr>
              <w:t>《淮北市国土空间总体规划（2021—2035 年）》</w:t>
            </w:r>
            <w:r>
              <w:rPr>
                <w:rFonts w:hint="eastAsia" w:cs="Times New Roman"/>
                <w:sz w:val="24"/>
                <w:szCs w:val="24"/>
                <w:highlight w:val="none"/>
                <w:lang w:val="en-US" w:eastAsia="zh-CN"/>
              </w:rPr>
              <w:t>文件，规划</w:t>
            </w:r>
            <w:r>
              <w:rPr>
                <w:rFonts w:hint="default" w:ascii="Times New Roman" w:hAnsi="Times New Roman" w:eastAsia="宋体" w:cs="Times New Roman"/>
                <w:sz w:val="24"/>
                <w:szCs w:val="24"/>
                <w:highlight w:val="none"/>
                <w:lang w:val="en-US" w:eastAsia="zh-CN"/>
              </w:rPr>
              <w:t>范围为：</w:t>
            </w:r>
            <w:r>
              <w:rPr>
                <w:rFonts w:hint="default" w:ascii="Times New Roman" w:hAnsi="Times New Roman" w:eastAsia="宋体" w:cs="Times New Roman"/>
                <w:sz w:val="24"/>
                <w:szCs w:val="24"/>
                <w:highlight w:val="none"/>
              </w:rPr>
              <w:t>东至东外环路</w:t>
            </w:r>
            <w:r>
              <w:rPr>
                <w:rStyle w:val="27"/>
                <w:rFonts w:hint="default"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sz w:val="24"/>
                <w:szCs w:val="24"/>
                <w:highlight w:val="none"/>
              </w:rPr>
              <w:t>南至高新区南区</w:t>
            </w:r>
            <w:r>
              <w:rPr>
                <w:rStyle w:val="27"/>
                <w:rFonts w:hint="default"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sz w:val="24"/>
                <w:szCs w:val="24"/>
                <w:highlight w:val="none"/>
              </w:rPr>
              <w:t>西至西外环路、相山区界</w:t>
            </w:r>
            <w:r>
              <w:rPr>
                <w:rStyle w:val="27"/>
                <w:rFonts w:hint="default"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sz w:val="24"/>
                <w:szCs w:val="24"/>
                <w:highlight w:val="none"/>
              </w:rPr>
              <w:t>北至淮北市界、朔西湖北、北外环路</w:t>
            </w:r>
            <w:r>
              <w:rPr>
                <w:rStyle w:val="27"/>
                <w:rFonts w:hint="default" w:ascii="Times New Roman" w:hAnsi="Times New Roman" w:eastAsia="宋体" w:cs="Times New Roman"/>
                <w:b w:val="0"/>
                <w:bCs w:val="0"/>
                <w:color w:val="000000"/>
                <w:sz w:val="24"/>
                <w:szCs w:val="24"/>
                <w:highlight w:val="none"/>
                <w:lang w:eastAsia="zh-CN"/>
              </w:rPr>
              <w:t>，</w:t>
            </w:r>
            <w:r>
              <w:rPr>
                <w:rFonts w:hint="default" w:ascii="Times New Roman" w:hAnsi="Times New Roman" w:eastAsia="宋体" w:cs="Times New Roman"/>
                <w:b w:val="0"/>
                <w:bCs w:val="0"/>
                <w:sz w:val="24"/>
                <w:szCs w:val="24"/>
                <w:highlight w:val="none"/>
              </w:rPr>
              <w:t>总面积约</w:t>
            </w:r>
            <w:r>
              <w:rPr>
                <w:rStyle w:val="27"/>
                <w:rFonts w:hint="default" w:ascii="Times New Roman" w:hAnsi="Times New Roman" w:eastAsia="宋体" w:cs="Times New Roman"/>
                <w:b w:val="0"/>
                <w:bCs w:val="0"/>
                <w:color w:val="000000"/>
                <w:sz w:val="24"/>
                <w:szCs w:val="24"/>
                <w:highlight w:val="none"/>
              </w:rPr>
              <w:t>375 km</w:t>
            </w:r>
            <w:r>
              <w:rPr>
                <w:rStyle w:val="27"/>
                <w:rFonts w:hint="default" w:ascii="Times New Roman" w:hAnsi="Times New Roman" w:eastAsia="宋体" w:cs="Times New Roman"/>
                <w:b w:val="0"/>
                <w:bCs w:val="0"/>
                <w:color w:val="000000"/>
                <w:sz w:val="24"/>
                <w:szCs w:val="24"/>
                <w:highlight w:val="none"/>
                <w:vertAlign w:val="superscript"/>
                <w:lang w:val="en-US" w:eastAsia="zh-CN"/>
              </w:rPr>
              <w:t>2</w:t>
            </w:r>
            <w:r>
              <w:rPr>
                <w:rStyle w:val="27"/>
                <w:rFonts w:hint="default" w:ascii="Times New Roman" w:hAnsi="Times New Roman" w:eastAsia="宋体" w:cs="Times New Roman"/>
                <w:b w:val="0"/>
                <w:bCs w:val="0"/>
                <w:color w:val="000000"/>
                <w:sz w:val="24"/>
                <w:szCs w:val="24"/>
                <w:highlight w:val="none"/>
                <w:lang w:eastAsia="zh-CN"/>
              </w:rPr>
              <w:t>，</w:t>
            </w:r>
            <w:r>
              <w:rPr>
                <w:rStyle w:val="27"/>
                <w:rFonts w:hint="default" w:ascii="Times New Roman" w:hAnsi="Times New Roman" w:eastAsia="宋体" w:cs="Times New Roman"/>
                <w:b w:val="0"/>
                <w:bCs w:val="0"/>
                <w:color w:val="000000"/>
                <w:sz w:val="24"/>
                <w:szCs w:val="24"/>
                <w:highlight w:val="none"/>
                <w:lang w:val="en-US" w:eastAsia="zh-CN"/>
              </w:rPr>
              <w:t>其中</w:t>
            </w:r>
            <w:r>
              <w:rPr>
                <w:rStyle w:val="27"/>
                <w:rFonts w:hint="default" w:ascii="Times New Roman" w:hAnsi="Times New Roman" w:eastAsia="宋体" w:cs="Times New Roman"/>
                <w:b w:val="0"/>
                <w:bCs w:val="0"/>
                <w:color w:val="000000"/>
                <w:sz w:val="24"/>
                <w:szCs w:val="24"/>
                <w:highlight w:val="none"/>
              </w:rPr>
              <w:t>朔里镇镇区</w:t>
            </w:r>
            <w:r>
              <w:rPr>
                <w:rFonts w:hint="default" w:ascii="Times New Roman" w:hAnsi="Times New Roman" w:eastAsia="宋体" w:cs="Times New Roman"/>
                <w:b w:val="0"/>
                <w:bCs w:val="0"/>
                <w:sz w:val="24"/>
                <w:szCs w:val="24"/>
                <w:highlight w:val="none"/>
              </w:rPr>
              <w:t>位于中心城区</w:t>
            </w:r>
            <w:r>
              <w:rPr>
                <w:rStyle w:val="27"/>
                <w:rFonts w:hint="default" w:ascii="Times New Roman" w:hAnsi="Times New Roman" w:eastAsia="宋体" w:cs="Times New Roman"/>
                <w:b w:val="0"/>
                <w:bCs w:val="0"/>
                <w:color w:val="000000"/>
                <w:sz w:val="24"/>
                <w:szCs w:val="24"/>
                <w:highlight w:val="none"/>
              </w:rPr>
              <w:t>北部边界</w:t>
            </w:r>
            <w:r>
              <w:rPr>
                <w:rFonts w:hint="default" w:ascii="Times New Roman" w:hAnsi="Times New Roman" w:eastAsia="宋体" w:cs="Times New Roman"/>
                <w:b w:val="0"/>
                <w:bCs w:val="0"/>
                <w:sz w:val="24"/>
                <w:szCs w:val="24"/>
                <w:highlight w:val="none"/>
              </w:rPr>
              <w:t>，属于</w:t>
            </w:r>
            <w:r>
              <w:rPr>
                <w:rStyle w:val="27"/>
                <w:rFonts w:hint="default" w:ascii="Times New Roman" w:hAnsi="Times New Roman" w:eastAsia="宋体" w:cs="Times New Roman"/>
                <w:b w:val="0"/>
                <w:bCs w:val="0"/>
                <w:color w:val="000000"/>
                <w:sz w:val="24"/>
                <w:szCs w:val="24"/>
                <w:highlight w:val="none"/>
              </w:rPr>
              <w:t>城镇发展区（集中建设+弹性）+生态控制区（朔西湖</w:t>
            </w:r>
            <w:r>
              <w:rPr>
                <w:rStyle w:val="27"/>
                <w:rFonts w:hint="eastAsia" w:ascii="Times New Roman" w:hAnsi="Times New Roman" w:cs="Times New Roman"/>
                <w:b w:val="0"/>
                <w:bCs w:val="0"/>
                <w:color w:val="000000"/>
                <w:sz w:val="24"/>
                <w:szCs w:val="24"/>
                <w:highlight w:val="none"/>
                <w:lang w:eastAsia="zh-CN"/>
              </w:rPr>
              <w:t>）</w:t>
            </w:r>
            <w:r>
              <w:rPr>
                <w:rStyle w:val="27"/>
                <w:rFonts w:hint="default" w:ascii="Times New Roman" w:hAnsi="Times New Roman" w:eastAsia="宋体" w:cs="Times New Roman"/>
                <w:b w:val="0"/>
                <w:bCs w:val="0"/>
                <w:color w:val="000000"/>
                <w:sz w:val="24"/>
                <w:szCs w:val="24"/>
                <w:highlight w:val="none"/>
              </w:rPr>
              <w:t>+乡村发展区</w:t>
            </w:r>
            <w:r>
              <w:rPr>
                <w:rStyle w:val="27"/>
                <w:rFonts w:hint="eastAsia" w:cs="Times New Roman"/>
                <w:b w:val="0"/>
                <w:bCs w:val="0"/>
                <w:color w:val="00000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本项目</w:t>
            </w:r>
            <w:r>
              <w:rPr>
                <w:rFonts w:hint="default" w:ascii="Times New Roman" w:hAnsi="Times New Roman" w:eastAsia="宋体" w:cs="Times New Roman"/>
                <w:bCs/>
                <w:sz w:val="24"/>
                <w:szCs w:val="24"/>
                <w:highlight w:val="none"/>
                <w:lang w:val="en-US" w:eastAsia="zh-CN"/>
              </w:rPr>
              <w:t>位于安徽省淮北市杜集区杜集经济开发区萧淮路16号</w:t>
            </w:r>
            <w:r>
              <w:rPr>
                <w:rFonts w:hint="default" w:ascii="Times New Roman" w:hAnsi="Times New Roman" w:cs="Times New Roman"/>
                <w:bCs/>
                <w:sz w:val="24"/>
                <w:szCs w:val="24"/>
                <w:highlight w:val="none"/>
                <w:lang w:val="en-US" w:eastAsia="zh-CN"/>
              </w:rPr>
              <w:t>，国民经济行业类别</w:t>
            </w:r>
            <w:r>
              <w:rPr>
                <w:rFonts w:hint="default" w:ascii="Times New Roman" w:hAnsi="Times New Roman" w:eastAsia="宋体" w:cs="Times New Roman"/>
                <w:b w:val="0"/>
                <w:bCs w:val="0"/>
                <w:sz w:val="24"/>
                <w:szCs w:val="24"/>
                <w:highlight w:val="none"/>
                <w:lang w:val="en-US" w:eastAsia="zh-CN"/>
              </w:rPr>
              <w:t>属于[C3461]烘炉、熔炉及电炉制造，产品为工业电炉，属于</w:t>
            </w:r>
            <w:r>
              <w:rPr>
                <w:rFonts w:hint="eastAsia" w:cs="Times New Roman"/>
                <w:b w:val="0"/>
                <w:bCs w:val="0"/>
                <w:sz w:val="24"/>
                <w:szCs w:val="24"/>
                <w:highlight w:val="none"/>
                <w:lang w:val="en-US" w:eastAsia="zh-CN"/>
              </w:rPr>
              <w:t>规划中的</w:t>
            </w:r>
            <w:r>
              <w:rPr>
                <w:rFonts w:hint="default" w:ascii="Times New Roman" w:hAnsi="Times New Roman" w:eastAsia="宋体" w:cs="Times New Roman"/>
                <w:b w:val="0"/>
                <w:bCs w:val="0"/>
                <w:sz w:val="24"/>
                <w:szCs w:val="24"/>
                <w:highlight w:val="none"/>
                <w:lang w:val="en-US" w:eastAsia="zh-CN"/>
              </w:rPr>
              <w:t>高端装备制造，</w:t>
            </w:r>
            <w:r>
              <w:rPr>
                <w:rFonts w:hint="default" w:ascii="Times New Roman" w:hAnsi="Times New Roman" w:eastAsia="宋体" w:cs="Times New Roman"/>
                <w:b w:val="0"/>
                <w:bCs w:val="0"/>
                <w:sz w:val="24"/>
                <w:szCs w:val="24"/>
                <w:highlight w:val="none"/>
              </w:rPr>
              <w:t>纳入</w:t>
            </w:r>
            <w:r>
              <w:rPr>
                <w:rStyle w:val="27"/>
                <w:rFonts w:hint="default" w:ascii="Times New Roman" w:hAnsi="Times New Roman" w:eastAsia="宋体" w:cs="Times New Roman"/>
                <w:b w:val="0"/>
                <w:bCs w:val="0"/>
                <w:color w:val="000000"/>
                <w:sz w:val="24"/>
                <w:szCs w:val="24"/>
                <w:highlight w:val="none"/>
              </w:rPr>
              <w:t>杜集片区、龙湖</w:t>
            </w:r>
            <w:r>
              <w:rPr>
                <w:rStyle w:val="27"/>
                <w:rFonts w:hint="default" w:ascii="Times New Roman" w:hAnsi="Times New Roman" w:eastAsia="宋体" w:cs="Times New Roman"/>
                <w:b w:val="0"/>
                <w:bCs w:val="0"/>
                <w:color w:val="000000"/>
                <w:sz w:val="24"/>
                <w:szCs w:val="24"/>
                <w:highlight w:val="none"/>
                <w:lang w:val="en-US" w:eastAsia="zh-CN"/>
              </w:rPr>
              <w:t>/</w:t>
            </w:r>
            <w:r>
              <w:rPr>
                <w:rStyle w:val="27"/>
                <w:rFonts w:hint="default" w:ascii="Times New Roman" w:hAnsi="Times New Roman" w:eastAsia="宋体" w:cs="Times New Roman"/>
                <w:b w:val="0"/>
                <w:bCs w:val="0"/>
                <w:color w:val="000000"/>
                <w:sz w:val="24"/>
                <w:szCs w:val="24"/>
                <w:highlight w:val="none"/>
              </w:rPr>
              <w:t>高新区产业空间</w:t>
            </w:r>
            <w:r>
              <w:rPr>
                <w:rFonts w:hint="eastAsia" w:cs="Times New Roman"/>
                <w:b w:val="0"/>
                <w:bCs w:val="0"/>
                <w:sz w:val="24"/>
                <w:szCs w:val="24"/>
                <w:highlight w:val="none"/>
                <w:lang w:eastAsia="zh-CN"/>
              </w:rPr>
              <w:t>。</w:t>
            </w:r>
            <w:r>
              <w:rPr>
                <w:rFonts w:hint="default" w:ascii="Times New Roman" w:hAnsi="Times New Roman" w:cs="Times New Roman"/>
                <w:color w:val="000000"/>
                <w:kern w:val="0"/>
                <w:sz w:val="24"/>
                <w:lang w:val="en-US" w:eastAsia="zh-CN"/>
              </w:rPr>
              <w:t>对照淮北市国土空间总体规划中心城区国土空间规划分区图（2021-2035年）（附图</w:t>
            </w:r>
            <w:r>
              <w:rPr>
                <w:rFonts w:hint="eastAsia" w:cs="Times New Roman"/>
                <w:color w:val="000000"/>
                <w:kern w:val="0"/>
                <w:sz w:val="24"/>
                <w:lang w:val="en-US" w:eastAsia="zh-CN"/>
              </w:rPr>
              <w:t>8</w:t>
            </w:r>
            <w:r>
              <w:rPr>
                <w:rFonts w:hint="default" w:ascii="Times New Roman" w:hAnsi="Times New Roman" w:cs="Times New Roman"/>
                <w:color w:val="000000"/>
                <w:kern w:val="0"/>
                <w:sz w:val="24"/>
                <w:lang w:val="en-US" w:eastAsia="zh-CN"/>
              </w:rPr>
              <w:t>），本项目所在地区规划为工业</w:t>
            </w:r>
            <w:r>
              <w:rPr>
                <w:rFonts w:hint="eastAsia" w:cs="Times New Roman"/>
                <w:color w:val="000000"/>
                <w:kern w:val="0"/>
                <w:sz w:val="24"/>
                <w:lang w:val="en-US" w:eastAsia="zh-CN"/>
              </w:rPr>
              <w:t>发展区</w:t>
            </w:r>
            <w:r>
              <w:rPr>
                <w:rFonts w:hint="default" w:ascii="Times New Roman" w:hAnsi="Times New Roman" w:cs="Times New Roman"/>
                <w:color w:val="000000"/>
                <w:kern w:val="0"/>
                <w:sz w:val="24"/>
                <w:lang w:val="en-US" w:eastAsia="zh-CN"/>
              </w:rPr>
              <w:t>，</w:t>
            </w:r>
            <w:r>
              <w:rPr>
                <w:rFonts w:hint="eastAsia" w:cs="Times New Roman"/>
                <w:color w:val="000000"/>
                <w:kern w:val="0"/>
                <w:sz w:val="24"/>
                <w:lang w:val="en-US" w:eastAsia="zh-CN"/>
              </w:rPr>
              <w:t>故</w:t>
            </w:r>
            <w:r>
              <w:rPr>
                <w:rFonts w:hint="default" w:ascii="Times New Roman" w:hAnsi="Times New Roman" w:cs="Times New Roman"/>
                <w:color w:val="000000"/>
                <w:kern w:val="0"/>
                <w:sz w:val="24"/>
                <w:lang w:val="en-US" w:eastAsia="zh-CN"/>
              </w:rPr>
              <w:t>本项目</w:t>
            </w:r>
            <w:r>
              <w:rPr>
                <w:rFonts w:hint="eastAsia" w:cs="Times New Roman"/>
                <w:color w:val="000000"/>
                <w:kern w:val="0"/>
                <w:sz w:val="24"/>
                <w:lang w:val="en-US" w:eastAsia="zh-CN"/>
              </w:rPr>
              <w:t>选址</w:t>
            </w:r>
            <w:r>
              <w:rPr>
                <w:rFonts w:hint="default" w:ascii="Times New Roman" w:hAnsi="Times New Roman" w:eastAsia="宋体" w:cs="Times New Roman"/>
                <w:b w:val="0"/>
                <w:bCs w:val="0"/>
                <w:sz w:val="24"/>
                <w:szCs w:val="24"/>
                <w:highlight w:val="none"/>
                <w:lang w:val="en-US" w:eastAsia="zh-CN"/>
              </w:rPr>
              <w:t>符合</w:t>
            </w:r>
            <w:r>
              <w:rPr>
                <w:rFonts w:hint="default" w:ascii="Times New Roman" w:hAnsi="Times New Roman" w:eastAsia="宋体" w:cs="Times New Roman"/>
                <w:sz w:val="24"/>
                <w:szCs w:val="24"/>
                <w:highlight w:val="none"/>
              </w:rPr>
              <w:t>淮北市国土空间总体规划</w:t>
            </w:r>
            <w:r>
              <w:rPr>
                <w:rFonts w:hint="default" w:ascii="Times New Roman" w:hAnsi="Times New Roman" w:cs="Times New Roman"/>
                <w:b w:val="0"/>
                <w:bCs w:val="0"/>
                <w:sz w:val="24"/>
                <w:szCs w:val="24"/>
                <w:highlight w:val="none"/>
                <w:lang w:val="en-US" w:eastAsia="zh-CN"/>
              </w:rPr>
              <w:t>。</w:t>
            </w:r>
          </w:p>
          <w:p w14:paraId="733A8F1B">
            <w:pPr>
              <w:keepNext w:val="0"/>
              <w:keepLines w:val="0"/>
              <w:pageBreakBefore w:val="0"/>
              <w:widowControl w:val="0"/>
              <w:kinsoku/>
              <w:wordWrap/>
              <w:overflowPunct/>
              <w:topLinePunct w:val="0"/>
              <w:bidi w:val="0"/>
              <w:spacing w:line="360" w:lineRule="auto"/>
              <w:ind w:firstLine="480" w:firstLineChars="200"/>
              <w:jc w:val="both"/>
              <w:textAlignment w:val="auto"/>
              <w:rPr>
                <w:rFonts w:hint="default" w:ascii="Times New Roman" w:hAnsi="Times New Roman" w:cs="Times New Roman"/>
                <w:color w:val="000000"/>
                <w:kern w:val="0"/>
                <w:sz w:val="24"/>
                <w:lang w:val="en-US" w:eastAsia="zh-CN"/>
              </w:rPr>
            </w:pPr>
            <w:r>
              <w:rPr>
                <w:rFonts w:hint="default" w:ascii="Times New Roman" w:hAnsi="Times New Roman" w:cs="Times New Roman"/>
                <w:color w:val="000000"/>
                <w:kern w:val="0"/>
                <w:sz w:val="24"/>
                <w:lang w:val="en-US" w:eastAsia="zh-CN"/>
              </w:rPr>
              <w:t>②淮北市平祥感应炉有限公司</w:t>
            </w:r>
            <w:r>
              <w:rPr>
                <w:rFonts w:hint="eastAsia" w:cs="Times New Roman"/>
                <w:color w:val="000000"/>
                <w:kern w:val="0"/>
                <w:sz w:val="24"/>
                <w:lang w:val="en-US" w:eastAsia="zh-CN"/>
              </w:rPr>
              <w:t>老厂区项目和新厂区项目分别建于2004年和2014年</w:t>
            </w:r>
            <w:r>
              <w:rPr>
                <w:rFonts w:hint="default" w:ascii="Times New Roman" w:hAnsi="Times New Roman" w:cs="Times New Roman"/>
                <w:color w:val="000000"/>
                <w:kern w:val="0"/>
                <w:sz w:val="24"/>
                <w:highlight w:val="none"/>
                <w:lang w:val="en-US" w:eastAsia="zh-CN"/>
              </w:rPr>
              <w:t>，生产无芯变频感应炉</w:t>
            </w:r>
            <w:r>
              <w:rPr>
                <w:rFonts w:hint="eastAsia" w:cs="Times New Roman"/>
                <w:color w:val="000000"/>
                <w:kern w:val="0"/>
                <w:sz w:val="24"/>
                <w:lang w:val="en-US" w:eastAsia="zh-CN"/>
              </w:rPr>
              <w:t>，符合</w:t>
            </w:r>
            <w:r>
              <w:rPr>
                <w:rFonts w:hint="default" w:ascii="Times New Roman" w:hAnsi="Times New Roman" w:cs="Times New Roman"/>
                <w:color w:val="000000"/>
                <w:kern w:val="0"/>
                <w:sz w:val="24"/>
                <w:highlight w:val="none"/>
                <w:lang w:val="en-US" w:eastAsia="zh-CN"/>
              </w:rPr>
              <w:t>《安徽淮北杜集经济开发区总体规划》（2007-2020年）</w:t>
            </w:r>
            <w:r>
              <w:rPr>
                <w:rFonts w:hint="eastAsia" w:cs="Times New Roman"/>
                <w:color w:val="000000"/>
                <w:kern w:val="0"/>
                <w:sz w:val="24"/>
                <w:highlight w:val="none"/>
                <w:lang w:val="en-US" w:eastAsia="zh-CN"/>
              </w:rPr>
              <w:t>文件要求</w:t>
            </w:r>
            <w:r>
              <w:rPr>
                <w:rFonts w:hint="eastAsia" w:cs="Times New Roman"/>
                <w:color w:val="000000"/>
                <w:kern w:val="0"/>
                <w:sz w:val="24"/>
                <w:lang w:val="en-US" w:eastAsia="zh-CN"/>
              </w:rPr>
              <w:t>。</w:t>
            </w:r>
            <w:r>
              <w:rPr>
                <w:rFonts w:hint="eastAsia" w:cs="Times New Roman"/>
                <w:color w:val="000000"/>
                <w:kern w:val="0"/>
                <w:sz w:val="24"/>
                <w:highlight w:val="none"/>
                <w:lang w:val="en-US" w:eastAsia="zh-CN"/>
              </w:rPr>
              <w:t>杜集经开区管委会于2023年编制了</w:t>
            </w:r>
            <w:r>
              <w:rPr>
                <w:rFonts w:hint="default" w:ascii="Times New Roman" w:hAnsi="Times New Roman" w:cs="Times New Roman"/>
                <w:color w:val="000000"/>
                <w:kern w:val="0"/>
                <w:sz w:val="24"/>
                <w:highlight w:val="none"/>
                <w:lang w:val="en-US" w:eastAsia="zh-CN"/>
              </w:rPr>
              <w:t>《安徽淮北杜集经济开发区总体发展规划（2023-2035年）》</w:t>
            </w:r>
            <w:r>
              <w:rPr>
                <w:rFonts w:hint="eastAsia" w:cs="Times New Roman"/>
                <w:color w:val="000000"/>
                <w:kern w:val="0"/>
                <w:sz w:val="24"/>
                <w:highlight w:val="none"/>
                <w:lang w:val="en-US" w:eastAsia="zh-CN"/>
              </w:rPr>
              <w:t>，其中</w:t>
            </w:r>
            <w:r>
              <w:rPr>
                <w:rFonts w:hint="default" w:ascii="Times New Roman" w:hAnsi="Times New Roman" w:cs="Times New Roman"/>
                <w:color w:val="000000"/>
                <w:kern w:val="0"/>
                <w:sz w:val="24"/>
                <w:highlight w:val="none"/>
                <w:lang w:val="en-US" w:eastAsia="zh-CN"/>
              </w:rPr>
              <w:t>规划期限为：近期2023~2025年，远期2025~2035年，规划总面积为805.19公顷，包含2个区块。其中区块一面积为634.17公顷，四至范围为：东至岱河，南至青年路，西至尖山山脚，北至山河大道；区块二面积为171.03公顷，四至范围为：东至萧淮公路，南至岱河与萧淮公路交界处，西至岱河，北至开创路。规划主导产业为装备制造业、非金属新材料和电气机械制造。</w:t>
            </w:r>
            <w:r>
              <w:rPr>
                <w:rFonts w:hint="eastAsia" w:cs="Times New Roman"/>
                <w:color w:val="000000"/>
                <w:kern w:val="0"/>
                <w:sz w:val="24"/>
                <w:highlight w:val="none"/>
                <w:lang w:val="en-US" w:eastAsia="zh-CN"/>
              </w:rPr>
              <w:t>对照</w:t>
            </w:r>
            <w:r>
              <w:rPr>
                <w:rFonts w:hint="default" w:ascii="Times New Roman" w:hAnsi="Times New Roman" w:cs="Times New Roman"/>
                <w:color w:val="000000"/>
                <w:kern w:val="0"/>
                <w:sz w:val="24"/>
                <w:highlight w:val="none"/>
                <w:lang w:val="en-US" w:eastAsia="zh-CN"/>
              </w:rPr>
              <w:t>2023-2035年</w:t>
            </w:r>
            <w:r>
              <w:rPr>
                <w:rFonts w:hint="eastAsia" w:cs="Times New Roman"/>
                <w:color w:val="000000"/>
                <w:kern w:val="0"/>
                <w:sz w:val="24"/>
                <w:highlight w:val="none"/>
                <w:lang w:val="en-US" w:eastAsia="zh-CN"/>
              </w:rPr>
              <w:t>开发区规划范围图（附图8），</w:t>
            </w:r>
            <w:r>
              <w:rPr>
                <w:rFonts w:hint="default" w:ascii="Times New Roman" w:hAnsi="Times New Roman" w:cs="Times New Roman"/>
                <w:color w:val="000000"/>
                <w:kern w:val="0"/>
                <w:sz w:val="24"/>
                <w:lang w:val="en-US" w:eastAsia="zh-CN"/>
              </w:rPr>
              <w:t>淮北市平祥感应炉有限公司</w:t>
            </w:r>
            <w:r>
              <w:rPr>
                <w:rFonts w:hint="eastAsia" w:cs="Times New Roman"/>
                <w:color w:val="000000"/>
                <w:kern w:val="0"/>
                <w:sz w:val="24"/>
                <w:lang w:val="en-US" w:eastAsia="zh-CN"/>
              </w:rPr>
              <w:t>厂区</w:t>
            </w:r>
            <w:r>
              <w:rPr>
                <w:rFonts w:hint="default" w:ascii="Times New Roman" w:hAnsi="Times New Roman" w:cs="Times New Roman"/>
                <w:color w:val="000000"/>
                <w:kern w:val="0"/>
                <w:sz w:val="24"/>
                <w:highlight w:val="none"/>
                <w:lang w:val="en-US" w:eastAsia="zh-CN"/>
              </w:rPr>
              <w:t>现已不在《安徽淮北杜集经济开发区总体发展规划》（2023-2035年）范围内，但仍属于杜集经济开发区管理委员会管理。本次技改项目属于</w:t>
            </w:r>
            <w:r>
              <w:rPr>
                <w:rFonts w:hint="default" w:ascii="Times New Roman" w:hAnsi="Times New Roman" w:cs="Times New Roman"/>
                <w:bCs/>
                <w:sz w:val="24"/>
                <w:szCs w:val="24"/>
                <w:highlight w:val="none"/>
                <w:lang w:val="en-US" w:eastAsia="zh-CN"/>
              </w:rPr>
              <w:t>C3461烘炉、熔炉及电炉制造</w:t>
            </w:r>
            <w:r>
              <w:rPr>
                <w:rFonts w:hint="default" w:ascii="Times New Roman" w:hAnsi="Times New Roman" w:cs="Times New Roman"/>
                <w:color w:val="000000"/>
                <w:kern w:val="0"/>
                <w:sz w:val="24"/>
                <w:highlight w:val="none"/>
                <w:lang w:val="en-US" w:eastAsia="zh-CN"/>
              </w:rPr>
              <w:t>，产品为变频感应炉、真空炉、电渣炉这三种工业电炉，属于《安徽淮北杜集经济开发区总体发展规划（2023-2035年）》主导产业</w:t>
            </w:r>
            <w:r>
              <w:rPr>
                <w:rFonts w:hint="eastAsia" w:cs="Times New Roman"/>
                <w:color w:val="000000"/>
                <w:kern w:val="0"/>
                <w:sz w:val="24"/>
                <w:highlight w:val="none"/>
                <w:lang w:val="en-US" w:eastAsia="zh-CN"/>
              </w:rPr>
              <w:t>“</w:t>
            </w:r>
            <w:r>
              <w:rPr>
                <w:rFonts w:hint="default" w:ascii="Times New Roman" w:hAnsi="Times New Roman" w:cs="Times New Roman"/>
                <w:color w:val="000000"/>
                <w:kern w:val="0"/>
                <w:sz w:val="24"/>
                <w:highlight w:val="none"/>
                <w:lang w:val="en-US" w:eastAsia="zh-CN"/>
              </w:rPr>
              <w:t>装备制造业</w:t>
            </w:r>
            <w:r>
              <w:rPr>
                <w:rFonts w:hint="eastAsia" w:cs="Times New Roman"/>
                <w:color w:val="000000"/>
                <w:kern w:val="0"/>
                <w:sz w:val="24"/>
                <w:highlight w:val="none"/>
                <w:lang w:val="en-US" w:eastAsia="zh-CN"/>
              </w:rPr>
              <w:t>”。</w:t>
            </w:r>
          </w:p>
          <w:p w14:paraId="206FC082">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color w:val="000000"/>
                <w:kern w:val="0"/>
                <w:sz w:val="24"/>
                <w:lang w:val="en-US" w:eastAsia="zh-CN"/>
              </w:rPr>
            </w:pPr>
            <w:r>
              <w:rPr>
                <w:rFonts w:hint="default" w:ascii="Times New Roman" w:hAnsi="Times New Roman" w:cs="Times New Roman"/>
                <w:color w:val="000000"/>
                <w:kern w:val="0"/>
                <w:sz w:val="24"/>
                <w:lang w:val="en-US" w:eastAsia="zh-CN"/>
              </w:rPr>
              <w:t>③淮北市平祥感应炉有限公司</w:t>
            </w:r>
            <w:r>
              <w:rPr>
                <w:rFonts w:hint="eastAsia" w:cs="Times New Roman"/>
                <w:color w:val="000000"/>
                <w:kern w:val="0"/>
                <w:sz w:val="24"/>
                <w:lang w:val="en-US" w:eastAsia="zh-CN"/>
              </w:rPr>
              <w:t>位于</w:t>
            </w:r>
            <w:r>
              <w:rPr>
                <w:rFonts w:hint="default" w:ascii="Times New Roman" w:hAnsi="Times New Roman" w:eastAsia="宋体" w:cs="Times New Roman"/>
                <w:sz w:val="24"/>
                <w:szCs w:val="24"/>
                <w:highlight w:val="none"/>
              </w:rPr>
              <w:t>淮北市杜集区朔里镇</w:t>
            </w:r>
            <w:r>
              <w:rPr>
                <w:rFonts w:hint="eastAsia" w:cs="Times New Roman"/>
                <w:sz w:val="24"/>
                <w:szCs w:val="24"/>
                <w:highlight w:val="none"/>
                <w:lang w:val="en-US" w:eastAsia="zh-CN"/>
              </w:rPr>
              <w:t>辖区内</w:t>
            </w:r>
            <w:r>
              <w:rPr>
                <w:rFonts w:hint="eastAsia" w:cs="Times New Roman"/>
                <w:color w:val="000000"/>
                <w:kern w:val="0"/>
                <w:sz w:val="24"/>
                <w:lang w:val="en-US" w:eastAsia="zh-CN"/>
              </w:rPr>
              <w:t>，对照</w:t>
            </w:r>
            <w:r>
              <w:rPr>
                <w:rFonts w:hint="default" w:ascii="Times New Roman" w:hAnsi="Times New Roman" w:eastAsia="宋体" w:cs="Times New Roman"/>
                <w:color w:val="000000"/>
                <w:kern w:val="0"/>
                <w:sz w:val="24"/>
                <w:highlight w:val="none"/>
                <w:lang w:val="en-US" w:eastAsia="zh-CN"/>
              </w:rPr>
              <w:t>《</w:t>
            </w:r>
            <w:r>
              <w:rPr>
                <w:rFonts w:hint="default" w:ascii="Times New Roman" w:hAnsi="Times New Roman" w:eastAsia="宋体" w:cs="Times New Roman"/>
                <w:sz w:val="24"/>
                <w:szCs w:val="24"/>
                <w:highlight w:val="none"/>
              </w:rPr>
              <w:t>淮北市杜集区朔里镇镇区建设规划（2016—2030）</w:t>
            </w:r>
            <w:r>
              <w:rPr>
                <w:rFonts w:hint="default" w:ascii="Times New Roman" w:hAnsi="Times New Roman" w:eastAsia="宋体" w:cs="Times New Roman"/>
                <w:color w:val="000000"/>
                <w:kern w:val="0"/>
                <w:sz w:val="24"/>
                <w:highlight w:val="none"/>
                <w:lang w:val="en-US" w:eastAsia="zh-CN"/>
              </w:rPr>
              <w:t>》</w:t>
            </w:r>
            <w:r>
              <w:rPr>
                <w:rFonts w:hint="eastAsia" w:cs="Times New Roman"/>
                <w:color w:val="000000"/>
                <w:kern w:val="0"/>
                <w:sz w:val="24"/>
                <w:highlight w:val="none"/>
                <w:lang w:val="en-US" w:eastAsia="zh-CN"/>
              </w:rPr>
              <w:t>，</w:t>
            </w:r>
            <w:r>
              <w:rPr>
                <w:rFonts w:hint="default" w:ascii="Times New Roman" w:hAnsi="Times New Roman" w:eastAsia="宋体" w:cs="Times New Roman"/>
                <w:color w:val="000000"/>
                <w:kern w:val="0"/>
                <w:sz w:val="24"/>
                <w:highlight w:val="none"/>
                <w:lang w:val="en-US" w:eastAsia="zh-CN"/>
              </w:rPr>
              <w:t>规划期限为：近期2016~2020年，远期2021~2030年，规划范围为：</w:t>
            </w:r>
            <w:r>
              <w:rPr>
                <w:rFonts w:hint="default" w:ascii="Times New Roman" w:hAnsi="Times New Roman" w:eastAsia="宋体" w:cs="Times New Roman"/>
                <w:sz w:val="24"/>
                <w:szCs w:val="24"/>
                <w:highlight w:val="none"/>
              </w:rPr>
              <w:t>东至 S501、西至符夹铁路、北接 S501、南至城镇开发边界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产业定位为</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高端装备制造、高岭土新材料、科技研发、商贸物流、休闲旅游、大健康。本项目属于</w:t>
            </w:r>
            <w:r>
              <w:rPr>
                <w:rFonts w:hint="default" w:ascii="Times New Roman" w:hAnsi="Times New Roman" w:cs="Times New Roman"/>
                <w:bCs/>
                <w:sz w:val="24"/>
                <w:szCs w:val="24"/>
                <w:highlight w:val="none"/>
                <w:lang w:val="en-US" w:eastAsia="zh-CN"/>
              </w:rPr>
              <w:t>[C3461]烘炉、熔炉及电炉制造，属于</w:t>
            </w:r>
            <w:r>
              <w:rPr>
                <w:rFonts w:hint="eastAsia" w:cs="Times New Roman"/>
                <w:bCs/>
                <w:sz w:val="24"/>
                <w:szCs w:val="24"/>
                <w:highlight w:val="none"/>
                <w:lang w:val="en-US" w:eastAsia="zh-CN"/>
              </w:rPr>
              <w:t>规划中的</w:t>
            </w:r>
            <w:r>
              <w:rPr>
                <w:rFonts w:hint="default" w:ascii="Times New Roman" w:hAnsi="Times New Roman" w:eastAsia="宋体" w:cs="Times New Roman"/>
                <w:sz w:val="24"/>
                <w:szCs w:val="24"/>
                <w:highlight w:val="none"/>
                <w:lang w:val="en-US" w:eastAsia="zh-CN"/>
              </w:rPr>
              <w:t>高端装备制造</w:t>
            </w:r>
            <w:r>
              <w:rPr>
                <w:rFonts w:hint="eastAsia" w:cs="Times New Roman"/>
                <w:sz w:val="24"/>
                <w:szCs w:val="24"/>
                <w:highlight w:val="none"/>
                <w:lang w:val="en-US" w:eastAsia="zh-CN"/>
              </w:rPr>
              <w:t>业</w:t>
            </w:r>
            <w:r>
              <w:rPr>
                <w:rFonts w:hint="default" w:ascii="Times New Roman" w:hAnsi="Times New Roman" w:cs="Times New Roman"/>
                <w:sz w:val="24"/>
                <w:szCs w:val="24"/>
                <w:highlight w:val="none"/>
                <w:lang w:val="en-US" w:eastAsia="zh-CN"/>
              </w:rPr>
              <w:t>，</w:t>
            </w:r>
            <w:r>
              <w:rPr>
                <w:rFonts w:hint="eastAsia" w:cs="Times New Roman"/>
                <w:sz w:val="24"/>
                <w:szCs w:val="24"/>
                <w:highlight w:val="none"/>
                <w:lang w:val="en-US" w:eastAsia="zh-CN"/>
              </w:rPr>
              <w:t>根据淮北市杜集区朔里镇镇区建设规划(2016</w:t>
            </w:r>
            <w:r>
              <w:rPr>
                <w:rFonts w:hint="default" w:ascii="Times New Roman" w:hAnsi="Times New Roman" w:eastAsia="宋体" w:cs="Times New Roman"/>
                <w:sz w:val="24"/>
                <w:szCs w:val="24"/>
                <w:highlight w:val="none"/>
              </w:rPr>
              <w:t>—</w:t>
            </w:r>
            <w:r>
              <w:rPr>
                <w:rFonts w:hint="eastAsia" w:cs="Times New Roman"/>
                <w:sz w:val="24"/>
                <w:szCs w:val="24"/>
                <w:highlight w:val="none"/>
                <w:lang w:val="en-US" w:eastAsia="zh-CN"/>
              </w:rPr>
              <w:t>2030)土地利用规划图（附图8）及淮北市杜集区朔里镇人民政府《关于淮北市平祥感应炉有限公司年产260套工业电炉项目符合朔里镇发展规划的情况说明》（附件13</w:t>
            </w:r>
            <w:bookmarkStart w:id="8" w:name="_GoBack"/>
            <w:bookmarkEnd w:id="8"/>
            <w:r>
              <w:rPr>
                <w:rFonts w:hint="eastAsia" w:cs="Times New Roman"/>
                <w:sz w:val="24"/>
                <w:szCs w:val="24"/>
                <w:highlight w:val="none"/>
                <w:lang w:val="en-US" w:eastAsia="zh-CN"/>
              </w:rPr>
              <w:t>），本项目选址位于朔里镇镇区建设规划中工业用地，</w:t>
            </w:r>
            <w:r>
              <w:rPr>
                <w:rFonts w:hint="default" w:ascii="Times New Roman" w:hAnsi="Times New Roman" w:cs="Times New Roman"/>
                <w:color w:val="000000"/>
                <w:kern w:val="0"/>
                <w:sz w:val="24"/>
                <w:lang w:val="en-US" w:eastAsia="zh-CN"/>
              </w:rPr>
              <w:t>本项目</w:t>
            </w:r>
            <w:r>
              <w:rPr>
                <w:rFonts w:hint="eastAsia" w:cs="Times New Roman"/>
                <w:color w:val="000000"/>
                <w:kern w:val="0"/>
                <w:sz w:val="24"/>
                <w:lang w:val="en-US" w:eastAsia="zh-CN"/>
              </w:rPr>
              <w:t>选址</w:t>
            </w:r>
            <w:r>
              <w:rPr>
                <w:rFonts w:hint="default" w:ascii="Times New Roman" w:hAnsi="Times New Roman" w:eastAsia="宋体" w:cs="Times New Roman"/>
                <w:b w:val="0"/>
                <w:bCs w:val="0"/>
                <w:sz w:val="24"/>
                <w:szCs w:val="24"/>
                <w:highlight w:val="none"/>
                <w:lang w:val="en-US" w:eastAsia="zh-CN"/>
              </w:rPr>
              <w:t>符合</w:t>
            </w:r>
            <w:r>
              <w:rPr>
                <w:rFonts w:hint="default" w:ascii="Times New Roman" w:hAnsi="Times New Roman" w:eastAsia="宋体" w:cs="Times New Roman"/>
                <w:sz w:val="24"/>
                <w:szCs w:val="24"/>
                <w:highlight w:val="none"/>
              </w:rPr>
              <w:t>淮北市杜集区朔里镇镇区建设规划</w:t>
            </w:r>
            <w:r>
              <w:rPr>
                <w:rFonts w:hint="default" w:ascii="Times New Roman" w:hAnsi="Times New Roman" w:cs="Times New Roman"/>
                <w:sz w:val="24"/>
                <w:szCs w:val="24"/>
                <w:highlight w:val="none"/>
                <w:lang w:val="en-US" w:eastAsia="zh-CN"/>
              </w:rPr>
              <w:t>。</w:t>
            </w:r>
          </w:p>
          <w:p w14:paraId="0E0B5A67">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imes New Roman" w:hAnsi="Times New Roman" w:eastAsia="宋体" w:cs="Times New Roman"/>
                <w:bCs/>
                <w:sz w:val="24"/>
                <w:szCs w:val="24"/>
                <w:highlight w:val="none"/>
                <w:lang w:val="en-US" w:eastAsia="zh-CN"/>
              </w:rPr>
            </w:pPr>
            <w:r>
              <w:rPr>
                <w:rFonts w:hint="eastAsia"/>
                <w:color w:val="000000"/>
                <w:kern w:val="0"/>
                <w:sz w:val="24"/>
                <w:lang w:val="en-US" w:eastAsia="zh-CN"/>
              </w:rPr>
              <w:t>综上，本项目选址符合总体规划要求</w:t>
            </w:r>
            <w:r>
              <w:rPr>
                <w:rFonts w:hint="eastAsia" w:ascii="Times New Roman" w:hAnsi="Times New Roman" w:eastAsia="宋体" w:cs="Times New Roman"/>
                <w:bCs/>
                <w:sz w:val="24"/>
                <w:szCs w:val="24"/>
                <w:highlight w:val="none"/>
                <w:lang w:val="en-US" w:eastAsia="zh-CN"/>
              </w:rPr>
              <w:t>。</w:t>
            </w:r>
          </w:p>
          <w:p w14:paraId="65190E85">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（2）与周边环境相容性</w:t>
            </w:r>
          </w:p>
          <w:p w14:paraId="3EA34531">
            <w:pPr>
              <w:keepNext w:val="0"/>
              <w:keepLines w:val="0"/>
              <w:pageBreakBefore w:val="0"/>
              <w:widowControl w:val="0"/>
              <w:kinsoku/>
              <w:wordWrap/>
              <w:overflowPunct/>
              <w:topLinePunct w:val="0"/>
              <w:bidi w:val="0"/>
              <w:spacing w:line="360" w:lineRule="auto"/>
              <w:ind w:firstLine="480" w:firstLineChars="200"/>
              <w:jc w:val="both"/>
              <w:textAlignment w:val="auto"/>
              <w:rPr>
                <w:rFonts w:hint="default"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本项目位于安徽省淮北市杜集区杜集经济开发区萧淮路16号，</w:t>
            </w:r>
            <w:r>
              <w:rPr>
                <w:rFonts w:hint="eastAsia" w:ascii="Times New Roman" w:hAnsi="Times New Roman" w:eastAsia="宋体" w:cs="Times New Roman"/>
                <w:color w:val="000000"/>
                <w:kern w:val="0"/>
                <w:sz w:val="24"/>
                <w:lang w:val="en-US" w:eastAsia="zh-CN"/>
              </w:rPr>
              <w:t>项目所在厂区东侧为东山北路，南侧、西侧均为农田，北侧隔马路为农田和部分住户（</w:t>
            </w:r>
            <w:r>
              <w:rPr>
                <w:rFonts w:hint="eastAsia" w:cs="Times New Roman"/>
                <w:color w:val="000000"/>
                <w:kern w:val="0"/>
                <w:sz w:val="24"/>
                <w:lang w:val="en-US" w:eastAsia="zh-CN"/>
              </w:rPr>
              <w:t>附图2</w:t>
            </w:r>
            <w:r>
              <w:rPr>
                <w:rFonts w:hint="eastAsia" w:ascii="Times New Roman" w:hAnsi="Times New Roman" w:eastAsia="宋体" w:cs="Times New Roman"/>
                <w:color w:val="000000"/>
                <w:kern w:val="0"/>
                <w:sz w:val="24"/>
                <w:lang w:val="en-US" w:eastAsia="zh-CN"/>
              </w:rPr>
              <w:t>）。</w:t>
            </w:r>
          </w:p>
          <w:p w14:paraId="5DEE2342">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项目营运过程中生产废水循环使用不外排，生活污水经化粪池预处理后满足排放标准及接管要求后进入淮北龙湖工业园污水处理厂深度处理，不会对周边水环境产生影响。本项目喷砂、喷塑、焊接中产生的颗粒物经布袋除尘器处理后通过2</w:t>
            </w:r>
            <w:r>
              <w:rPr>
                <w:rFonts w:hint="eastAsia" w:cs="Times New Roman"/>
                <w:bCs/>
                <w:sz w:val="24"/>
                <w:szCs w:val="24"/>
                <w:highlight w:val="none"/>
                <w:lang w:val="en-US" w:eastAsia="zh-CN"/>
              </w:rPr>
              <w:t>4</w:t>
            </w:r>
            <w:r>
              <w:rPr>
                <w:rFonts w:hint="eastAsia" w:ascii="Times New Roman" w:hAnsi="Times New Roman" w:eastAsia="宋体" w:cs="Times New Roman"/>
                <w:bCs/>
                <w:sz w:val="24"/>
                <w:szCs w:val="24"/>
                <w:highlight w:val="none"/>
                <w:lang w:val="en-US" w:eastAsia="zh-CN"/>
              </w:rPr>
              <w:t>m排气筒（DA002）排放；调漆、喷漆、喷枪清洗、晾干、浇注固化</w:t>
            </w:r>
            <w:r>
              <w:rPr>
                <w:rFonts w:hint="eastAsia" w:cs="Times New Roman"/>
                <w:bCs/>
                <w:sz w:val="24"/>
                <w:szCs w:val="24"/>
                <w:highlight w:val="none"/>
                <w:lang w:val="en-US" w:eastAsia="zh-CN"/>
              </w:rPr>
              <w:t>、</w:t>
            </w:r>
            <w:r>
              <w:rPr>
                <w:rFonts w:hint="eastAsia" w:ascii="Times New Roman" w:hAnsi="Times New Roman" w:eastAsia="宋体" w:cs="Times New Roman"/>
                <w:bCs/>
                <w:sz w:val="24"/>
                <w:szCs w:val="24"/>
                <w:highlight w:val="none"/>
                <w:lang w:val="en-US" w:eastAsia="zh-CN"/>
              </w:rPr>
              <w:t>烘干产生的有机废气以及喷漆产生的漆雾经过滤棉+吸附脱附催化燃烧设施处理后通过2</w:t>
            </w:r>
            <w:r>
              <w:rPr>
                <w:rFonts w:hint="eastAsia" w:cs="Times New Roman"/>
                <w:bCs/>
                <w:sz w:val="24"/>
                <w:szCs w:val="24"/>
                <w:highlight w:val="none"/>
                <w:lang w:val="en-US" w:eastAsia="zh-CN"/>
              </w:rPr>
              <w:t>4</w:t>
            </w:r>
            <w:r>
              <w:rPr>
                <w:rFonts w:hint="eastAsia" w:ascii="Times New Roman" w:hAnsi="Times New Roman" w:eastAsia="宋体" w:cs="Times New Roman"/>
                <w:bCs/>
                <w:sz w:val="24"/>
                <w:szCs w:val="24"/>
                <w:highlight w:val="none"/>
                <w:lang w:val="en-US" w:eastAsia="zh-CN"/>
              </w:rPr>
              <w:t>m排气筒（DA001）排放，污染物在采取各项严格的控制措施后，能够达标排放。根据《淮北市声环境功能区划分方案（2024年修订版）》，项目位于3类</w:t>
            </w:r>
            <w:r>
              <w:rPr>
                <w:rFonts w:hint="eastAsia" w:cs="Times New Roman"/>
                <w:bCs/>
                <w:sz w:val="24"/>
                <w:szCs w:val="24"/>
                <w:highlight w:val="none"/>
                <w:lang w:val="en-US" w:eastAsia="zh-CN"/>
              </w:rPr>
              <w:t>声</w:t>
            </w:r>
            <w:r>
              <w:rPr>
                <w:rFonts w:hint="eastAsia" w:ascii="Times New Roman" w:hAnsi="Times New Roman" w:eastAsia="宋体" w:cs="Times New Roman"/>
                <w:bCs/>
                <w:sz w:val="24"/>
                <w:szCs w:val="24"/>
                <w:highlight w:val="none"/>
                <w:lang w:val="en-US" w:eastAsia="zh-CN"/>
              </w:rPr>
              <w:t>功能区内（附图</w:t>
            </w:r>
            <w:r>
              <w:rPr>
                <w:rFonts w:hint="eastAsia" w:cs="Times New Roman"/>
                <w:bCs/>
                <w:sz w:val="24"/>
                <w:szCs w:val="24"/>
                <w:highlight w:val="none"/>
                <w:lang w:val="en-US" w:eastAsia="zh-CN"/>
              </w:rPr>
              <w:t>9</w:t>
            </w:r>
            <w:r>
              <w:rPr>
                <w:rFonts w:hint="eastAsia" w:ascii="Times New Roman" w:hAnsi="Times New Roman" w:eastAsia="宋体" w:cs="Times New Roman"/>
                <w:bCs/>
                <w:sz w:val="24"/>
                <w:szCs w:val="24"/>
                <w:highlight w:val="none"/>
                <w:lang w:val="en-US" w:eastAsia="zh-CN"/>
              </w:rPr>
              <w:t>），</w:t>
            </w:r>
            <w:r>
              <w:rPr>
                <w:rFonts w:hint="eastAsia" w:cs="Times New Roman"/>
                <w:bCs/>
                <w:sz w:val="24"/>
                <w:szCs w:val="24"/>
                <w:highlight w:val="none"/>
                <w:lang w:val="en-US" w:eastAsia="zh-CN"/>
              </w:rPr>
              <w:t>根据噪声检测及预测数据，</w:t>
            </w:r>
            <w:r>
              <w:rPr>
                <w:rFonts w:hint="eastAsia" w:ascii="Times New Roman" w:hAnsi="Times New Roman" w:eastAsia="宋体" w:cs="Times New Roman"/>
                <w:bCs/>
                <w:sz w:val="24"/>
                <w:szCs w:val="24"/>
                <w:highlight w:val="none"/>
                <w:lang w:val="en-US" w:eastAsia="zh-CN"/>
              </w:rPr>
              <w:t>厂界噪声</w:t>
            </w:r>
            <w:r>
              <w:rPr>
                <w:rFonts w:hint="eastAsia" w:cs="Times New Roman"/>
                <w:bCs/>
                <w:sz w:val="24"/>
                <w:szCs w:val="24"/>
                <w:highlight w:val="none"/>
                <w:lang w:val="en-US" w:eastAsia="zh-CN"/>
              </w:rPr>
              <w:t>监测值及贡献值均</w:t>
            </w:r>
            <w:r>
              <w:rPr>
                <w:rFonts w:hint="eastAsia" w:ascii="Times New Roman" w:hAnsi="Times New Roman" w:eastAsia="宋体" w:cs="Times New Roman"/>
                <w:bCs/>
                <w:sz w:val="24"/>
                <w:szCs w:val="24"/>
                <w:highlight w:val="none"/>
                <w:lang w:val="en-US" w:eastAsia="zh-CN"/>
              </w:rPr>
              <w:t>满足《工业企业厂界环境噪声排放标准》中3类标准要求</w:t>
            </w:r>
            <w:r>
              <w:rPr>
                <w:rFonts w:hint="eastAsia" w:cs="Times New Roman"/>
                <w:bCs/>
                <w:sz w:val="24"/>
                <w:szCs w:val="24"/>
                <w:highlight w:val="none"/>
                <w:lang w:val="en-US" w:eastAsia="zh-CN"/>
              </w:rPr>
              <w:t>，噪声对周边环境影响很小</w:t>
            </w:r>
            <w:r>
              <w:rPr>
                <w:rFonts w:hint="eastAsia" w:ascii="Times New Roman" w:hAnsi="Times New Roman" w:eastAsia="宋体" w:cs="Times New Roman"/>
                <w:bCs/>
                <w:sz w:val="24"/>
                <w:szCs w:val="24"/>
                <w:highlight w:val="none"/>
                <w:lang w:val="en-US" w:eastAsia="zh-CN"/>
              </w:rPr>
              <w:t>。本项目</w:t>
            </w:r>
            <w:r>
              <w:rPr>
                <w:rFonts w:hint="eastAsia" w:cs="Times New Roman"/>
                <w:bCs/>
                <w:sz w:val="24"/>
                <w:szCs w:val="24"/>
                <w:highlight w:val="none"/>
                <w:lang w:val="en-US" w:eastAsia="zh-CN"/>
              </w:rPr>
              <w:t>产生的一般固体废物</w:t>
            </w:r>
            <w:r>
              <w:rPr>
                <w:rFonts w:hint="eastAsia" w:ascii="Times New Roman" w:hAnsi="Times New Roman" w:eastAsia="宋体" w:cs="Times New Roman"/>
                <w:bCs/>
                <w:sz w:val="24"/>
                <w:szCs w:val="24"/>
                <w:highlight w:val="none"/>
                <w:lang w:val="en-US" w:eastAsia="zh-CN"/>
              </w:rPr>
              <w:t>暂存至一般固废间，定期外售</w:t>
            </w:r>
            <w:r>
              <w:rPr>
                <w:rFonts w:hint="eastAsia" w:cs="Times New Roman"/>
                <w:bCs/>
                <w:sz w:val="24"/>
                <w:szCs w:val="24"/>
                <w:highlight w:val="none"/>
                <w:lang w:val="en-US" w:eastAsia="zh-CN"/>
              </w:rPr>
              <w:t>；危险废物暂存于</w:t>
            </w:r>
            <w:r>
              <w:rPr>
                <w:rFonts w:hint="default" w:ascii="Times New Roman" w:hAnsi="Times New Roman" w:cs="Times New Roman"/>
                <w:sz w:val="24"/>
                <w:szCs w:val="24"/>
                <w:lang w:val="en-US" w:eastAsia="zh-CN"/>
              </w:rPr>
              <w:t>危废暂存</w:t>
            </w:r>
            <w:r>
              <w:rPr>
                <w:rFonts w:hint="eastAsia" w:cs="Times New Roman"/>
                <w:sz w:val="24"/>
                <w:szCs w:val="24"/>
                <w:lang w:val="en-US" w:eastAsia="zh-CN"/>
              </w:rPr>
              <w:t>间</w:t>
            </w:r>
            <w:r>
              <w:rPr>
                <w:rFonts w:hint="default" w:ascii="Times New Roman" w:hAnsi="Times New Roman" w:cs="Times New Roman"/>
                <w:sz w:val="24"/>
                <w:szCs w:val="24"/>
                <w:lang w:val="en-US" w:eastAsia="zh-CN"/>
              </w:rPr>
              <w:t>内，定期交由有资质单位进行处理</w:t>
            </w:r>
            <w:r>
              <w:rPr>
                <w:rFonts w:hint="eastAsia" w:cs="Times New Roman"/>
                <w:sz w:val="24"/>
                <w:szCs w:val="24"/>
                <w:lang w:val="en-US" w:eastAsia="zh-CN"/>
              </w:rPr>
              <w:t>，</w:t>
            </w:r>
            <w:r>
              <w:rPr>
                <w:rFonts w:hint="eastAsia" w:ascii="Times New Roman" w:hAnsi="Times New Roman" w:eastAsia="宋体" w:cs="Times New Roman"/>
                <w:bCs/>
                <w:sz w:val="24"/>
                <w:szCs w:val="24"/>
                <w:highlight w:val="none"/>
                <w:lang w:val="en-US" w:eastAsia="zh-CN"/>
              </w:rPr>
              <w:t>固废均能得到合理处置，</w:t>
            </w:r>
            <w:r>
              <w:rPr>
                <w:rFonts w:hint="eastAsia" w:cs="Times New Roman"/>
                <w:sz w:val="24"/>
                <w:szCs w:val="24"/>
                <w:lang w:val="en-US" w:eastAsia="zh-CN"/>
              </w:rPr>
              <w:t>不会对周边土壤环境产生影响</w:t>
            </w:r>
            <w:r>
              <w:rPr>
                <w:rFonts w:hint="eastAsia" w:ascii="Times New Roman" w:hAnsi="Times New Roman" w:eastAsia="宋体" w:cs="Times New Roman"/>
                <w:bCs/>
                <w:sz w:val="24"/>
                <w:szCs w:val="24"/>
                <w:highlight w:val="none"/>
                <w:lang w:val="en-US" w:eastAsia="zh-CN"/>
              </w:rPr>
              <w:t>。</w:t>
            </w:r>
          </w:p>
          <w:p w14:paraId="7FBD3B60">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imes New Roman" w:hAnsi="Times New Roman" w:eastAsia="宋体" w:cs="Times New Roman"/>
                <w:bCs/>
                <w:sz w:val="24"/>
                <w:szCs w:val="24"/>
                <w:highlight w:val="none"/>
                <w:lang w:val="en-US" w:eastAsia="zh-CN"/>
              </w:rPr>
            </w:pPr>
            <w:r>
              <w:rPr>
                <w:rFonts w:hint="eastAsia" w:cs="Times New Roman"/>
                <w:bCs/>
                <w:sz w:val="24"/>
                <w:szCs w:val="24"/>
                <w:highlight w:val="none"/>
                <w:lang w:val="en-US" w:eastAsia="zh-CN"/>
              </w:rPr>
              <w:t>综上</w:t>
            </w:r>
            <w:r>
              <w:rPr>
                <w:rFonts w:hint="eastAsia" w:ascii="Times New Roman" w:hAnsi="Times New Roman" w:eastAsia="宋体" w:cs="Times New Roman"/>
                <w:bCs/>
                <w:sz w:val="24"/>
                <w:szCs w:val="24"/>
                <w:highlight w:val="none"/>
                <w:lang w:val="en-US" w:eastAsia="zh-CN"/>
              </w:rPr>
              <w:t>，本项目能够与周边环境相容。</w:t>
            </w:r>
          </w:p>
          <w:p w14:paraId="14931FCA">
            <w:pPr>
              <w:autoSpaceDE w:val="0"/>
              <w:autoSpaceDN w:val="0"/>
              <w:adjustRightInd w:val="0"/>
              <w:snapToGrid w:val="0"/>
              <w:spacing w:line="360" w:lineRule="auto"/>
              <w:jc w:val="both"/>
              <w:rPr>
                <w:rFonts w:hint="eastAsia" w:ascii="宋体" w:hAnsi="宋体" w:eastAsia="宋体" w:cs="宋体"/>
                <w:b/>
                <w:bCs/>
                <w:kern w:val="0"/>
                <w:sz w:val="24"/>
                <w:szCs w:val="24"/>
                <w:lang w:val="en-US" w:eastAsia="zh-CN"/>
              </w:rPr>
            </w:pPr>
            <w:r>
              <w:rPr>
                <w:rFonts w:hint="eastAsia" w:ascii="宋体" w:hAnsi="宋体" w:cs="宋体"/>
                <w:b/>
                <w:bCs/>
                <w:kern w:val="0"/>
                <w:sz w:val="28"/>
                <w:szCs w:val="28"/>
                <w:lang w:val="en-US" w:eastAsia="zh-CN"/>
              </w:rPr>
              <w:t>3</w:t>
            </w:r>
            <w:r>
              <w:rPr>
                <w:rFonts w:hint="eastAsia" w:ascii="宋体" w:hAnsi="宋体" w:cs="宋体"/>
                <w:b/>
                <w:bCs/>
                <w:kern w:val="0"/>
                <w:sz w:val="28"/>
                <w:szCs w:val="28"/>
              </w:rPr>
              <w:t>、与“三线一单”及生态环境分区管控要求对照分析</w:t>
            </w:r>
          </w:p>
          <w:p w14:paraId="7DFF6A52">
            <w:pPr>
              <w:spacing w:line="360" w:lineRule="auto"/>
              <w:ind w:firstLine="480" w:firstLineChars="200"/>
              <w:jc w:val="left"/>
              <w:rPr>
                <w:rFonts w:hint="eastAsia"/>
                <w:bCs/>
                <w:sz w:val="24"/>
                <w:szCs w:val="24"/>
                <w:lang w:val="en-US" w:eastAsia="zh-CN"/>
              </w:rPr>
            </w:pPr>
            <w:r>
              <w:rPr>
                <w:rFonts w:hint="eastAsia"/>
                <w:bCs/>
                <w:sz w:val="24"/>
                <w:szCs w:val="24"/>
                <w:lang w:val="en-US" w:eastAsia="zh-CN"/>
              </w:rPr>
              <w:t>2020年6月29日，安徽省人民政府发布了《关于加快实施“三线一单”生态环境分区管控的通知》（皖政秘〔2020〕124号）。2022年1月10日，安徽省生态环境厅印发了《安徽省“三线一单”生态环境分区管控管理办法（暂行）》（皖环发〔2022〕5号）文件，文件要求“在建设项目环评中，做好与“三线一单”生态环境分区管控相符性分析，充分论证是否符合生态环境准入清单要求，对不符合的依法不予审批”。</w:t>
            </w:r>
          </w:p>
          <w:p w14:paraId="3A5FE559">
            <w:pPr>
              <w:spacing w:line="360" w:lineRule="auto"/>
              <w:ind w:firstLine="480" w:firstLineChars="200"/>
              <w:jc w:val="left"/>
              <w:rPr>
                <w:rFonts w:hint="eastAsia"/>
                <w:color w:val="000000"/>
                <w:kern w:val="0"/>
                <w:sz w:val="24"/>
                <w:lang w:val="en-US" w:eastAsia="zh-CN"/>
              </w:rPr>
            </w:pPr>
            <w:r>
              <w:rPr>
                <w:rFonts w:hint="default"/>
                <w:bCs/>
                <w:sz w:val="24"/>
                <w:szCs w:val="24"/>
                <w:lang w:val="en-US" w:eastAsia="zh-CN"/>
              </w:rPr>
              <w:t>本</w:t>
            </w:r>
            <w:r>
              <w:rPr>
                <w:rFonts w:hint="eastAsia"/>
                <w:bCs/>
                <w:sz w:val="24"/>
                <w:szCs w:val="24"/>
                <w:lang w:val="en-US" w:eastAsia="zh-CN"/>
              </w:rPr>
              <w:t>项</w:t>
            </w:r>
            <w:r>
              <w:rPr>
                <w:rFonts w:hint="default"/>
                <w:bCs/>
                <w:sz w:val="24"/>
                <w:szCs w:val="24"/>
                <w:lang w:val="en-US" w:eastAsia="zh-CN"/>
              </w:rPr>
              <w:t>目位于</w:t>
            </w:r>
            <w:r>
              <w:rPr>
                <w:rFonts w:hint="eastAsia"/>
                <w:bCs/>
                <w:sz w:val="24"/>
                <w:szCs w:val="24"/>
                <w:lang w:val="en-US" w:eastAsia="zh-CN"/>
              </w:rPr>
              <w:t>安徽省淮北市杜集区杜集经济开发区萧淮路16号</w:t>
            </w:r>
            <w:r>
              <w:rPr>
                <w:rFonts w:hint="eastAsia"/>
                <w:bCs/>
                <w:sz w:val="24"/>
                <w:szCs w:val="24"/>
                <w:highlight w:val="none"/>
                <w:lang w:val="en-US" w:eastAsia="zh-CN"/>
              </w:rPr>
              <w:t>，</w:t>
            </w:r>
            <w:r>
              <w:rPr>
                <w:rFonts w:hint="default"/>
                <w:bCs/>
                <w:sz w:val="24"/>
                <w:szCs w:val="24"/>
                <w:highlight w:val="none"/>
                <w:lang w:val="en-US" w:eastAsia="zh-CN"/>
              </w:rPr>
              <w:t>对</w:t>
            </w:r>
            <w:r>
              <w:rPr>
                <w:rFonts w:hint="default"/>
                <w:bCs/>
                <w:sz w:val="24"/>
                <w:szCs w:val="24"/>
                <w:lang w:val="en-US" w:eastAsia="zh-CN"/>
              </w:rPr>
              <w:t>照淮北市生态保护红线图以及在安徽省</w:t>
            </w:r>
            <w:r>
              <w:rPr>
                <w:rFonts w:hint="eastAsia"/>
                <w:bCs/>
                <w:sz w:val="24"/>
                <w:szCs w:val="24"/>
                <w:lang w:val="en-US" w:eastAsia="zh-CN"/>
              </w:rPr>
              <w:t>“三线一单”</w:t>
            </w:r>
            <w:r>
              <w:rPr>
                <w:rFonts w:hint="default"/>
                <w:bCs/>
                <w:sz w:val="24"/>
                <w:szCs w:val="24"/>
                <w:lang w:val="en-US" w:eastAsia="zh-CN"/>
              </w:rPr>
              <w:t>公众平台查</w:t>
            </w:r>
            <w:r>
              <w:rPr>
                <w:rFonts w:hint="eastAsia"/>
                <w:bCs/>
                <w:sz w:val="24"/>
                <w:szCs w:val="24"/>
                <w:lang w:val="en-US" w:eastAsia="zh-CN"/>
              </w:rPr>
              <w:t>询（环境管控单元编码为ZH34060220041），</w:t>
            </w:r>
            <w:r>
              <w:rPr>
                <w:rFonts w:hint="default"/>
                <w:bCs/>
                <w:sz w:val="24"/>
                <w:szCs w:val="24"/>
                <w:lang w:val="en-US" w:eastAsia="zh-CN"/>
              </w:rPr>
              <w:t>本</w:t>
            </w:r>
            <w:r>
              <w:rPr>
                <w:rFonts w:hint="eastAsia"/>
                <w:bCs/>
                <w:sz w:val="24"/>
                <w:szCs w:val="24"/>
                <w:lang w:val="en-US" w:eastAsia="zh-CN"/>
              </w:rPr>
              <w:t>项</w:t>
            </w:r>
            <w:r>
              <w:rPr>
                <w:rFonts w:hint="default"/>
                <w:bCs/>
                <w:sz w:val="24"/>
                <w:szCs w:val="24"/>
                <w:lang w:val="en-US" w:eastAsia="zh-CN"/>
              </w:rPr>
              <w:t>目不涉及生态保护红线</w:t>
            </w:r>
            <w:r>
              <w:rPr>
                <w:rFonts w:hint="eastAsia"/>
                <w:bCs/>
                <w:sz w:val="24"/>
                <w:szCs w:val="24"/>
                <w:lang w:val="en-US" w:eastAsia="zh-CN"/>
              </w:rPr>
              <w:t>，</w:t>
            </w:r>
            <w:r>
              <w:rPr>
                <w:rFonts w:hint="eastAsia"/>
                <w:bCs/>
                <w:sz w:val="24"/>
                <w:szCs w:val="24"/>
                <w:highlight w:val="none"/>
                <w:lang w:val="en-US" w:eastAsia="zh-CN"/>
              </w:rPr>
              <w:t>不涉及生态空间管控区</w:t>
            </w:r>
            <w:r>
              <w:rPr>
                <w:rFonts w:hint="eastAsia"/>
                <w:bCs/>
                <w:sz w:val="24"/>
                <w:szCs w:val="24"/>
                <w:lang w:val="en-US" w:eastAsia="zh-CN"/>
              </w:rPr>
              <w:t>域。</w:t>
            </w:r>
          </w:p>
          <w:p w14:paraId="5C2C06D3">
            <w:pPr>
              <w:spacing w:line="360" w:lineRule="auto"/>
              <w:ind w:firstLine="480" w:firstLineChars="200"/>
              <w:jc w:val="left"/>
              <w:rPr>
                <w:rFonts w:hint="eastAsia"/>
                <w:bCs/>
                <w:sz w:val="24"/>
                <w:szCs w:val="24"/>
                <w:lang w:val="en-US" w:eastAsia="zh-CN"/>
              </w:rPr>
            </w:pPr>
            <w:r>
              <w:rPr>
                <w:rFonts w:hint="default"/>
                <w:bCs/>
                <w:sz w:val="24"/>
                <w:szCs w:val="24"/>
                <w:lang w:val="en-US" w:eastAsia="zh-CN"/>
              </w:rPr>
              <w:t>本</w:t>
            </w:r>
            <w:r>
              <w:rPr>
                <w:rFonts w:hint="eastAsia"/>
                <w:bCs/>
                <w:sz w:val="24"/>
                <w:szCs w:val="24"/>
                <w:lang w:val="en-US" w:eastAsia="zh-CN"/>
              </w:rPr>
              <w:t>项</w:t>
            </w:r>
            <w:r>
              <w:rPr>
                <w:rFonts w:hint="default"/>
                <w:bCs/>
                <w:sz w:val="24"/>
                <w:szCs w:val="24"/>
                <w:lang w:val="en-US" w:eastAsia="zh-CN"/>
              </w:rPr>
              <w:t>目</w:t>
            </w:r>
            <w:r>
              <w:rPr>
                <w:rFonts w:hint="eastAsia"/>
                <w:color w:val="000000"/>
                <w:kern w:val="0"/>
                <w:sz w:val="24"/>
                <w:lang w:val="en-US" w:eastAsia="zh-CN"/>
              </w:rPr>
              <w:t>与“三线一单”及生态环境分区管控要求的符合性分析如下。</w:t>
            </w:r>
          </w:p>
          <w:p w14:paraId="4AC323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kern w:val="0"/>
                <w:sz w:val="24"/>
                <w:lang w:val="en-US" w:eastAsia="zh-CN"/>
              </w:rPr>
            </w:pPr>
            <w:r>
              <w:rPr>
                <w:rFonts w:hint="eastAsia" w:ascii="宋体" w:hAnsi="宋体" w:eastAsia="宋体" w:cs="宋体"/>
                <w:b/>
                <w:bCs/>
                <w:kern w:val="0"/>
                <w:sz w:val="22"/>
                <w:szCs w:val="22"/>
                <w:lang w:val="en-US" w:eastAsia="zh-CN"/>
              </w:rPr>
              <w:t>表1-</w:t>
            </w:r>
            <w:r>
              <w:rPr>
                <w:rFonts w:hint="eastAsia" w:ascii="宋体" w:hAnsi="宋体" w:cs="宋体"/>
                <w:b/>
                <w:bCs/>
                <w:kern w:val="0"/>
                <w:sz w:val="22"/>
                <w:szCs w:val="22"/>
                <w:lang w:val="en-US" w:eastAsia="zh-CN"/>
              </w:rPr>
              <w:t>1</w:t>
            </w:r>
            <w:r>
              <w:rPr>
                <w:rFonts w:hint="eastAsia" w:ascii="宋体" w:hAnsi="宋体" w:eastAsia="宋体" w:cs="宋体"/>
                <w:b/>
                <w:bCs/>
                <w:kern w:val="0"/>
                <w:sz w:val="22"/>
                <w:szCs w:val="22"/>
                <w:lang w:val="en-US" w:eastAsia="zh-CN"/>
              </w:rPr>
              <w:t xml:space="preserve">  与“三线一单”及生态环境分区管控要求相符性分析一览表</w:t>
            </w:r>
          </w:p>
          <w:tbl>
            <w:tblPr>
              <w:tblStyle w:val="24"/>
              <w:tblW w:w="816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489"/>
              <w:gridCol w:w="660"/>
              <w:gridCol w:w="4836"/>
              <w:gridCol w:w="1704"/>
              <w:gridCol w:w="474"/>
            </w:tblGrid>
            <w:tr w14:paraId="73C32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5985" w:type="dxa"/>
                  <w:gridSpan w:val="3"/>
                  <w:noWrap w:val="0"/>
                  <w:vAlign w:val="center"/>
                </w:tcPr>
                <w:p w14:paraId="1F11658F">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政策内容</w:t>
                  </w:r>
                </w:p>
              </w:tc>
              <w:tc>
                <w:tcPr>
                  <w:tcW w:w="1704" w:type="dxa"/>
                  <w:noWrap w:val="0"/>
                  <w:vAlign w:val="center"/>
                </w:tcPr>
                <w:p w14:paraId="3613DAEA">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本项目情况</w:t>
                  </w:r>
                </w:p>
              </w:tc>
              <w:tc>
                <w:tcPr>
                  <w:tcW w:w="474" w:type="dxa"/>
                  <w:noWrap w:val="0"/>
                  <w:vAlign w:val="center"/>
                </w:tcPr>
                <w:p w14:paraId="39793303">
                  <w:pPr>
                    <w:autoSpaceDE w:val="0"/>
                    <w:autoSpaceDN w:val="0"/>
                    <w:adjustRightInd w:val="0"/>
                    <w:snapToGrid w:val="0"/>
                    <w:spacing w:line="240" w:lineRule="auto"/>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相符性</w:t>
                  </w:r>
                </w:p>
              </w:tc>
            </w:tr>
            <w:tr w14:paraId="18698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restart"/>
                  <w:noWrap w:val="0"/>
                  <w:vAlign w:val="center"/>
                </w:tcPr>
                <w:p w14:paraId="3AAC7F12">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三线一单</w:t>
                  </w:r>
                </w:p>
              </w:tc>
              <w:tc>
                <w:tcPr>
                  <w:tcW w:w="660" w:type="dxa"/>
                  <w:noWrap w:val="0"/>
                  <w:vAlign w:val="center"/>
                </w:tcPr>
                <w:p w14:paraId="5F93D03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生态保护红线</w:t>
                  </w:r>
                </w:p>
              </w:tc>
              <w:tc>
                <w:tcPr>
                  <w:tcW w:w="4836" w:type="dxa"/>
                  <w:noWrap w:val="0"/>
                  <w:vAlign w:val="center"/>
                </w:tcPr>
                <w:p w14:paraId="5E02340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淮北市生态保护红线区面积为33.89km</w:t>
                  </w:r>
                  <w:r>
                    <w:rPr>
                      <w:rFonts w:hint="default" w:ascii="Times New Roman" w:hAnsi="Times New Roman" w:eastAsia="宋体" w:cs="Times New Roman"/>
                      <w:sz w:val="22"/>
                      <w:szCs w:val="22"/>
                      <w:vertAlign w:val="superscript"/>
                      <w:lang w:val="en-US" w:eastAsia="zh-CN"/>
                    </w:rPr>
                    <w:t>2</w:t>
                  </w:r>
                  <w:r>
                    <w:rPr>
                      <w:rFonts w:hint="eastAsia" w:ascii="Times New Roman" w:hAnsi="Times New Roman" w:eastAsia="宋体" w:cs="Times New Roman"/>
                      <w:sz w:val="22"/>
                      <w:szCs w:val="22"/>
                      <w:lang w:val="en-US" w:eastAsia="zh-CN"/>
                    </w:rPr>
                    <w:t>，其中杜集区</w:t>
                  </w:r>
                  <w:r>
                    <w:rPr>
                      <w:rFonts w:hint="default" w:ascii="Times New Roman" w:hAnsi="Times New Roman" w:eastAsia="宋体" w:cs="Times New Roman"/>
                      <w:sz w:val="22"/>
                      <w:szCs w:val="22"/>
                      <w:lang w:val="en-US" w:eastAsia="zh-CN"/>
                    </w:rPr>
                    <w:t>生态保护红线区面积为</w:t>
                  </w:r>
                  <w:r>
                    <w:rPr>
                      <w:rFonts w:hint="eastAsia" w:ascii="Times New Roman" w:hAnsi="Times New Roman" w:eastAsia="宋体" w:cs="Times New Roman"/>
                      <w:sz w:val="22"/>
                      <w:szCs w:val="22"/>
                      <w:lang w:val="en-US" w:eastAsia="zh-CN"/>
                    </w:rPr>
                    <w:t>6.18</w:t>
                  </w:r>
                  <w:r>
                    <w:rPr>
                      <w:rFonts w:hint="default" w:ascii="Times New Roman" w:hAnsi="Times New Roman" w:eastAsia="宋体" w:cs="Times New Roman"/>
                      <w:sz w:val="22"/>
                      <w:szCs w:val="22"/>
                      <w:lang w:val="en-US" w:eastAsia="zh-CN"/>
                    </w:rPr>
                    <w:t>km</w:t>
                  </w:r>
                  <w:r>
                    <w:rPr>
                      <w:rFonts w:hint="default" w:ascii="Times New Roman" w:hAnsi="Times New Roman" w:eastAsia="宋体" w:cs="Times New Roman"/>
                      <w:sz w:val="22"/>
                      <w:szCs w:val="22"/>
                      <w:vertAlign w:val="superscript"/>
                      <w:lang w:val="en-US" w:eastAsia="zh-CN"/>
                    </w:rPr>
                    <w:t>2</w:t>
                  </w:r>
                  <w:r>
                    <w:rPr>
                      <w:rFonts w:hint="eastAsia" w:ascii="Times New Roman" w:hAnsi="Times New Roman" w:eastAsia="宋体" w:cs="Times New Roman"/>
                      <w:sz w:val="22"/>
                      <w:szCs w:val="22"/>
                      <w:lang w:val="en-US" w:eastAsia="zh-CN"/>
                    </w:rPr>
                    <w:t>。</w:t>
                  </w:r>
                </w:p>
              </w:tc>
              <w:tc>
                <w:tcPr>
                  <w:tcW w:w="1704" w:type="dxa"/>
                  <w:noWrap w:val="0"/>
                  <w:vAlign w:val="center"/>
                </w:tcPr>
                <w:p w14:paraId="48DA1042">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不涉及</w:t>
                  </w:r>
                </w:p>
              </w:tc>
              <w:tc>
                <w:tcPr>
                  <w:tcW w:w="474" w:type="dxa"/>
                  <w:noWrap w:val="0"/>
                  <w:vAlign w:val="center"/>
                </w:tcPr>
                <w:p w14:paraId="45C3802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732DF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2573657F">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restart"/>
                  <w:noWrap w:val="0"/>
                  <w:vAlign w:val="center"/>
                </w:tcPr>
                <w:p w14:paraId="35A549F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环境质量底线</w:t>
                  </w:r>
                </w:p>
              </w:tc>
              <w:tc>
                <w:tcPr>
                  <w:tcW w:w="4836" w:type="dxa"/>
                  <w:noWrap w:val="0"/>
                  <w:vAlign w:val="center"/>
                </w:tcPr>
                <w:p w14:paraId="6C82FBB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大气环境质量底线</w:t>
                  </w:r>
                  <w:r>
                    <w:rPr>
                      <w:rFonts w:hint="eastAsia" w:ascii="Times New Roman" w:hAnsi="Times New Roman" w:eastAsia="宋体" w:cs="Times New Roman"/>
                      <w:sz w:val="22"/>
                      <w:szCs w:val="22"/>
                      <w:lang w:val="en-US" w:eastAsia="zh-CN"/>
                    </w:rPr>
                    <w:t>：淮北市、杜集区、烈山区、濉溪县、相山区2025年PM</w:t>
                  </w:r>
                  <w:r>
                    <w:rPr>
                      <w:rFonts w:hint="eastAsia" w:ascii="Times New Roman" w:hAnsi="Times New Roman" w:eastAsia="宋体" w:cs="Times New Roman"/>
                      <w:sz w:val="22"/>
                      <w:szCs w:val="22"/>
                      <w:vertAlign w:val="subscript"/>
                      <w:lang w:val="en-US" w:eastAsia="zh-CN"/>
                    </w:rPr>
                    <w:t>2.5</w:t>
                  </w:r>
                  <w:r>
                    <w:rPr>
                      <w:rFonts w:hint="eastAsia" w:ascii="Times New Roman" w:hAnsi="Times New Roman" w:eastAsia="宋体" w:cs="Times New Roman"/>
                      <w:sz w:val="22"/>
                      <w:szCs w:val="22"/>
                      <w:lang w:val="en-US" w:eastAsia="zh-CN"/>
                    </w:rPr>
                    <w:t>年均浓度≤39μg/m</w:t>
                  </w:r>
                  <w:r>
                    <w:rPr>
                      <w:rFonts w:hint="eastAsia" w:ascii="Times New Roman" w:hAnsi="Times New Roman" w:eastAsia="宋体" w:cs="Times New Roman"/>
                      <w:sz w:val="22"/>
                      <w:szCs w:val="22"/>
                      <w:vertAlign w:val="superscript"/>
                      <w:lang w:val="en-US" w:eastAsia="zh-CN"/>
                    </w:rPr>
                    <w:t>3</w:t>
                  </w:r>
                  <w:r>
                    <w:rPr>
                      <w:rFonts w:hint="eastAsia" w:ascii="Times New Roman" w:hAnsi="Times New Roman" w:eastAsia="宋体" w:cs="Times New Roman"/>
                      <w:sz w:val="22"/>
                      <w:szCs w:val="22"/>
                      <w:lang w:val="en-US" w:eastAsia="zh-CN"/>
                    </w:rPr>
                    <w:t>，2035年PM</w:t>
                  </w:r>
                  <w:r>
                    <w:rPr>
                      <w:rFonts w:hint="eastAsia" w:ascii="Times New Roman" w:hAnsi="Times New Roman" w:eastAsia="宋体" w:cs="Times New Roman"/>
                      <w:sz w:val="22"/>
                      <w:szCs w:val="22"/>
                      <w:vertAlign w:val="subscript"/>
                      <w:lang w:val="en-US" w:eastAsia="zh-CN"/>
                    </w:rPr>
                    <w:t>2.5</w:t>
                  </w:r>
                  <w:r>
                    <w:rPr>
                      <w:rFonts w:hint="eastAsia" w:ascii="Times New Roman" w:hAnsi="Times New Roman" w:eastAsia="宋体" w:cs="Times New Roman"/>
                      <w:sz w:val="22"/>
                      <w:szCs w:val="22"/>
                      <w:lang w:val="en-US" w:eastAsia="zh-CN"/>
                    </w:rPr>
                    <w:t>年均浓度≤35μg/m</w:t>
                  </w:r>
                  <w:r>
                    <w:rPr>
                      <w:rFonts w:hint="eastAsia" w:ascii="Times New Roman" w:hAnsi="Times New Roman" w:eastAsia="宋体" w:cs="Times New Roman"/>
                      <w:sz w:val="22"/>
                      <w:szCs w:val="22"/>
                      <w:vertAlign w:val="superscript"/>
                      <w:lang w:val="en-US" w:eastAsia="zh-CN"/>
                    </w:rPr>
                    <w:t>3</w:t>
                  </w:r>
                </w:p>
              </w:tc>
              <w:tc>
                <w:tcPr>
                  <w:tcW w:w="1704" w:type="dxa"/>
                  <w:noWrap w:val="0"/>
                  <w:vAlign w:val="center"/>
                </w:tcPr>
                <w:p w14:paraId="27BAA90C">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本项目排放大气污染物均可达标排放，</w:t>
                  </w:r>
                  <w:r>
                    <w:rPr>
                      <w:rFonts w:hint="eastAsia" w:ascii="Times New Roman" w:hAnsi="Times New Roman" w:eastAsia="宋体" w:cs="Times New Roman"/>
                      <w:sz w:val="22"/>
                      <w:szCs w:val="22"/>
                      <w:lang w:val="en-US" w:eastAsia="zh-CN"/>
                    </w:rPr>
                    <w:t>排放总量执行倍量替代</w:t>
                  </w:r>
                  <w:r>
                    <w:rPr>
                      <w:rFonts w:hint="default" w:ascii="Times New Roman" w:hAnsi="Times New Roman" w:eastAsia="宋体" w:cs="Times New Roman"/>
                      <w:sz w:val="22"/>
                      <w:szCs w:val="22"/>
                      <w:lang w:val="en-US" w:eastAsia="zh-CN"/>
                    </w:rPr>
                    <w:t>，不会</w:t>
                  </w:r>
                  <w:r>
                    <w:rPr>
                      <w:rFonts w:hint="eastAsia" w:ascii="Times New Roman" w:hAnsi="Times New Roman" w:eastAsia="宋体" w:cs="Times New Roman"/>
                      <w:sz w:val="22"/>
                      <w:szCs w:val="22"/>
                      <w:lang w:val="en-US" w:eastAsia="zh-CN"/>
                    </w:rPr>
                    <w:t>影响</w:t>
                  </w:r>
                  <w:r>
                    <w:rPr>
                      <w:rFonts w:hint="default" w:ascii="Times New Roman" w:hAnsi="Times New Roman" w:eastAsia="宋体" w:cs="Times New Roman"/>
                      <w:sz w:val="22"/>
                      <w:szCs w:val="22"/>
                      <w:lang w:val="en-US" w:eastAsia="zh-CN"/>
                    </w:rPr>
                    <w:t>大气环境质量底线</w:t>
                  </w:r>
                  <w:r>
                    <w:rPr>
                      <w:rFonts w:hint="eastAsia" w:ascii="Times New Roman" w:hAnsi="Times New Roman" w:eastAsia="宋体" w:cs="Times New Roman"/>
                      <w:sz w:val="22"/>
                      <w:szCs w:val="22"/>
                      <w:lang w:val="en-US" w:eastAsia="zh-CN"/>
                    </w:rPr>
                    <w:t>目标</w:t>
                  </w:r>
                  <w:r>
                    <w:rPr>
                      <w:rFonts w:hint="default" w:ascii="Times New Roman" w:hAnsi="Times New Roman" w:eastAsia="宋体" w:cs="Times New Roman"/>
                      <w:sz w:val="22"/>
                      <w:szCs w:val="22"/>
                      <w:lang w:val="en-US" w:eastAsia="zh-CN"/>
                    </w:rPr>
                    <w:t>。</w:t>
                  </w:r>
                </w:p>
              </w:tc>
              <w:tc>
                <w:tcPr>
                  <w:tcW w:w="474" w:type="dxa"/>
                  <w:noWrap w:val="0"/>
                  <w:vAlign w:val="center"/>
                </w:tcPr>
                <w:p w14:paraId="71D46DD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00DA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06747B3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79E489A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6AD3CED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水环境质量底线</w:t>
                  </w:r>
                  <w:r>
                    <w:rPr>
                      <w:rFonts w:hint="eastAsia" w:ascii="Times New Roman" w:hAnsi="Times New Roman" w:eastAsia="宋体" w:cs="Times New Roman"/>
                      <w:sz w:val="22"/>
                      <w:szCs w:val="22"/>
                      <w:lang w:val="en-US" w:eastAsia="zh-CN"/>
                    </w:rPr>
                    <w:t>：共有4</w:t>
                  </w:r>
                  <w:r>
                    <w:rPr>
                      <w:rFonts w:hint="eastAsia" w:ascii="Times New Roman" w:hAnsi="Times New Roman" w:eastAsia="宋体" w:cs="Times New Roman"/>
                      <w:sz w:val="22"/>
                      <w:szCs w:val="22"/>
                      <w:highlight w:val="none"/>
                      <w:lang w:val="en-US" w:eastAsia="zh-CN"/>
                    </w:rPr>
                    <w:t>个国控断面，其中李大桥闸、符离闸、后常桥3个断面2025年水质目标为Ⅲ，东坪集断面2025年水质目标为Ⅳ。</w:t>
                  </w:r>
                </w:p>
              </w:tc>
              <w:tc>
                <w:tcPr>
                  <w:tcW w:w="1704" w:type="dxa"/>
                  <w:noWrap w:val="0"/>
                  <w:vAlign w:val="center"/>
                </w:tcPr>
                <w:p w14:paraId="53A6900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本项目生产废水</w:t>
                  </w:r>
                  <w:r>
                    <w:rPr>
                      <w:rFonts w:hint="eastAsia" w:cs="Times New Roman"/>
                      <w:sz w:val="22"/>
                      <w:szCs w:val="22"/>
                      <w:lang w:val="en-US" w:eastAsia="zh-CN"/>
                    </w:rPr>
                    <w:t>循环使用</w:t>
                  </w:r>
                  <w:r>
                    <w:rPr>
                      <w:rFonts w:hint="default" w:ascii="Times New Roman" w:hAnsi="Times New Roman" w:eastAsia="宋体" w:cs="Times New Roman"/>
                      <w:sz w:val="22"/>
                      <w:szCs w:val="22"/>
                      <w:lang w:val="en-US" w:eastAsia="zh-CN"/>
                    </w:rPr>
                    <w:t>不外排</w:t>
                  </w:r>
                  <w:r>
                    <w:rPr>
                      <w:rFonts w:hint="eastAsia" w:cs="Times New Roman"/>
                      <w:sz w:val="22"/>
                      <w:szCs w:val="22"/>
                      <w:lang w:val="en-US" w:eastAsia="zh-CN"/>
                    </w:rPr>
                    <w:t>，生活污水经化粪池</w:t>
                  </w:r>
                  <w:r>
                    <w:rPr>
                      <w:rFonts w:hint="default" w:ascii="Times New Roman" w:hAnsi="Times New Roman" w:eastAsia="宋体" w:cs="Times New Roman"/>
                      <w:sz w:val="22"/>
                      <w:szCs w:val="22"/>
                      <w:lang w:val="en-US" w:eastAsia="zh-CN"/>
                    </w:rPr>
                    <w:t>预处理后排入龙湖工业园污水处理厂进行深度处理，达标排放至</w:t>
                  </w:r>
                  <w:r>
                    <w:rPr>
                      <w:rFonts w:hint="eastAsia" w:ascii="Times New Roman" w:hAnsi="Times New Roman" w:eastAsia="宋体" w:cs="Times New Roman"/>
                      <w:sz w:val="22"/>
                      <w:szCs w:val="22"/>
                      <w:lang w:val="en-US" w:eastAsia="zh-CN"/>
                    </w:rPr>
                    <w:t>龙河</w:t>
                  </w:r>
                  <w:r>
                    <w:rPr>
                      <w:rFonts w:hint="default" w:ascii="Times New Roman" w:hAnsi="Times New Roman" w:eastAsia="宋体" w:cs="Times New Roman"/>
                      <w:sz w:val="22"/>
                      <w:szCs w:val="22"/>
                      <w:lang w:val="en-US" w:eastAsia="zh-CN"/>
                    </w:rPr>
                    <w:t>，不会</w:t>
                  </w:r>
                  <w:r>
                    <w:rPr>
                      <w:rFonts w:hint="eastAsia" w:ascii="Times New Roman" w:hAnsi="Times New Roman" w:eastAsia="宋体" w:cs="Times New Roman"/>
                      <w:sz w:val="22"/>
                      <w:szCs w:val="22"/>
                      <w:lang w:val="en-US" w:eastAsia="zh-CN"/>
                    </w:rPr>
                    <w:t>影响</w:t>
                  </w:r>
                  <w:r>
                    <w:rPr>
                      <w:rFonts w:hint="default" w:ascii="Times New Roman" w:hAnsi="Times New Roman" w:eastAsia="宋体" w:cs="Times New Roman"/>
                      <w:sz w:val="22"/>
                      <w:szCs w:val="22"/>
                      <w:lang w:val="en-US" w:eastAsia="zh-CN"/>
                    </w:rPr>
                    <w:t>周边水环境质量底线</w:t>
                  </w:r>
                  <w:r>
                    <w:rPr>
                      <w:rFonts w:hint="eastAsia" w:ascii="Times New Roman" w:hAnsi="Times New Roman" w:eastAsia="宋体" w:cs="Times New Roman"/>
                      <w:sz w:val="22"/>
                      <w:szCs w:val="22"/>
                      <w:lang w:val="en-US" w:eastAsia="zh-CN"/>
                    </w:rPr>
                    <w:t>目标</w:t>
                  </w:r>
                  <w:r>
                    <w:rPr>
                      <w:rFonts w:hint="default" w:ascii="Times New Roman" w:hAnsi="Times New Roman" w:eastAsia="宋体" w:cs="Times New Roman"/>
                      <w:sz w:val="22"/>
                      <w:szCs w:val="22"/>
                      <w:lang w:val="en-US" w:eastAsia="zh-CN"/>
                    </w:rPr>
                    <w:t>。</w:t>
                  </w:r>
                </w:p>
              </w:tc>
              <w:tc>
                <w:tcPr>
                  <w:tcW w:w="474" w:type="dxa"/>
                  <w:noWrap w:val="0"/>
                  <w:vAlign w:val="center"/>
                </w:tcPr>
                <w:p w14:paraId="33DD467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124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57DBAC9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660" w:type="dxa"/>
                  <w:vMerge w:val="continue"/>
                  <w:noWrap w:val="0"/>
                  <w:vAlign w:val="center"/>
                </w:tcPr>
                <w:p w14:paraId="339F40E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836" w:type="dxa"/>
                  <w:noWrap w:val="0"/>
                  <w:vAlign w:val="center"/>
                </w:tcPr>
                <w:p w14:paraId="0B4BE56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土壤环境质量底线</w:t>
                  </w:r>
                  <w:r>
                    <w:rPr>
                      <w:rFonts w:hint="eastAsia" w:ascii="Times New Roman" w:hAnsi="Times New Roman" w:eastAsia="宋体" w:cs="Times New Roman"/>
                      <w:sz w:val="22"/>
                      <w:szCs w:val="22"/>
                      <w:lang w:val="en-US" w:eastAsia="zh-CN"/>
                    </w:rPr>
                    <w:t>：到2025年，淮北市土壤环境质量总体保持稳定，局部稳中向好，受污染地块安全利用水平得到巩固，受污染耕地安全利用率93%。到2035年，淮北市土壤环境质量持续向好，农用地和建设用地土壤环境安全得到有效保障，土壤环境风险得到全面管控。</w:t>
                  </w:r>
                </w:p>
              </w:tc>
              <w:tc>
                <w:tcPr>
                  <w:tcW w:w="1704" w:type="dxa"/>
                  <w:noWrap w:val="0"/>
                  <w:vAlign w:val="center"/>
                </w:tcPr>
                <w:p w14:paraId="066F59E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本项目通过</w:t>
                  </w:r>
                  <w:r>
                    <w:rPr>
                      <w:rFonts w:hint="default" w:ascii="Times New Roman" w:hAnsi="Times New Roman" w:eastAsia="宋体" w:cs="Times New Roman"/>
                      <w:sz w:val="22"/>
                      <w:szCs w:val="22"/>
                      <w:lang w:val="en-US" w:eastAsia="zh-CN"/>
                    </w:rPr>
                    <w:t>采取重点防渗</w:t>
                  </w:r>
                  <w:r>
                    <w:rPr>
                      <w:rFonts w:hint="eastAsia" w:ascii="Times New Roman" w:hAnsi="Times New Roman" w:eastAsia="宋体" w:cs="Times New Roman"/>
                      <w:sz w:val="22"/>
                      <w:szCs w:val="22"/>
                      <w:lang w:val="en-US" w:eastAsia="zh-CN"/>
                    </w:rPr>
                    <w:t>等</w:t>
                  </w:r>
                  <w:r>
                    <w:rPr>
                      <w:rFonts w:hint="default" w:ascii="Times New Roman" w:hAnsi="Times New Roman" w:eastAsia="宋体" w:cs="Times New Roman"/>
                      <w:sz w:val="22"/>
                      <w:szCs w:val="22"/>
                      <w:lang w:val="en-US" w:eastAsia="zh-CN"/>
                    </w:rPr>
                    <w:t>措施，可以有效降低土壤污染的风险，不会</w:t>
                  </w:r>
                  <w:r>
                    <w:rPr>
                      <w:rFonts w:hint="eastAsia" w:ascii="Times New Roman" w:hAnsi="Times New Roman" w:eastAsia="宋体" w:cs="Times New Roman"/>
                      <w:sz w:val="22"/>
                      <w:szCs w:val="22"/>
                      <w:lang w:val="en-US" w:eastAsia="zh-CN"/>
                    </w:rPr>
                    <w:t>影响</w:t>
                  </w:r>
                  <w:r>
                    <w:rPr>
                      <w:rFonts w:hint="default" w:ascii="Times New Roman" w:hAnsi="Times New Roman" w:eastAsia="宋体" w:cs="Times New Roman"/>
                      <w:sz w:val="22"/>
                      <w:szCs w:val="22"/>
                      <w:lang w:val="en-US" w:eastAsia="zh-CN"/>
                    </w:rPr>
                    <w:t>土壤环境质量底线</w:t>
                  </w:r>
                  <w:r>
                    <w:rPr>
                      <w:rFonts w:hint="eastAsia" w:ascii="Times New Roman" w:hAnsi="Times New Roman" w:eastAsia="宋体" w:cs="Times New Roman"/>
                      <w:sz w:val="22"/>
                      <w:szCs w:val="22"/>
                      <w:lang w:val="en-US" w:eastAsia="zh-CN"/>
                    </w:rPr>
                    <w:t>目标。</w:t>
                  </w:r>
                </w:p>
              </w:tc>
              <w:tc>
                <w:tcPr>
                  <w:tcW w:w="474" w:type="dxa"/>
                  <w:noWrap w:val="0"/>
                  <w:vAlign w:val="center"/>
                </w:tcPr>
                <w:p w14:paraId="15B11C4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470083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6573494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restart"/>
                  <w:noWrap w:val="0"/>
                  <w:vAlign w:val="center"/>
                </w:tcPr>
                <w:p w14:paraId="4AE826B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资源利用上线</w:t>
                  </w:r>
                </w:p>
              </w:tc>
              <w:tc>
                <w:tcPr>
                  <w:tcW w:w="4836" w:type="dxa"/>
                  <w:noWrap w:val="0"/>
                  <w:vAlign w:val="center"/>
                </w:tcPr>
                <w:p w14:paraId="5C4EDE7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煤炭资源利用</w:t>
                  </w:r>
                  <w:r>
                    <w:rPr>
                      <w:rFonts w:hint="eastAsia" w:cs="Times New Roman"/>
                      <w:sz w:val="22"/>
                      <w:szCs w:val="22"/>
                      <w:lang w:val="en-US" w:eastAsia="zh-CN"/>
                    </w:rPr>
                    <w:t>上限</w:t>
                  </w:r>
                  <w:r>
                    <w:rPr>
                      <w:rFonts w:hint="eastAsia" w:ascii="Times New Roman" w:hAnsi="Times New Roman" w:eastAsia="宋体" w:cs="Times New Roman"/>
                      <w:sz w:val="22"/>
                      <w:szCs w:val="22"/>
                      <w:lang w:val="en-US" w:eastAsia="zh-CN"/>
                    </w:rPr>
                    <w:t>：到2025年，燃煤发电机组平均供电煤耗降至295克标煤/千瓦时，散煤基本清零，煤炭消费总量控制目标完成省下达任务。</w:t>
                  </w:r>
                </w:p>
              </w:tc>
              <w:tc>
                <w:tcPr>
                  <w:tcW w:w="1704" w:type="dxa"/>
                  <w:noWrap w:val="0"/>
                  <w:vAlign w:val="center"/>
                </w:tcPr>
                <w:p w14:paraId="181C08F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w:t>
                  </w:r>
                  <w:r>
                    <w:rPr>
                      <w:rFonts w:hint="eastAsia" w:ascii="Times New Roman" w:hAnsi="Times New Roman" w:eastAsia="宋体" w:cs="Times New Roman"/>
                      <w:sz w:val="22"/>
                      <w:szCs w:val="22"/>
                      <w:lang w:val="en-US" w:eastAsia="zh-CN"/>
                    </w:rPr>
                    <w:t>不涉及使用煤炭。</w:t>
                  </w:r>
                </w:p>
              </w:tc>
              <w:tc>
                <w:tcPr>
                  <w:tcW w:w="474" w:type="dxa"/>
                  <w:noWrap w:val="0"/>
                  <w:vAlign w:val="center"/>
                </w:tcPr>
                <w:p w14:paraId="767D795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3ED6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14A23F6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011F554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567D57B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水资源利用上线</w:t>
                  </w:r>
                  <w:r>
                    <w:rPr>
                      <w:rFonts w:hint="eastAsia" w:ascii="Times New Roman" w:hAnsi="Times New Roman" w:eastAsia="宋体" w:cs="Times New Roman"/>
                      <w:sz w:val="22"/>
                      <w:szCs w:val="22"/>
                      <w:lang w:val="en-US" w:eastAsia="zh-CN"/>
                    </w:rPr>
                    <w:t>：至2025年，淮北市用水总量控制在5.2亿m</w:t>
                  </w:r>
                  <w:r>
                    <w:rPr>
                      <w:rFonts w:hint="eastAsia" w:ascii="Times New Roman" w:hAnsi="Times New Roman" w:eastAsia="宋体" w:cs="Times New Roman"/>
                      <w:sz w:val="22"/>
                      <w:szCs w:val="22"/>
                      <w:vertAlign w:val="superscript"/>
                      <w:lang w:val="en-US" w:eastAsia="zh-CN"/>
                    </w:rPr>
                    <w:t>3</w:t>
                  </w:r>
                  <w:r>
                    <w:rPr>
                      <w:rFonts w:hint="eastAsia" w:ascii="Times New Roman" w:hAnsi="Times New Roman" w:eastAsia="宋体" w:cs="Times New Roman"/>
                      <w:sz w:val="22"/>
                      <w:szCs w:val="22"/>
                      <w:lang w:val="en-US" w:eastAsia="zh-CN"/>
                    </w:rPr>
                    <w:t>以内，十四五期间万元GDP用水量、万元工业增加值用水量较2020年分别下降14%、15%，农业灌溉水有效利用系数达到0.67。</w:t>
                  </w:r>
                </w:p>
              </w:tc>
              <w:tc>
                <w:tcPr>
                  <w:tcW w:w="1704" w:type="dxa"/>
                  <w:noWrap w:val="0"/>
                  <w:vAlign w:val="center"/>
                </w:tcPr>
                <w:p w14:paraId="60B2DFE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本项目需使用一定水资源，用水主要来自市政给水管网提供，</w:t>
                  </w:r>
                  <w:r>
                    <w:rPr>
                      <w:rFonts w:hint="eastAsia" w:ascii="Times New Roman" w:hAnsi="Times New Roman" w:eastAsia="宋体" w:cs="Times New Roman"/>
                      <w:sz w:val="22"/>
                      <w:szCs w:val="22"/>
                      <w:lang w:val="en-US" w:eastAsia="zh-CN"/>
                    </w:rPr>
                    <w:t>不会影响</w:t>
                  </w:r>
                  <w:r>
                    <w:rPr>
                      <w:rFonts w:hint="default" w:ascii="Times New Roman" w:hAnsi="Times New Roman" w:eastAsia="宋体" w:cs="Times New Roman"/>
                      <w:sz w:val="22"/>
                      <w:szCs w:val="22"/>
                      <w:lang w:val="en-US" w:eastAsia="zh-CN"/>
                    </w:rPr>
                    <w:t>水资源利用上线</w:t>
                  </w:r>
                  <w:r>
                    <w:rPr>
                      <w:rFonts w:hint="eastAsia" w:ascii="Times New Roman" w:hAnsi="Times New Roman" w:eastAsia="宋体" w:cs="Times New Roman"/>
                      <w:sz w:val="22"/>
                      <w:szCs w:val="22"/>
                      <w:lang w:val="en-US" w:eastAsia="zh-CN"/>
                    </w:rPr>
                    <w:t>目标。</w:t>
                  </w:r>
                </w:p>
              </w:tc>
              <w:tc>
                <w:tcPr>
                  <w:tcW w:w="474" w:type="dxa"/>
                  <w:noWrap w:val="0"/>
                  <w:vAlign w:val="center"/>
                </w:tcPr>
                <w:p w14:paraId="1122AE1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62554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5B13FBCC">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660" w:type="dxa"/>
                  <w:vMerge w:val="continue"/>
                  <w:noWrap w:val="0"/>
                  <w:vAlign w:val="center"/>
                </w:tcPr>
                <w:p w14:paraId="51666237">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836" w:type="dxa"/>
                  <w:noWrap w:val="0"/>
                  <w:vAlign w:val="center"/>
                </w:tcPr>
                <w:p w14:paraId="53D4C6C1">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土地资源利用上线</w:t>
                  </w:r>
                  <w:r>
                    <w:rPr>
                      <w:rFonts w:hint="eastAsia" w:ascii="Times New Roman" w:hAnsi="Times New Roman" w:eastAsia="宋体" w:cs="Times New Roman"/>
                      <w:sz w:val="22"/>
                      <w:szCs w:val="22"/>
                      <w:lang w:val="en-US" w:eastAsia="zh-CN"/>
                    </w:rPr>
                    <w:t>：至2025年，淮北市耕地保有量不低于1637.74平方公里，永久基本农田保护面积不低于1449.37平方公里。</w:t>
                  </w:r>
                </w:p>
              </w:tc>
              <w:tc>
                <w:tcPr>
                  <w:tcW w:w="1704" w:type="dxa"/>
                  <w:noWrap w:val="0"/>
                  <w:vAlign w:val="center"/>
                </w:tcPr>
                <w:p w14:paraId="21D8BEB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本项目用地性质为工业用地，</w:t>
                  </w:r>
                  <w:r>
                    <w:rPr>
                      <w:rFonts w:hint="eastAsia" w:ascii="Times New Roman" w:hAnsi="Times New Roman" w:eastAsia="宋体" w:cs="Times New Roman"/>
                      <w:sz w:val="22"/>
                      <w:szCs w:val="22"/>
                      <w:lang w:val="en-US" w:eastAsia="zh-CN"/>
                    </w:rPr>
                    <w:t>不会影响</w:t>
                  </w:r>
                  <w:r>
                    <w:rPr>
                      <w:rFonts w:hint="default" w:ascii="Times New Roman" w:hAnsi="Times New Roman" w:eastAsia="宋体" w:cs="Times New Roman"/>
                      <w:sz w:val="22"/>
                      <w:szCs w:val="22"/>
                      <w:lang w:val="en-US" w:eastAsia="zh-CN"/>
                    </w:rPr>
                    <w:t>土地资源利用</w:t>
                  </w:r>
                  <w:r>
                    <w:rPr>
                      <w:rFonts w:hint="eastAsia" w:cs="Times New Roman"/>
                      <w:sz w:val="22"/>
                      <w:szCs w:val="22"/>
                      <w:lang w:val="en-US" w:eastAsia="zh-CN"/>
                    </w:rPr>
                    <w:t>上限</w:t>
                  </w:r>
                  <w:r>
                    <w:rPr>
                      <w:rFonts w:hint="eastAsia" w:ascii="Times New Roman" w:hAnsi="Times New Roman" w:eastAsia="宋体" w:cs="Times New Roman"/>
                      <w:sz w:val="22"/>
                      <w:szCs w:val="22"/>
                      <w:lang w:val="en-US" w:eastAsia="zh-CN"/>
                    </w:rPr>
                    <w:t>目标。</w:t>
                  </w:r>
                </w:p>
              </w:tc>
              <w:tc>
                <w:tcPr>
                  <w:tcW w:w="474" w:type="dxa"/>
                  <w:noWrap w:val="0"/>
                  <w:vAlign w:val="center"/>
                </w:tcPr>
                <w:p w14:paraId="2D452DE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77EBF2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4DD92BC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2DDDBC2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空间布局约束</w:t>
                  </w:r>
                </w:p>
              </w:tc>
              <w:tc>
                <w:tcPr>
                  <w:tcW w:w="4836" w:type="dxa"/>
                  <w:noWrap w:val="0"/>
                  <w:vAlign w:val="center"/>
                </w:tcPr>
                <w:p w14:paraId="003DEC17">
                  <w:pPr>
                    <w:autoSpaceDE w:val="0"/>
                    <w:autoSpaceDN w:val="0"/>
                    <w:adjustRightInd w:val="0"/>
                    <w:snapToGrid w:val="0"/>
                    <w:spacing w:line="240" w:lineRule="auto"/>
                    <w:jc w:val="left"/>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严格执行国家关于“两高”产业准入目录和产能总量控制政策措施</w:t>
                  </w:r>
                  <w:r>
                    <w:rPr>
                      <w:rFonts w:hint="eastAsia" w:cs="Times New Roman"/>
                      <w:sz w:val="22"/>
                      <w:szCs w:val="22"/>
                      <w:lang w:val="en-US" w:eastAsia="zh-CN"/>
                    </w:rPr>
                    <w:t>。</w:t>
                  </w:r>
                  <w:r>
                    <w:rPr>
                      <w:rFonts w:hint="default" w:ascii="Times New Roman" w:hAnsi="Times New Roman" w:cs="Times New Roman"/>
                      <w:spacing w:val="3"/>
                      <w:sz w:val="21"/>
                      <w:szCs w:val="21"/>
                    </w:rPr>
                    <w:t>禁止建设生产和使用高</w:t>
                  </w:r>
                  <w:r>
                    <w:rPr>
                      <w:rFonts w:hint="default" w:ascii="Times New Roman" w:hAnsi="Times New Roman" w:cs="Times New Roman"/>
                      <w:sz w:val="21"/>
                      <w:szCs w:val="21"/>
                    </w:rPr>
                    <w:t>VOCs</w:t>
                  </w:r>
                  <w:r>
                    <w:rPr>
                      <w:rFonts w:hint="default" w:ascii="Times New Roman" w:hAnsi="Times New Roman" w:cs="Times New Roman"/>
                      <w:spacing w:val="3"/>
                      <w:sz w:val="21"/>
                      <w:szCs w:val="21"/>
                    </w:rPr>
                    <w:t>含量的溶剂型涂料、油</w:t>
                  </w:r>
                  <w:r>
                    <w:rPr>
                      <w:rFonts w:hint="default" w:ascii="Times New Roman" w:hAnsi="Times New Roman" w:cs="Times New Roman"/>
                      <w:spacing w:val="2"/>
                      <w:sz w:val="21"/>
                      <w:szCs w:val="21"/>
                    </w:rPr>
                    <w:t>墨、胶粘剂等项目</w:t>
                  </w:r>
                  <w:r>
                    <w:rPr>
                      <w:rFonts w:hint="eastAsia" w:ascii="Times New Roman" w:hAnsi="Times New Roman" w:cs="Times New Roman"/>
                      <w:spacing w:val="2"/>
                      <w:sz w:val="21"/>
                      <w:szCs w:val="21"/>
                      <w:lang w:eastAsia="zh-CN"/>
                    </w:rPr>
                    <w:t>。</w:t>
                  </w:r>
                  <w:r>
                    <w:rPr>
                      <w:rFonts w:hint="default" w:ascii="Times New Roman" w:hAnsi="Times New Roman" w:cs="Times New Roman"/>
                      <w:spacing w:val="-2"/>
                      <w:sz w:val="21"/>
                      <w:szCs w:val="21"/>
                    </w:rPr>
                    <w:t>在城市规划区内禁止新建、扩建大气污染严重的建设项目</w:t>
                  </w:r>
                  <w:r>
                    <w:rPr>
                      <w:rFonts w:hint="eastAsia" w:ascii="Times New Roman" w:hAnsi="Times New Roman" w:cs="Times New Roman"/>
                      <w:spacing w:val="-2"/>
                      <w:sz w:val="21"/>
                      <w:szCs w:val="21"/>
                      <w:lang w:eastAsia="zh-CN"/>
                    </w:rPr>
                    <w:t>。</w:t>
                  </w:r>
                  <w:r>
                    <w:t>在燃气管网和集中供热管网覆盖的区域，不得新建</w:t>
                  </w:r>
                  <w:r>
                    <w:rPr>
                      <w:spacing w:val="-1"/>
                    </w:rPr>
                    <w:t>、扩建、改建燃烧煤炭</w:t>
                  </w:r>
                  <w:r>
                    <w:t xml:space="preserve"> </w:t>
                  </w:r>
                  <w:r>
                    <w:rPr>
                      <w:spacing w:val="-1"/>
                    </w:rPr>
                    <w:t>、重油、渣油的供热设施</w:t>
                  </w:r>
                  <w:r>
                    <w:rPr>
                      <w:rFonts w:hint="eastAsia"/>
                      <w:spacing w:val="-1"/>
                      <w:lang w:eastAsia="zh-CN"/>
                    </w:rPr>
                    <w:t>。</w:t>
                  </w:r>
                </w:p>
              </w:tc>
              <w:tc>
                <w:tcPr>
                  <w:tcW w:w="1704" w:type="dxa"/>
                  <w:noWrap w:val="0"/>
                  <w:vAlign w:val="center"/>
                </w:tcPr>
                <w:p w14:paraId="6D5B647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本项目不属于“两高”项目，不属于国家明令淘汰、禁止建设的项目，符</w:t>
                  </w:r>
                </w:p>
                <w:p w14:paraId="04E672A4">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合国家产业政策。</w:t>
                  </w:r>
                  <w:r>
                    <w:rPr>
                      <w:rFonts w:hint="default" w:ascii="Times New Roman" w:hAnsi="Times New Roman" w:eastAsia="宋体" w:cs="Times New Roman"/>
                      <w:sz w:val="21"/>
                      <w:szCs w:val="21"/>
                      <w:lang w:val="en-US" w:eastAsia="zh-CN"/>
                    </w:rPr>
                    <w:t>本项目使用的</w:t>
                  </w:r>
                  <w:r>
                    <w:rPr>
                      <w:rFonts w:hint="eastAsia" w:ascii="Times New Roman" w:hAnsi="Times New Roman" w:cs="Times New Roman"/>
                      <w:sz w:val="21"/>
                      <w:szCs w:val="21"/>
                      <w:lang w:val="en-US" w:eastAsia="zh-CN"/>
                    </w:rPr>
                    <w:t>油漆</w:t>
                  </w:r>
                  <w:r>
                    <w:rPr>
                      <w:rFonts w:hint="eastAsia" w:cs="Times New Roman"/>
                      <w:sz w:val="21"/>
                      <w:szCs w:val="21"/>
                      <w:lang w:val="en-US" w:eastAsia="zh-CN"/>
                    </w:rPr>
                    <w:t>中VOC含量满足《低挥发性有机化合物含量涂料产品技术要求》（GB/T 38597-2020）表2中限量值</w:t>
                  </w:r>
                  <w:r>
                    <w:rPr>
                      <w:rFonts w:hint="eastAsia" w:ascii="Times New Roman" w:hAnsi="Times New Roman" w:eastAsia="宋体" w:cs="Times New Roman"/>
                      <w:sz w:val="22"/>
                      <w:szCs w:val="22"/>
                      <w:lang w:val="en-US" w:eastAsia="zh-CN"/>
                    </w:rPr>
                    <w:t>。</w:t>
                  </w:r>
                </w:p>
              </w:tc>
              <w:tc>
                <w:tcPr>
                  <w:tcW w:w="474" w:type="dxa"/>
                  <w:noWrap w:val="0"/>
                  <w:vAlign w:val="center"/>
                </w:tcPr>
                <w:p w14:paraId="35EEE2E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190E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1BE0901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6AFCEFC7">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污染物排放管控</w:t>
                  </w:r>
                </w:p>
              </w:tc>
              <w:tc>
                <w:tcPr>
                  <w:tcW w:w="4836" w:type="dxa"/>
                  <w:noWrap w:val="0"/>
                  <w:vAlign w:val="center"/>
                </w:tcPr>
                <w:p w14:paraId="4035A9DA">
                  <w:pPr>
                    <w:autoSpaceDE w:val="0"/>
                    <w:autoSpaceDN w:val="0"/>
                    <w:adjustRightInd w:val="0"/>
                    <w:snapToGrid w:val="0"/>
                    <w:spacing w:line="240" w:lineRule="auto"/>
                    <w:jc w:val="left"/>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新建、改建、扩建排放重点大气污染物的项目不符合总量控制要求的，不得通过环境影响评价</w:t>
                  </w:r>
                  <w:r>
                    <w:rPr>
                      <w:rFonts w:hint="eastAsia" w:cs="Times New Roman"/>
                      <w:sz w:val="22"/>
                      <w:szCs w:val="22"/>
                      <w:lang w:val="en-US" w:eastAsia="zh-CN"/>
                    </w:rPr>
                    <w:t>。全面推动挥发性有机物纳入排污许可管理。禁止建设生产和使用高挥发性有机物含量涂料、油墨、胶粘剂、清洗剂等项目。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污染物排放标准中有特别排放限值的标准的行业，二氧化硫、氮氧化物、颗粒物、挥发性有机物（VOCs）全面执行大气污染物特别排放限值。所有排污单位必须依法实现全面达标排放。</w:t>
                  </w:r>
                </w:p>
              </w:tc>
              <w:tc>
                <w:tcPr>
                  <w:tcW w:w="1704" w:type="dxa"/>
                  <w:noWrap w:val="0"/>
                  <w:vAlign w:val="center"/>
                </w:tcPr>
                <w:p w14:paraId="216B8C83">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本项目颗粒物、</w:t>
                  </w:r>
                  <w:r>
                    <w:rPr>
                      <w:rFonts w:hint="eastAsia" w:cs="Times New Roman"/>
                      <w:sz w:val="22"/>
                      <w:szCs w:val="22"/>
                      <w:lang w:val="en-US" w:eastAsia="zh-CN"/>
                    </w:rPr>
                    <w:t>VOCs</w:t>
                  </w:r>
                  <w:r>
                    <w:rPr>
                      <w:rFonts w:hint="eastAsia" w:ascii="Times New Roman" w:hAnsi="Times New Roman" w:eastAsia="宋体" w:cs="Times New Roman"/>
                      <w:sz w:val="22"/>
                      <w:szCs w:val="22"/>
                      <w:lang w:val="en-US" w:eastAsia="zh-CN"/>
                    </w:rPr>
                    <w:t>排放总量</w:t>
                  </w:r>
                  <w:r>
                    <w:rPr>
                      <w:rFonts w:hint="eastAsia" w:cs="Times New Roman"/>
                      <w:sz w:val="22"/>
                      <w:szCs w:val="22"/>
                      <w:lang w:val="en-US" w:eastAsia="zh-CN"/>
                    </w:rPr>
                    <w:t>执行倍量替代，</w:t>
                  </w:r>
                  <w:r>
                    <w:rPr>
                      <w:rFonts w:hint="eastAsia" w:ascii="Times New Roman" w:hAnsi="Times New Roman" w:eastAsia="宋体" w:cs="Times New Roman"/>
                      <w:sz w:val="22"/>
                      <w:szCs w:val="22"/>
                      <w:lang w:val="en-US" w:eastAsia="zh-CN"/>
                    </w:rPr>
                    <w:t>满足总量控制要求，各项污染物排放浓度满足标准要求。</w:t>
                  </w:r>
                </w:p>
              </w:tc>
              <w:tc>
                <w:tcPr>
                  <w:tcW w:w="474" w:type="dxa"/>
                  <w:noWrap w:val="0"/>
                  <w:vAlign w:val="center"/>
                </w:tcPr>
                <w:p w14:paraId="69CCE75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5E03C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8163" w:type="dxa"/>
                  <w:gridSpan w:val="5"/>
                  <w:noWrap w:val="0"/>
                  <w:vAlign w:val="center"/>
                </w:tcPr>
                <w:p w14:paraId="17003766">
                  <w:pPr>
                    <w:autoSpaceDE w:val="0"/>
                    <w:autoSpaceDN w:val="0"/>
                    <w:adjustRightInd w:val="0"/>
                    <w:snapToGrid w:val="0"/>
                    <w:spacing w:line="240" w:lineRule="auto"/>
                    <w:jc w:val="center"/>
                    <w:rPr>
                      <w:rFonts w:hint="default"/>
                      <w:b w:val="0"/>
                      <w:bCs w:val="0"/>
                      <w:sz w:val="21"/>
                      <w:szCs w:val="21"/>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2445385</wp:posOffset>
                            </wp:positionH>
                            <wp:positionV relativeFrom="paragraph">
                              <wp:posOffset>1679575</wp:posOffset>
                            </wp:positionV>
                            <wp:extent cx="76200" cy="76200"/>
                            <wp:effectExtent l="12700" t="12700" r="17780" b="17780"/>
                            <wp:wrapNone/>
                            <wp:docPr id="24" name="椭圆 24"/>
                            <wp:cNvGraphicFramePr/>
                            <a:graphic xmlns:a="http://schemas.openxmlformats.org/drawingml/2006/main">
                              <a:graphicData uri="http://schemas.microsoft.com/office/word/2010/wordprocessingShape">
                                <wps:wsp>
                                  <wps:cNvSpPr/>
                                  <wps:spPr>
                                    <a:xfrm>
                                      <a:off x="0" y="0"/>
                                      <a:ext cx="76200" cy="7620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2.55pt;margin-top:132.25pt;height:6pt;width:6pt;z-index:251665408;v-text-anchor:middle;mso-width-relative:page;mso-height-relative:page;" filled="f" stroked="t" coordsize="21600,21600" o:gfxdata="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GYY&#10;2QAAAAsBAAAPAAAAAAAAAAEAIAAAACIAAABkcnMvZG93bnJldi54bWxQSwECFAAUAAAACACHTuJA&#10;CQ8Wy1kCAAC2BAAADgAAAAAAAAABACAAAAAoAQAAZHJzL2Uyb0RvYy54bWxQSwUGAAAAAAYABgBZ&#10;AQAA8wUAAAAA&#10;">
                            <v:fill on="f" focussize="0,0"/>
                            <v:stroke weight="2pt" color="#FF0000 [2404]" joinstyle="round"/>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4527550</wp:posOffset>
                            </wp:positionH>
                            <wp:positionV relativeFrom="paragraph">
                              <wp:posOffset>15875</wp:posOffset>
                            </wp:positionV>
                            <wp:extent cx="504825" cy="838200"/>
                            <wp:effectExtent l="0" t="0" r="0" b="0"/>
                            <wp:wrapNone/>
                            <wp:docPr id="13" name="文本框 13"/>
                            <wp:cNvGraphicFramePr/>
                            <a:graphic xmlns:a="http://schemas.openxmlformats.org/drawingml/2006/main">
                              <a:graphicData uri="http://schemas.microsoft.com/office/word/2010/wordprocessingShape">
                                <wps:wsp>
                                  <wps:cNvSpPr txBox="1"/>
                                  <wps:spPr>
                                    <a:xfrm>
                                      <a:off x="5937885" y="1018540"/>
                                      <a:ext cx="504825" cy="838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E2DE3">
                                        <w:r>
                                          <w:drawing>
                                            <wp:inline distT="0" distB="0" distL="114300" distR="114300">
                                              <wp:extent cx="383540" cy="703580"/>
                                              <wp:effectExtent l="0" t="0" r="0" b="1270"/>
                                              <wp:docPr id="112" name="图片 453"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53" descr="指北针"/>
                                                      <pic:cNvPicPr>
                                                        <a:picLocks noChangeAspect="1"/>
                                                      </pic:cNvPicPr>
                                                    </pic:nvPicPr>
                                                    <pic:blipFill>
                                                      <a:blip r:embed="rId13"/>
                                                      <a:stretch>
                                                        <a:fillRect/>
                                                      </a:stretch>
                                                    </pic:blipFill>
                                                    <pic:spPr>
                                                      <a:xfrm>
                                                        <a:off x="0" y="0"/>
                                                        <a:ext cx="383540" cy="703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5pt;margin-top:1.25pt;height:66pt;width:39.75pt;z-index:251663360;mso-width-relative:page;mso-height-relative:page;" filled="f" stroked="f" coordsize="21600,21600" o:gfxdata="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Fl9z2wAAAAkBAAAPAAAAAAAAAAEA&#10;IAAAACIAAABkcnMvZG93bnJldi54bWxQSwECFAAUAAAACACHTuJAb5EElkUCAABzBAAADgAAAAAA&#10;AAABACAAAAAqAQAAZHJzL2Uyb0RvYy54bWxQSwUGAAAAAAYABgBZAQAA4QUAAAAA&#10;">
                            <v:fill on="f" focussize="0,0"/>
                            <v:stroke on="f" weight="0.5pt"/>
                            <v:imagedata o:title=""/>
                            <o:lock v:ext="edit" aspectratio="f"/>
                            <v:textbox>
                              <w:txbxContent>
                                <w:p w14:paraId="180E2DE3">
                                  <w:r>
                                    <w:drawing>
                                      <wp:inline distT="0" distB="0" distL="114300" distR="114300">
                                        <wp:extent cx="383540" cy="703580"/>
                                        <wp:effectExtent l="0" t="0" r="0" b="1270"/>
                                        <wp:docPr id="112" name="图片 453"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53" descr="指北针"/>
                                                <pic:cNvPicPr>
                                                  <a:picLocks noChangeAspect="1"/>
                                                </pic:cNvPicPr>
                                              </pic:nvPicPr>
                                              <pic:blipFill>
                                                <a:blip r:embed="rId13"/>
                                                <a:stretch>
                                                  <a:fillRect/>
                                                </a:stretch>
                                              </pic:blipFill>
                                              <pic:spPr>
                                                <a:xfrm>
                                                  <a:off x="0" y="0"/>
                                                  <a:ext cx="383540" cy="703580"/>
                                                </a:xfrm>
                                                <a:prstGeom prst="rect">
                                                  <a:avLst/>
                                                </a:prstGeom>
                                              </pic:spPr>
                                            </pic:pic>
                                          </a:graphicData>
                                        </a:graphic>
                                      </wp:inline>
                                    </w:drawing>
                                  </w:r>
                                </w:p>
                              </w:txbxContent>
                            </v:textbox>
                          </v:shape>
                        </w:pict>
                      </mc:Fallback>
                    </mc:AlternateContent>
                  </w:r>
                  <w:r>
                    <w:drawing>
                      <wp:inline distT="0" distB="0" distL="114300" distR="114300">
                        <wp:extent cx="5045075" cy="3164840"/>
                        <wp:effectExtent l="0" t="0" r="3175" b="1651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4"/>
                                <a:stretch>
                                  <a:fillRect/>
                                </a:stretch>
                              </pic:blipFill>
                              <pic:spPr>
                                <a:xfrm>
                                  <a:off x="0" y="0"/>
                                  <a:ext cx="5045075" cy="3164840"/>
                                </a:xfrm>
                                <a:prstGeom prst="rect">
                                  <a:avLst/>
                                </a:prstGeom>
                                <a:noFill/>
                                <a:ln>
                                  <a:noFill/>
                                </a:ln>
                              </pic:spPr>
                            </pic:pic>
                          </a:graphicData>
                        </a:graphic>
                      </wp:inline>
                    </w:drawing>
                  </w:r>
                </w:p>
                <w:p w14:paraId="03607F62">
                  <w:pPr>
                    <w:autoSpaceDE w:val="0"/>
                    <w:autoSpaceDN w:val="0"/>
                    <w:adjustRightInd w:val="0"/>
                    <w:snapToGrid w:val="0"/>
                    <w:spacing w:line="240" w:lineRule="auto"/>
                    <w:ind w:firstLine="210" w:firstLineChars="100"/>
                    <w:jc w:val="left"/>
                    <w:rPr>
                      <w:rFonts w:hint="eastAsia"/>
                      <w:b/>
                      <w:bCs/>
                      <w:sz w:val="21"/>
                      <w:szCs w:val="21"/>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52705</wp:posOffset>
                            </wp:positionV>
                            <wp:extent cx="76200" cy="76200"/>
                            <wp:effectExtent l="12700" t="12700" r="25400" b="25400"/>
                            <wp:wrapNone/>
                            <wp:docPr id="14" name="椭圆 14"/>
                            <wp:cNvGraphicFramePr/>
                            <a:graphic xmlns:a="http://schemas.openxmlformats.org/drawingml/2006/main">
                              <a:graphicData uri="http://schemas.microsoft.com/office/word/2010/wordprocessingShape">
                                <wps:wsp>
                                  <wps:cNvSpPr/>
                                  <wps:spPr>
                                    <a:xfrm>
                                      <a:off x="1546860" y="4438015"/>
                                      <a:ext cx="76200" cy="7620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5pt;margin-top:4.15pt;height:6pt;width:6pt;z-index:251664384;v-text-anchor:middle;mso-width-relative:page;mso-height-relative:page;" filled="f" stroked="t" coordsize="21600,21600" o:gfxdata="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LaREu0gAAAAUBAAAPAAAAAAAAAAEAIAAAACIAAABkcnMvZG93bnJldi54bWxQSwECFAAU&#10;AAAACACHTuJAZxGr7mkCAADCBAAADgAAAAAAAAABACAAAAAhAQAAZHJzL2Uyb0RvYy54bWxQSwUG&#10;AAAAAAYABgBZAQAA/AUAAAAA&#10;">
                            <v:fill on="f" focussize="0,0"/>
                            <v:stroke weight="2pt" color="#FF0000 [2404]" joinstyle="round"/>
                            <v:imagedata o:title=""/>
                            <o:lock v:ext="edit" aspectratio="f"/>
                          </v:shape>
                        </w:pict>
                      </mc:Fallback>
                    </mc:AlternateContent>
                  </w:r>
                  <w:r>
                    <w:rPr>
                      <w:rFonts w:hint="eastAsia"/>
                      <w:b w:val="0"/>
                      <w:bCs w:val="0"/>
                      <w:sz w:val="21"/>
                      <w:szCs w:val="21"/>
                      <w:lang w:val="en-US" w:eastAsia="zh-CN"/>
                    </w:rPr>
                    <w:t>本项目所在位置</w:t>
                  </w:r>
                </w:p>
                <w:p w14:paraId="332DC865">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lang w:val="en-US" w:eastAsia="zh-CN"/>
                    </w:rPr>
                  </w:pPr>
                  <w:r>
                    <w:rPr>
                      <w:rFonts w:hint="eastAsia"/>
                      <w:b/>
                      <w:bCs/>
                      <w:sz w:val="21"/>
                      <w:szCs w:val="21"/>
                      <w:lang w:val="en-US" w:eastAsia="zh-CN"/>
                    </w:rPr>
                    <w:t>图1-1 项目在安徽省“三线一单”公众服务平台分析点位图</w:t>
                  </w:r>
                </w:p>
              </w:tc>
            </w:tr>
            <w:tr w14:paraId="11414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restart"/>
                  <w:noWrap w:val="0"/>
                  <w:vAlign w:val="center"/>
                </w:tcPr>
                <w:p w14:paraId="26B9BAE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生态环境分区管控</w:t>
                  </w:r>
                </w:p>
              </w:tc>
              <w:tc>
                <w:tcPr>
                  <w:tcW w:w="660" w:type="dxa"/>
                  <w:vMerge w:val="restart"/>
                  <w:noWrap w:val="0"/>
                  <w:vAlign w:val="center"/>
                </w:tcPr>
                <w:p w14:paraId="5624C51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生态空间</w:t>
                  </w:r>
                </w:p>
              </w:tc>
              <w:tc>
                <w:tcPr>
                  <w:tcW w:w="4836" w:type="dxa"/>
                  <w:noWrap w:val="0"/>
                  <w:vAlign w:val="center"/>
                </w:tcPr>
                <w:p w14:paraId="14D3148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生态保护红线：依据自然资源部、生态环境部、国家林业和草原局印发的《关于加强生态保护红线管理的通知（试行）》，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1）</w:t>
                  </w:r>
                  <w:r>
                    <w:rPr>
                      <w:rFonts w:hint="eastAsia" w:ascii="Times New Roman" w:hAnsi="Times New Roman" w:eastAsia="宋体" w:cs="Times New Roman"/>
                      <w:sz w:val="22"/>
                      <w:szCs w:val="22"/>
                      <w:lang w:val="en-US" w:eastAsia="zh-CN"/>
                    </w:rPr>
                    <w:tab/>
                  </w:r>
                  <w:r>
                    <w:rPr>
                      <w:rFonts w:hint="eastAsia" w:ascii="Times New Roman" w:hAnsi="Times New Roman" w:eastAsia="宋体" w:cs="Times New Roman"/>
                      <w:sz w:val="22"/>
                      <w:szCs w:val="22"/>
                      <w:lang w:val="en-US" w:eastAsia="zh-CN"/>
                    </w:rPr>
                    <w:t>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33D996DE">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经依法批准的考古调查发掘、古生物化石调查发掘、标本采集和文物保护活动；（4）按规定对人工商品林进行抚育采伐，或以提升森林质量、优化栖息地、建设生物防火隔离带等为目的的树种更新，依法开展的竹林采伐经营；（5）</w:t>
                  </w:r>
                  <w:r>
                    <w:rPr>
                      <w:rFonts w:hint="eastAsia" w:cs="Times New Roman"/>
                      <w:sz w:val="22"/>
                      <w:szCs w:val="22"/>
                      <w:lang w:val="en-US" w:eastAsia="zh-CN"/>
                    </w:rPr>
                    <w:t>不</w:t>
                  </w:r>
                  <w:r>
                    <w:rPr>
                      <w:rFonts w:hint="eastAsia" w:ascii="Times New Roman" w:hAnsi="Times New Roman" w:eastAsia="宋体" w:cs="Times New Roman"/>
                      <w:sz w:val="22"/>
                      <w:szCs w:val="22"/>
                      <w:lang w:val="en-US" w:eastAsia="zh-CN"/>
                    </w:rPr>
                    <w:t>破坏生态功能的适度参观旅游、科普宣教及符合相关规划的配套性服务设施和相关的必要公共设施建设及维护；（6）</w:t>
                  </w:r>
                  <w:r>
                    <w:rPr>
                      <w:rFonts w:hint="eastAsia" w:ascii="Times New Roman" w:hAnsi="Times New Roman" w:eastAsia="宋体" w:cs="Times New Roman"/>
                      <w:sz w:val="22"/>
                      <w:szCs w:val="22"/>
                      <w:lang w:val="en-US" w:eastAsia="zh-CN"/>
                    </w:rPr>
                    <w:tab/>
                  </w:r>
                  <w:r>
                    <w:rPr>
                      <w:rFonts w:hint="eastAsia" w:ascii="Times New Roman" w:hAnsi="Times New Roman" w:eastAsia="宋体" w:cs="Times New Roman"/>
                      <w:sz w:val="22"/>
                      <w:szCs w:val="22"/>
                      <w:lang w:val="en-US" w:eastAsia="zh-CN"/>
                    </w:rPr>
                    <w:t>必须且无法避让、符合县级以上国土空间规划的线性基础设施、通讯和防洪、供水设施建设和船舶航行、航道疏浚清淤等活动；已有的合法水利、交通运输等设施运行维护改造；（7）地质调查与矿产资源勘查开采；（8）依据县级以上国土空间规划和生态保护修复专项规划开展的生态修复；（9）</w:t>
                  </w:r>
                  <w:r>
                    <w:rPr>
                      <w:rFonts w:hint="eastAsia" w:ascii="Times New Roman" w:hAnsi="Times New Roman" w:eastAsia="宋体" w:cs="Times New Roman"/>
                      <w:sz w:val="22"/>
                      <w:szCs w:val="22"/>
                      <w:lang w:val="en-US" w:eastAsia="zh-CN"/>
                    </w:rPr>
                    <w:tab/>
                  </w:r>
                  <w:r>
                    <w:rPr>
                      <w:rFonts w:hint="eastAsia" w:ascii="Times New Roman" w:hAnsi="Times New Roman" w:eastAsia="宋体" w:cs="Times New Roman"/>
                      <w:sz w:val="22"/>
                      <w:szCs w:val="22"/>
                      <w:lang w:val="en-US" w:eastAsia="zh-CN"/>
                    </w:rPr>
                    <w:t>根据我国相关法律法规和与邻国签署的国界管理制度协定（条约）开展的边界边境通视道清理以及界务工程的修建、维护和拆除工作。（10）法律法规规定允许的其他人为活动。</w:t>
                  </w:r>
                </w:p>
              </w:tc>
              <w:tc>
                <w:tcPr>
                  <w:tcW w:w="1704" w:type="dxa"/>
                  <w:vMerge w:val="restart"/>
                  <w:noWrap w:val="0"/>
                  <w:vAlign w:val="center"/>
                </w:tcPr>
                <w:p w14:paraId="5D2AE1C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本项目不涉及生态保护红线，不涉及生态空间管控区域</w:t>
                  </w:r>
                </w:p>
              </w:tc>
              <w:tc>
                <w:tcPr>
                  <w:tcW w:w="474" w:type="dxa"/>
                  <w:vMerge w:val="restart"/>
                  <w:noWrap w:val="0"/>
                  <w:vAlign w:val="center"/>
                </w:tcPr>
                <w:p w14:paraId="5E47786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6D93B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5DA8615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5410B8C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15C41D3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一般生态空间：对一般生态空间内的国家公园、自然保护区、风景名胜区、森林公园、地质公园、世界自然遗产、湿地公园、饮用水水源保护区、天然林、生态公益林等各类保护地的管理，按照法律、法规和规章等要求执行。</w:t>
                  </w:r>
                </w:p>
              </w:tc>
              <w:tc>
                <w:tcPr>
                  <w:tcW w:w="1704" w:type="dxa"/>
                  <w:vMerge w:val="continue"/>
                  <w:noWrap w:val="0"/>
                  <w:vAlign w:val="center"/>
                </w:tcPr>
                <w:p w14:paraId="2665662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74" w:type="dxa"/>
                  <w:vMerge w:val="continue"/>
                  <w:noWrap w:val="0"/>
                  <w:vAlign w:val="center"/>
                </w:tcPr>
                <w:p w14:paraId="75F9E7A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r>
            <w:tr w14:paraId="4BB4C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6CE92B0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restart"/>
                  <w:noWrap w:val="0"/>
                  <w:vAlign w:val="center"/>
                </w:tcPr>
                <w:p w14:paraId="27DC401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水环境管控分区</w:t>
                  </w:r>
                </w:p>
              </w:tc>
              <w:tc>
                <w:tcPr>
                  <w:tcW w:w="4836" w:type="dxa"/>
                  <w:noWrap w:val="0"/>
                  <w:vAlign w:val="center"/>
                </w:tcPr>
                <w:p w14:paraId="7320B56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水环境优先保护区：依据《中华人民共和国水污染防治法》《安徽省饮用水水源环境保护条例》等法律法规和规章对饮用水水源保护区实施管控；依据《中华人民共和国自然保护区条例》《国家湿地公园管理办法》《安徽省湿地保护条例》《安徽省湿地公园管理办法（试行）》等法律法规和规章对湿地型自然保护区、湿地公园实施管控；依据《水产种质资源保护区管理暂行办法》对水产种质资源保护区实施管控；各类保护地外围区域按照既有规定进行管控。</w:t>
                  </w:r>
                </w:p>
              </w:tc>
              <w:tc>
                <w:tcPr>
                  <w:tcW w:w="1704" w:type="dxa"/>
                  <w:vMerge w:val="restart"/>
                  <w:noWrap w:val="0"/>
                  <w:vAlign w:val="center"/>
                </w:tcPr>
                <w:p w14:paraId="442278D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本项目位于水环境重点管控区</w:t>
                  </w:r>
                  <w:r>
                    <w:rPr>
                      <w:rFonts w:hint="eastAsia" w:cs="Times New Roman"/>
                      <w:sz w:val="22"/>
                      <w:szCs w:val="22"/>
                      <w:lang w:val="en-US" w:eastAsia="zh-CN"/>
                    </w:rPr>
                    <w:t>。生产废水循环使用不外排，生活污水进入化粪池预处理，然后通过污水管网排入龙湖工业园污水处理厂进行深度处理，最后达标排放至龙河。</w:t>
                  </w:r>
                  <w:r>
                    <w:rPr>
                      <w:rFonts w:hint="eastAsia" w:ascii="Times New Roman" w:hAnsi="Times New Roman" w:eastAsia="宋体" w:cs="Times New Roman"/>
                      <w:sz w:val="22"/>
                      <w:szCs w:val="22"/>
                      <w:lang w:val="en-US" w:eastAsia="zh-CN"/>
                    </w:rPr>
                    <w:t>水污染物</w:t>
                  </w:r>
                  <w:r>
                    <w:rPr>
                      <w:rFonts w:hint="eastAsia" w:cs="Times New Roman"/>
                      <w:sz w:val="22"/>
                      <w:szCs w:val="22"/>
                      <w:lang w:val="en-US" w:eastAsia="zh-CN"/>
                    </w:rPr>
                    <w:t>总量纳入龙湖工业园污水处理厂，无需单独申请总量。</w:t>
                  </w:r>
                </w:p>
              </w:tc>
              <w:tc>
                <w:tcPr>
                  <w:tcW w:w="474" w:type="dxa"/>
                  <w:vMerge w:val="restart"/>
                  <w:noWrap w:val="0"/>
                  <w:vAlign w:val="center"/>
                </w:tcPr>
                <w:p w14:paraId="2ABE8C6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40107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776AB2B7">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2FB8E10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412694F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水环境重点管控区：依据《中华人民共和国水污染防治法》《水污染防治行动计划》《安徽省水污染防治工作方案》及淮北市水污染防治工作方案对重点管控区实施管控；依据淮北市相关开发区规划、规划环评及审查意见相关要求对开发区实施管控；落实《安徽省“十四五”生态环境保护规划》《安徽省“十四五”节能减排实施方案》《淮北市“十四五”生态环境保护规划》《淮北市“十四五”水生态环境保护专项规划》《淮北市“十四五”节能减排方案》《淮北市水污染防治工作方案》等要求；新建、改建和扩建项目水污染物实施“等量替代”。</w:t>
                  </w:r>
                </w:p>
              </w:tc>
              <w:tc>
                <w:tcPr>
                  <w:tcW w:w="1704" w:type="dxa"/>
                  <w:vMerge w:val="continue"/>
                  <w:noWrap w:val="0"/>
                  <w:vAlign w:val="center"/>
                </w:tcPr>
                <w:p w14:paraId="3B4DEE1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74" w:type="dxa"/>
                  <w:vMerge w:val="continue"/>
                  <w:noWrap w:val="0"/>
                  <w:vAlign w:val="center"/>
                </w:tcPr>
                <w:p w14:paraId="7B20194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r>
            <w:tr w14:paraId="276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2824916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6F4EB73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25284A4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水环境一般管控区：依据《中华人民共和国水污染防治法》《水污染防治行动计划》《安徽省水污染防治工作方案》《淮北市水污染防治工作方案》对一般管控区实施管控。</w:t>
                  </w:r>
                </w:p>
              </w:tc>
              <w:tc>
                <w:tcPr>
                  <w:tcW w:w="1704" w:type="dxa"/>
                  <w:vMerge w:val="continue"/>
                  <w:noWrap w:val="0"/>
                  <w:vAlign w:val="center"/>
                </w:tcPr>
                <w:p w14:paraId="64F51259">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74" w:type="dxa"/>
                  <w:vMerge w:val="continue"/>
                  <w:noWrap w:val="0"/>
                  <w:vAlign w:val="center"/>
                </w:tcPr>
                <w:p w14:paraId="48F96AC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r>
            <w:tr w14:paraId="38643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0751CB1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restart"/>
                  <w:noWrap w:val="0"/>
                  <w:vAlign w:val="center"/>
                </w:tcPr>
                <w:p w14:paraId="1F9E32AD">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大气环境管控分区</w:t>
                  </w:r>
                </w:p>
              </w:tc>
              <w:tc>
                <w:tcPr>
                  <w:tcW w:w="4836" w:type="dxa"/>
                  <w:noWrap w:val="0"/>
                  <w:vAlign w:val="center"/>
                </w:tcPr>
                <w:p w14:paraId="64EB658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大气环境优先保护区：依据《中华人民共和国大气污染防治法》《安徽省大气污染防治条例》等法律法规和规章对优先保护区实施管控；依据《国家森林公园管理条例》《安徽省森林公园管理条例》等法律法规和规章对森林公园实施管控；依据《地质遗迹保护管理规定》对地质公园实施管控；依据《国家风景名胜区管理条例》以及安徽省人民政府办公厅《关于加强风景名胜区规划建设管理工作的意见》等法律法规和规章对各类风景名胜区实施管控；依据《中华人民共和国自然保护区条例》等法律法规和规章对各类自然保护区实施管控。</w:t>
                  </w:r>
                </w:p>
              </w:tc>
              <w:tc>
                <w:tcPr>
                  <w:tcW w:w="1704" w:type="dxa"/>
                  <w:vMerge w:val="restart"/>
                  <w:noWrap w:val="0"/>
                  <w:vAlign w:val="center"/>
                </w:tcPr>
                <w:p w14:paraId="103D5B1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本项目位于大气环境重点管控区</w:t>
                  </w:r>
                  <w:r>
                    <w:rPr>
                      <w:rFonts w:hint="eastAsia" w:cs="Times New Roman"/>
                      <w:sz w:val="22"/>
                      <w:szCs w:val="22"/>
                      <w:lang w:val="en-US" w:eastAsia="zh-CN"/>
                    </w:rPr>
                    <w:t>，新增大气污染物</w:t>
                  </w:r>
                  <w:r>
                    <w:rPr>
                      <w:rFonts w:hint="eastAsia" w:ascii="Times New Roman" w:hAnsi="Times New Roman" w:eastAsia="宋体" w:cs="Times New Roman"/>
                      <w:sz w:val="22"/>
                      <w:szCs w:val="22"/>
                      <w:lang w:val="en-US" w:eastAsia="zh-CN"/>
                    </w:rPr>
                    <w:t>实施“倍量替代”</w:t>
                  </w:r>
                </w:p>
              </w:tc>
              <w:tc>
                <w:tcPr>
                  <w:tcW w:w="474" w:type="dxa"/>
                  <w:vMerge w:val="restart"/>
                  <w:noWrap w:val="0"/>
                  <w:vAlign w:val="center"/>
                </w:tcPr>
                <w:p w14:paraId="127BAEB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01D3A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19EA8AB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397E98C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7270723E">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大气环境重点管控区：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深入打好污染防治攻坚战行动方案》《淮北市“十四五”节能减排实施方案</w:t>
                  </w:r>
                  <w:r>
                    <w:rPr>
                      <w:rFonts w:hint="eastAsia" w:cs="Times New Roman"/>
                      <w:sz w:val="22"/>
                      <w:szCs w:val="22"/>
                      <w:lang w:val="en-US" w:eastAsia="zh-CN"/>
                    </w:rPr>
                    <w:t>》等</w:t>
                  </w:r>
                  <w:r>
                    <w:rPr>
                      <w:rFonts w:hint="eastAsia" w:ascii="Times New Roman" w:hAnsi="Times New Roman" w:eastAsia="宋体" w:cs="Times New Roman"/>
                      <w:sz w:val="22"/>
                      <w:szCs w:val="22"/>
                      <w:lang w:val="en-US" w:eastAsia="zh-CN"/>
                    </w:rPr>
                    <w:t>要求；严格目标实施计划，加强环境监管，促进生态环境质量好转；新建、改建和扩建项目大气污染物实施“倍量替代”，执行特别排放标准的行业实施提标升级改造。</w:t>
                  </w:r>
                </w:p>
              </w:tc>
              <w:tc>
                <w:tcPr>
                  <w:tcW w:w="1704" w:type="dxa"/>
                  <w:vMerge w:val="continue"/>
                  <w:noWrap w:val="0"/>
                  <w:vAlign w:val="center"/>
                </w:tcPr>
                <w:p w14:paraId="4DD57ECB">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74" w:type="dxa"/>
                  <w:vMerge w:val="continue"/>
                  <w:noWrap w:val="0"/>
                  <w:vAlign w:val="center"/>
                </w:tcPr>
                <w:p w14:paraId="746FAAB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r>
            <w:tr w14:paraId="1C5F6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3BAC39A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43506F3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7727C84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大气环境一般管控区：依据《中华人民共和国大气污染防治法》《安徽省大气污染防治条例》《安徽省碳达峰实施方案的通知》《安徽省工业领域碳达峰实施方案》《安徽省城乡建设领域碳达峰实施方案》等法律法规和规章对一般管控区实施管控。新建、改建和扩建项目大气污染物实施“倍量替代”</w:t>
                  </w:r>
                  <w:r>
                    <w:rPr>
                      <w:rFonts w:hint="eastAsia" w:cs="Times New Roman"/>
                      <w:sz w:val="22"/>
                      <w:szCs w:val="22"/>
                      <w:lang w:val="en-US" w:eastAsia="zh-CN"/>
                    </w:rPr>
                    <w:t>，对</w:t>
                  </w:r>
                  <w:r>
                    <w:rPr>
                      <w:rFonts w:hint="eastAsia" w:ascii="Times New Roman" w:hAnsi="Times New Roman" w:eastAsia="宋体" w:cs="Times New Roman"/>
                      <w:sz w:val="22"/>
                      <w:szCs w:val="22"/>
                      <w:lang w:val="en-US" w:eastAsia="zh-CN"/>
                    </w:rPr>
                    <w:t>执行特别排放标准的行业实施提标升级改造。</w:t>
                  </w:r>
                </w:p>
              </w:tc>
              <w:tc>
                <w:tcPr>
                  <w:tcW w:w="1704" w:type="dxa"/>
                  <w:vMerge w:val="continue"/>
                  <w:noWrap w:val="0"/>
                  <w:vAlign w:val="center"/>
                </w:tcPr>
                <w:p w14:paraId="4D14D72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74" w:type="dxa"/>
                  <w:vMerge w:val="continue"/>
                  <w:noWrap w:val="0"/>
                  <w:vAlign w:val="center"/>
                </w:tcPr>
                <w:p w14:paraId="541C05E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r>
            <w:tr w14:paraId="25885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2CA505F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restart"/>
                  <w:noWrap w:val="0"/>
                  <w:vAlign w:val="center"/>
                </w:tcPr>
                <w:p w14:paraId="741BE7C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土壤环境风险管控分区</w:t>
                  </w:r>
                </w:p>
              </w:tc>
              <w:tc>
                <w:tcPr>
                  <w:tcW w:w="4836" w:type="dxa"/>
                  <w:noWrap w:val="0"/>
                  <w:vAlign w:val="center"/>
                </w:tcPr>
                <w:p w14:paraId="794BBD4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土壤环境风险优先保护区：依据《中华人民共和国土壤污染防治法》《基本农田保护条例》《土壤污染防治行动计划》《安徽省土壤污染防治工作方案》《安徽省“十四五”土壤、地下水和农村生态环境保护规划》《淮北市“十四五”土壤（地下水）和农村生态环境保护规划》等要求对优先保护区实施管控，实行严格保护，确保其面积不减少、环境质量不下降，除法律规定的重点建设项目选址确实无法避让外，其他任何建设不得占用；推行秸秆还田、增施有机肥、少耕免耕、粮豆轮作、农膜减量与回收利用等措施；避免过度施肥、滥用农药导致的土壤环境质量下降；严格控制在优先保护类耕地集中区域内新建有色金属冶炼、石油加工、化工、焦化、电镀、制革等行业企业，防控企业污染。</w:t>
                  </w:r>
                </w:p>
              </w:tc>
              <w:tc>
                <w:tcPr>
                  <w:tcW w:w="1704" w:type="dxa"/>
                  <w:vMerge w:val="restart"/>
                  <w:noWrap w:val="0"/>
                  <w:vAlign w:val="center"/>
                </w:tcPr>
                <w:p w14:paraId="0EEE32D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本项目位于土壤环境风险一般管控区</w:t>
                  </w:r>
                  <w:r>
                    <w:rPr>
                      <w:rFonts w:hint="eastAsia" w:cs="Times New Roman"/>
                      <w:sz w:val="22"/>
                      <w:szCs w:val="22"/>
                      <w:lang w:val="en-US" w:eastAsia="zh-CN"/>
                    </w:rPr>
                    <w:t>，按照分区防渗要求采取重点防渗措施、一般防渗措施，</w:t>
                  </w:r>
                  <w:r>
                    <w:rPr>
                      <w:rFonts w:hint="eastAsia" w:ascii="Times New Roman" w:hAnsi="Times New Roman" w:eastAsia="宋体" w:cs="Times New Roman"/>
                      <w:sz w:val="22"/>
                      <w:szCs w:val="22"/>
                      <w:lang w:val="en-US" w:eastAsia="zh-CN"/>
                    </w:rPr>
                    <w:t>防止土壤污染风险。</w:t>
                  </w:r>
                </w:p>
              </w:tc>
              <w:tc>
                <w:tcPr>
                  <w:tcW w:w="474" w:type="dxa"/>
                  <w:vMerge w:val="restart"/>
                  <w:noWrap w:val="0"/>
                  <w:vAlign w:val="center"/>
                </w:tcPr>
                <w:p w14:paraId="4843AE5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2DA71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5E0DBA7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27A12B90">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0954F40E">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土壤环境风险重点管控区：依据落实《安徽省“十四五”环境保护规划》《安徽省“十四五”土壤、地下水和农村生态环境保护规划》《安徽省重金属污染防控工作方案》《安徽省“十四五”危险废物工业固体废物污染环境防治规划》《安徽省土壤污染防治工作方案》《淮北市“十四五”土壤（地下水）和农村生态环境保护规划》《尾矿污染环境防治管理办法》等要求，防止土壤污染风险。</w:t>
                  </w:r>
                </w:p>
              </w:tc>
              <w:tc>
                <w:tcPr>
                  <w:tcW w:w="1704" w:type="dxa"/>
                  <w:vMerge w:val="continue"/>
                  <w:noWrap w:val="0"/>
                  <w:vAlign w:val="center"/>
                </w:tcPr>
                <w:p w14:paraId="6D0FBEE5">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74" w:type="dxa"/>
                  <w:vMerge w:val="continue"/>
                  <w:noWrap w:val="0"/>
                  <w:vAlign w:val="center"/>
                </w:tcPr>
                <w:p w14:paraId="08C3BFF8">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r>
            <w:tr w14:paraId="6C678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6A49AF7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4AB82379">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73810566">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土壤环境风险一般管控区：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淮北市“十四五”土壤（地下水）和农村生态环境保护规划》等要求对一般管控区实施管控。</w:t>
                  </w:r>
                </w:p>
              </w:tc>
              <w:tc>
                <w:tcPr>
                  <w:tcW w:w="1704" w:type="dxa"/>
                  <w:vMerge w:val="continue"/>
                  <w:noWrap w:val="0"/>
                  <w:vAlign w:val="center"/>
                </w:tcPr>
                <w:p w14:paraId="41C96936">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74" w:type="dxa"/>
                  <w:vMerge w:val="continue"/>
                  <w:noWrap w:val="0"/>
                  <w:vAlign w:val="center"/>
                </w:tcPr>
                <w:p w14:paraId="58C5490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r>
            <w:tr w14:paraId="487C7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20C1AD67">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restart"/>
                  <w:noWrap w:val="0"/>
                  <w:vAlign w:val="center"/>
                </w:tcPr>
                <w:p w14:paraId="4B5E651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煤炭资源管控分区</w:t>
                  </w:r>
                </w:p>
              </w:tc>
              <w:tc>
                <w:tcPr>
                  <w:tcW w:w="4836" w:type="dxa"/>
                  <w:noWrap w:val="0"/>
                  <w:vAlign w:val="center"/>
                </w:tcPr>
                <w:p w14:paraId="0D954E22">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重点管控区：根据《淮北市“十四五”节能减排实施方案》，严格合理控制煤炭消费增长，新、改、扩建用煤项目实施煤炭消费等量或减量替代。重点削减非电力用煤，将减煤目标分解落实到重点耗煤企业。推动煤电行业实施节能降耗改造、供热改造和灵活性改造“三改联动”；落实《淮北市生态环境保护“十四五”规划》《淮北市“十四五”节能减排实施方案》要求。</w:t>
                  </w:r>
                </w:p>
              </w:tc>
              <w:tc>
                <w:tcPr>
                  <w:tcW w:w="1704" w:type="dxa"/>
                  <w:vMerge w:val="restart"/>
                  <w:noWrap w:val="0"/>
                  <w:vAlign w:val="center"/>
                </w:tcPr>
                <w:p w14:paraId="3727886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本项目属于一般管控区</w:t>
                  </w:r>
                  <w:r>
                    <w:rPr>
                      <w:rFonts w:hint="eastAsia" w:cs="Times New Roman"/>
                      <w:sz w:val="22"/>
                      <w:szCs w:val="22"/>
                      <w:lang w:val="en-US" w:eastAsia="zh-CN"/>
                    </w:rPr>
                    <w:t>，不涉及煤炭使用。</w:t>
                  </w:r>
                </w:p>
              </w:tc>
              <w:tc>
                <w:tcPr>
                  <w:tcW w:w="474" w:type="dxa"/>
                  <w:vMerge w:val="restart"/>
                  <w:noWrap w:val="0"/>
                  <w:vAlign w:val="center"/>
                </w:tcPr>
                <w:p w14:paraId="0ED463D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5D0E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397" w:hRule="atLeast"/>
                <w:jc w:val="center"/>
              </w:trPr>
              <w:tc>
                <w:tcPr>
                  <w:tcW w:w="489" w:type="dxa"/>
                  <w:vMerge w:val="continue"/>
                  <w:noWrap w:val="0"/>
                  <w:vAlign w:val="center"/>
                </w:tcPr>
                <w:p w14:paraId="1B4AF0A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vMerge w:val="continue"/>
                  <w:noWrap w:val="0"/>
                  <w:vAlign w:val="center"/>
                </w:tcPr>
                <w:p w14:paraId="47D81357">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4836" w:type="dxa"/>
                  <w:noWrap w:val="0"/>
                  <w:vAlign w:val="center"/>
                </w:tcPr>
                <w:p w14:paraId="4B7A3B2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一般管控区：落实《安徽省“十四五”节能减排实施方案》《淮北市生态环境保护“十四五”规划》《淮北市“十四五”节能减排实施方案》要求。</w:t>
                  </w:r>
                </w:p>
              </w:tc>
              <w:tc>
                <w:tcPr>
                  <w:tcW w:w="1704" w:type="dxa"/>
                  <w:vMerge w:val="continue"/>
                  <w:noWrap w:val="0"/>
                  <w:vAlign w:val="center"/>
                </w:tcPr>
                <w:p w14:paraId="389E50B8">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p>
              </w:tc>
              <w:tc>
                <w:tcPr>
                  <w:tcW w:w="474" w:type="dxa"/>
                  <w:vMerge w:val="continue"/>
                  <w:noWrap w:val="0"/>
                  <w:vAlign w:val="center"/>
                </w:tcPr>
                <w:p w14:paraId="42BC1F31">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r>
            <w:tr w14:paraId="70A28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495" w:hRule="atLeast"/>
                <w:jc w:val="center"/>
              </w:trPr>
              <w:tc>
                <w:tcPr>
                  <w:tcW w:w="489" w:type="dxa"/>
                  <w:vMerge w:val="continue"/>
                  <w:noWrap w:val="0"/>
                  <w:vAlign w:val="center"/>
                </w:tcPr>
                <w:p w14:paraId="6B7D8D2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1216448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水资源管控分区</w:t>
                  </w:r>
                </w:p>
              </w:tc>
              <w:tc>
                <w:tcPr>
                  <w:tcW w:w="4836" w:type="dxa"/>
                  <w:noWrap w:val="0"/>
                  <w:vAlign w:val="center"/>
                </w:tcPr>
                <w:p w14:paraId="4A94872B">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落实《安徽省2025年用水总量和用水效率控制指标的函》《淮北市水利发展“十四五”规划》《淮北市“十四五”节能减排实施方案》《关于落实淮北市“十四五”用水总量和强度双控目标的通知》等要求。</w:t>
                  </w:r>
                </w:p>
              </w:tc>
              <w:tc>
                <w:tcPr>
                  <w:tcW w:w="1704" w:type="dxa"/>
                  <w:noWrap w:val="0"/>
                  <w:vAlign w:val="center"/>
                </w:tcPr>
                <w:p w14:paraId="4976C5FF">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本项目使用一定水资源，用水来自市政给水管网提供</w:t>
                  </w:r>
                </w:p>
              </w:tc>
              <w:tc>
                <w:tcPr>
                  <w:tcW w:w="474" w:type="dxa"/>
                  <w:noWrap w:val="0"/>
                  <w:vAlign w:val="center"/>
                </w:tcPr>
                <w:p w14:paraId="51BF2303">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r w14:paraId="0F7CA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225" w:hRule="atLeast"/>
                <w:jc w:val="center"/>
              </w:trPr>
              <w:tc>
                <w:tcPr>
                  <w:tcW w:w="489" w:type="dxa"/>
                  <w:vMerge w:val="continue"/>
                  <w:noWrap w:val="0"/>
                  <w:vAlign w:val="center"/>
                </w:tcPr>
                <w:p w14:paraId="300EF1AC">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p>
              </w:tc>
              <w:tc>
                <w:tcPr>
                  <w:tcW w:w="660" w:type="dxa"/>
                  <w:noWrap w:val="0"/>
                  <w:vAlign w:val="center"/>
                </w:tcPr>
                <w:p w14:paraId="32DE013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土地资源管控分区</w:t>
                  </w:r>
                </w:p>
              </w:tc>
              <w:tc>
                <w:tcPr>
                  <w:tcW w:w="4836" w:type="dxa"/>
                  <w:noWrap w:val="0"/>
                  <w:vAlign w:val="center"/>
                </w:tcPr>
                <w:p w14:paraId="21211AB4">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落实《淮北市国土空间总体规划》（2021-2035年）等要求。</w:t>
                  </w:r>
                </w:p>
              </w:tc>
              <w:tc>
                <w:tcPr>
                  <w:tcW w:w="1704" w:type="dxa"/>
                  <w:noWrap w:val="0"/>
                  <w:vAlign w:val="center"/>
                </w:tcPr>
                <w:p w14:paraId="2E0E86BE">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本项目用地符合</w:t>
                  </w:r>
                  <w:r>
                    <w:rPr>
                      <w:rFonts w:hint="eastAsia" w:ascii="Times New Roman" w:hAnsi="Times New Roman" w:eastAsia="宋体" w:cs="Times New Roman"/>
                      <w:sz w:val="22"/>
                      <w:szCs w:val="22"/>
                      <w:lang w:val="en-US" w:eastAsia="zh-CN"/>
                    </w:rPr>
                    <w:t>《淮北市国土空间总体规划》</w:t>
                  </w:r>
                </w:p>
              </w:tc>
              <w:tc>
                <w:tcPr>
                  <w:tcW w:w="474" w:type="dxa"/>
                  <w:noWrap w:val="0"/>
                  <w:vAlign w:val="center"/>
                </w:tcPr>
                <w:p w14:paraId="0598EBBA">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符合</w:t>
                  </w:r>
                </w:p>
              </w:tc>
            </w:tr>
          </w:tbl>
          <w:p w14:paraId="539D2BCF">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both"/>
              <w:textAlignment w:val="auto"/>
              <w:rPr>
                <w:rFonts w:hint="default" w:ascii="宋体" w:hAnsi="宋体" w:cs="宋体"/>
                <w:b/>
                <w:bCs/>
                <w:kern w:val="0"/>
                <w:sz w:val="24"/>
                <w:szCs w:val="24"/>
                <w:lang w:val="en-US" w:eastAsia="zh-CN"/>
              </w:rPr>
            </w:pPr>
            <w:r>
              <w:rPr>
                <w:rFonts w:hint="eastAsia" w:ascii="宋体" w:hAnsi="宋体" w:cs="宋体"/>
                <w:b/>
                <w:bCs/>
                <w:kern w:val="0"/>
                <w:sz w:val="24"/>
                <w:szCs w:val="24"/>
                <w:lang w:val="en-US" w:eastAsia="zh-CN"/>
              </w:rPr>
              <w:t>4、与“三区三线”符合性分析</w:t>
            </w:r>
          </w:p>
          <w:p w14:paraId="2F76BA2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自然资源部办公厅《关于依据“三区三线”划定成果报批建设项目用地用海有关事宜的函》（自然资办函〔2022〕2072号）文件，其中“山西、吉林、上海、安徽、河南、青海6省（市）按照《全国国土空间规划纲要（2021-2035年）》确定的耕地和永久基本农田保护红线任务和《全国“三区三线”划定规则》，完成了“三区三线”划定工作，“三区三线”划定成果符合质检要求，从即日起正式启用，作为建设项目用地用海组卷报批的依据。”因此，本报告对项目区域“三区三线”的分布情况展开相符性分析。</w:t>
            </w:r>
          </w:p>
          <w:p w14:paraId="7B8B8EA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本项目位于</w:t>
            </w:r>
            <w:r>
              <w:rPr>
                <w:rFonts w:hint="eastAsia" w:cs="Times New Roman"/>
                <w:sz w:val="24"/>
                <w:szCs w:val="24"/>
                <w:highlight w:val="none"/>
                <w:u w:val="none"/>
                <w:lang w:eastAsia="zh-CN"/>
              </w:rPr>
              <w:t>安徽省淮北市杜集区杜集经济开发区萧淮路16号</w:t>
            </w:r>
            <w:r>
              <w:rPr>
                <w:rFonts w:hint="eastAsia"/>
                <w:color w:val="000000"/>
                <w:kern w:val="0"/>
                <w:sz w:val="24"/>
                <w:lang w:val="en-US" w:eastAsia="zh-CN"/>
              </w:rPr>
              <w:t>，项目用地性质为工业用地。根据《淮北市国土空间总体规划（2021—2035年）》中心城区国土空间规划分区图，本项目不占用永久基本农田，不占用生态保护红线，位于工业发展区范围内，规划为建设用地。</w:t>
            </w:r>
          </w:p>
          <w:p w14:paraId="015F95A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cs="宋体"/>
                <w:b/>
                <w:bCs/>
                <w:kern w:val="0"/>
                <w:sz w:val="24"/>
                <w:szCs w:val="24"/>
                <w:lang w:val="en-US" w:eastAsia="zh-CN"/>
              </w:rPr>
            </w:pPr>
            <w:r>
              <w:rPr>
                <w:rFonts w:hint="eastAsia"/>
                <w:color w:val="000000"/>
                <w:kern w:val="0"/>
                <w:sz w:val="24"/>
                <w:lang w:val="en-US" w:eastAsia="zh-CN"/>
              </w:rPr>
              <w:t>综上，本项目与“三区三线”相符。</w:t>
            </w:r>
          </w:p>
          <w:p w14:paraId="7BC794D3">
            <w:pPr>
              <w:autoSpaceDE w:val="0"/>
              <w:autoSpaceDN w:val="0"/>
              <w:adjustRightInd w:val="0"/>
              <w:snapToGrid w:val="0"/>
              <w:spacing w:line="360" w:lineRule="auto"/>
              <w:jc w:val="both"/>
              <w:rPr>
                <w:rFonts w:hint="default" w:cs="宋体"/>
                <w:b/>
                <w:bCs/>
                <w:sz w:val="24"/>
                <w:szCs w:val="24"/>
                <w:lang w:val="en-US"/>
              </w:rPr>
            </w:pPr>
            <w:r>
              <w:rPr>
                <w:rFonts w:hint="eastAsia" w:ascii="宋体" w:hAnsi="宋体" w:cs="宋体"/>
                <w:b/>
                <w:bCs/>
                <w:kern w:val="0"/>
                <w:sz w:val="24"/>
                <w:szCs w:val="24"/>
                <w:lang w:val="en-US" w:eastAsia="zh-CN"/>
              </w:rPr>
              <w:t>5、与相关生态环境保护法律法规政策的符合性分析</w:t>
            </w:r>
          </w:p>
          <w:p w14:paraId="2CF28C0F">
            <w:pPr>
              <w:autoSpaceDE w:val="0"/>
              <w:autoSpaceDN w:val="0"/>
              <w:adjustRightInd w:val="0"/>
              <w:snapToGrid w:val="0"/>
              <w:spacing w:line="360" w:lineRule="auto"/>
              <w:ind w:firstLine="480" w:firstLineChars="200"/>
              <w:jc w:val="both"/>
              <w:rPr>
                <w:rFonts w:hint="default" w:ascii="宋体" w:hAnsi="宋体" w:cs="宋体"/>
                <w:kern w:val="0"/>
                <w:sz w:val="24"/>
                <w:szCs w:val="24"/>
                <w:lang w:val="en-US" w:eastAsia="zh-CN"/>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1</w:t>
            </w:r>
            <w:r>
              <w:rPr>
                <w:rFonts w:hint="eastAsia" w:ascii="宋体" w:hAnsi="宋体" w:cs="宋体"/>
                <w:kern w:val="0"/>
                <w:sz w:val="24"/>
                <w:szCs w:val="24"/>
                <w:lang w:eastAsia="zh-CN"/>
              </w:rPr>
              <w:t>）与《淮北市生态环境保护“十四五”规划》的相符性</w:t>
            </w:r>
            <w:r>
              <w:rPr>
                <w:rFonts w:hint="eastAsia" w:ascii="宋体" w:hAnsi="宋体" w:cs="宋体"/>
                <w:kern w:val="0"/>
                <w:sz w:val="24"/>
                <w:szCs w:val="24"/>
                <w:lang w:val="en-US" w:eastAsia="zh-CN"/>
              </w:rPr>
              <w:t>分析</w:t>
            </w:r>
          </w:p>
          <w:p w14:paraId="1AF7A18F">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b/>
                <w:bCs/>
                <w:sz w:val="21"/>
                <w:szCs w:val="21"/>
              </w:rPr>
            </w:pPr>
            <w:r>
              <w:rPr>
                <w:b/>
                <w:bCs/>
                <w:sz w:val="21"/>
                <w:szCs w:val="21"/>
              </w:rPr>
              <w:t>表1-</w:t>
            </w:r>
            <w:r>
              <w:rPr>
                <w:rFonts w:hint="eastAsia"/>
                <w:b/>
                <w:bCs/>
                <w:sz w:val="21"/>
                <w:szCs w:val="21"/>
                <w:lang w:val="en-US" w:eastAsia="zh-CN"/>
              </w:rPr>
              <w:t>2</w:t>
            </w:r>
            <w:r>
              <w:rPr>
                <w:b/>
                <w:bCs/>
                <w:sz w:val="21"/>
                <w:szCs w:val="21"/>
              </w:rPr>
              <w:t xml:space="preserve">  与“十四五”规划符合性分析</w:t>
            </w:r>
          </w:p>
          <w:tbl>
            <w:tblPr>
              <w:tblStyle w:val="24"/>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877"/>
              <w:gridCol w:w="2141"/>
              <w:gridCol w:w="882"/>
            </w:tblGrid>
            <w:tr w14:paraId="032E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3086" w:type="pct"/>
                  <w:noWrap w:val="0"/>
                  <w:vAlign w:val="center"/>
                </w:tcPr>
                <w:p w14:paraId="22971BB0">
                  <w:pPr>
                    <w:widowControl/>
                    <w:spacing w:line="240" w:lineRule="atLeast"/>
                    <w:jc w:val="center"/>
                    <w:rPr>
                      <w:rFonts w:hint="default" w:ascii="Times New Roman" w:hAnsi="Times New Roman" w:cs="Times New Roman"/>
                      <w:b/>
                      <w:sz w:val="21"/>
                      <w:szCs w:val="21"/>
                      <w:lang w:eastAsia="zh-TW"/>
                    </w:rPr>
                  </w:pPr>
                  <w:r>
                    <w:rPr>
                      <w:rFonts w:hint="default" w:ascii="Times New Roman" w:hAnsi="Times New Roman" w:cs="Times New Roman"/>
                      <w:b/>
                      <w:sz w:val="21"/>
                      <w:szCs w:val="21"/>
                    </w:rPr>
                    <w:t>相关规范要求</w:t>
                  </w:r>
                </w:p>
              </w:tc>
              <w:tc>
                <w:tcPr>
                  <w:tcW w:w="1355" w:type="pct"/>
                  <w:noWrap w:val="0"/>
                  <w:vAlign w:val="center"/>
                </w:tcPr>
                <w:p w14:paraId="2EF20876">
                  <w:pPr>
                    <w:pStyle w:val="53"/>
                    <w:spacing w:before="0" w:after="0"/>
                    <w:ind w:right="0"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本项目情况</w:t>
                  </w:r>
                </w:p>
              </w:tc>
              <w:tc>
                <w:tcPr>
                  <w:tcW w:w="558" w:type="pct"/>
                  <w:noWrap w:val="0"/>
                  <w:vAlign w:val="center"/>
                </w:tcPr>
                <w:p w14:paraId="44FFE848">
                  <w:pPr>
                    <w:pStyle w:val="53"/>
                    <w:spacing w:before="0" w:after="0"/>
                    <w:ind w:right="0" w:firstLine="0" w:firstLineChars="0"/>
                    <w:jc w:val="center"/>
                    <w:rPr>
                      <w:rFonts w:hint="default" w:ascii="Times New Roman" w:hAnsi="Times New Roman" w:cs="Times New Roman"/>
                      <w:b/>
                      <w:sz w:val="21"/>
                      <w:szCs w:val="21"/>
                      <w:lang w:eastAsia="zh-TW"/>
                    </w:rPr>
                  </w:pPr>
                  <w:r>
                    <w:rPr>
                      <w:rFonts w:hint="default" w:ascii="Times New Roman" w:hAnsi="Times New Roman" w:cs="Times New Roman"/>
                      <w:b/>
                      <w:sz w:val="21"/>
                      <w:szCs w:val="21"/>
                      <w:lang w:eastAsia="zh-TW"/>
                    </w:rPr>
                    <w:t>相符性</w:t>
                  </w:r>
                </w:p>
              </w:tc>
            </w:tr>
            <w:tr w14:paraId="2C1B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000" w:type="pct"/>
                  <w:gridSpan w:val="3"/>
                  <w:noWrap w:val="0"/>
                  <w:vAlign w:val="center"/>
                </w:tcPr>
                <w:p w14:paraId="1A49492C">
                  <w:pPr>
                    <w:pStyle w:val="53"/>
                    <w:spacing w:before="0" w:after="0"/>
                    <w:ind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1.深入打好蓝天碧水净土保卫战</w:t>
                  </w:r>
                </w:p>
              </w:tc>
            </w:tr>
            <w:tr w14:paraId="5EAD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3086" w:type="pct"/>
                  <w:noWrap w:val="0"/>
                  <w:vAlign w:val="center"/>
                </w:tcPr>
                <w:p w14:paraId="0740840E">
                  <w:pPr>
                    <w:widowControl/>
                    <w:adjustRightInd w:val="0"/>
                    <w:snapToGrid w:val="0"/>
                    <w:spacing w:line="240" w:lineRule="atLeast"/>
                    <w:jc w:val="center"/>
                    <w:rPr>
                      <w:rFonts w:hint="default" w:ascii="Times New Roman" w:hAnsi="Times New Roman" w:cs="Times New Roman"/>
                      <w:sz w:val="21"/>
                      <w:szCs w:val="21"/>
                      <w:lang w:eastAsia="zh-TW"/>
                    </w:rPr>
                  </w:pPr>
                  <w:r>
                    <w:rPr>
                      <w:rFonts w:hint="default" w:ascii="Times New Roman" w:hAnsi="Times New Roman" w:cs="Times New Roman"/>
                      <w:sz w:val="21"/>
                      <w:szCs w:val="21"/>
                    </w:rPr>
                    <w:t>协同推进，持续改善环境空气质量。以降低PM2.5污染为环境空气质量改善的核心目标，推动</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污染的协同控制，以质量改善目标引领大气污染防治布局，采取多种手段推动环境空气质量持续改善。</w:t>
                  </w:r>
                </w:p>
              </w:tc>
              <w:tc>
                <w:tcPr>
                  <w:tcW w:w="1355" w:type="pct"/>
                  <w:noWrap w:val="0"/>
                  <w:vAlign w:val="center"/>
                </w:tcPr>
                <w:p w14:paraId="114BF18B">
                  <w:pPr>
                    <w:pStyle w:val="53"/>
                    <w:spacing w:before="0" w:after="0"/>
                    <w:ind w:right="0"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rPr>
                    <w:t>项目</w:t>
                  </w:r>
                  <w:r>
                    <w:rPr>
                      <w:rFonts w:hint="default" w:ascii="Times New Roman" w:hAnsi="Times New Roman" w:cs="Times New Roman"/>
                      <w:sz w:val="21"/>
                      <w:szCs w:val="21"/>
                      <w:lang w:val="en-US" w:eastAsia="zh-CN"/>
                    </w:rPr>
                    <w:t>焊接</w:t>
                  </w:r>
                  <w:r>
                    <w:rPr>
                      <w:rFonts w:hint="eastAsia" w:cs="Times New Roman"/>
                      <w:sz w:val="21"/>
                      <w:szCs w:val="21"/>
                      <w:lang w:val="en-US" w:eastAsia="zh-CN"/>
                    </w:rPr>
                    <w:t>、</w:t>
                  </w:r>
                  <w:r>
                    <w:rPr>
                      <w:rFonts w:hint="default" w:ascii="Times New Roman" w:hAnsi="Times New Roman" w:cs="Times New Roman"/>
                      <w:sz w:val="21"/>
                      <w:szCs w:val="21"/>
                      <w:lang w:val="en-US" w:eastAsia="zh-CN"/>
                    </w:rPr>
                    <w:t>喷砂</w:t>
                  </w:r>
                  <w:r>
                    <w:rPr>
                      <w:rFonts w:hint="eastAsia" w:cs="Times New Roman"/>
                      <w:sz w:val="21"/>
                      <w:szCs w:val="21"/>
                      <w:lang w:val="en-US" w:eastAsia="zh-CN"/>
                    </w:rPr>
                    <w:t>、喷塑</w:t>
                  </w:r>
                  <w:r>
                    <w:rPr>
                      <w:rFonts w:hint="default" w:ascii="Times New Roman" w:hAnsi="Times New Roman" w:cs="Times New Roman"/>
                      <w:sz w:val="21"/>
                      <w:szCs w:val="21"/>
                      <w:lang w:val="en-US" w:eastAsia="zh-CN"/>
                    </w:rPr>
                    <w:t>工序产生的颗粒物</w:t>
                  </w:r>
                  <w:r>
                    <w:rPr>
                      <w:rFonts w:hint="eastAsia" w:cs="Times New Roman"/>
                      <w:sz w:val="21"/>
                      <w:szCs w:val="21"/>
                      <w:lang w:val="en-US" w:eastAsia="zh-CN"/>
                    </w:rPr>
                    <w:t>由布袋除尘器</w:t>
                  </w:r>
                  <w:r>
                    <w:rPr>
                      <w:rFonts w:hint="eastAsia" w:ascii="Times New Roman" w:hAnsi="Times New Roman" w:cs="Times New Roman"/>
                      <w:sz w:val="21"/>
                      <w:szCs w:val="21"/>
                      <w:lang w:val="en-US" w:eastAsia="zh-CN"/>
                    </w:rPr>
                    <w:t>处理后</w:t>
                  </w:r>
                  <w:r>
                    <w:rPr>
                      <w:rFonts w:hint="eastAsia" w:cs="Times New Roman"/>
                      <w:sz w:val="21"/>
                      <w:szCs w:val="21"/>
                      <w:lang w:val="en-US" w:eastAsia="zh-CN"/>
                    </w:rPr>
                    <w:t>经24米高排气筒（DA002）达标</w:t>
                  </w:r>
                  <w:r>
                    <w:rPr>
                      <w:rFonts w:hint="eastAsia" w:ascii="Times New Roman" w:hAnsi="Times New Roman" w:cs="Times New Roman"/>
                      <w:sz w:val="21"/>
                      <w:szCs w:val="21"/>
                      <w:lang w:val="en-US" w:eastAsia="zh-CN"/>
                    </w:rPr>
                    <w:t>排放</w:t>
                  </w:r>
                </w:p>
              </w:tc>
              <w:tc>
                <w:tcPr>
                  <w:tcW w:w="558" w:type="pct"/>
                  <w:noWrap w:val="0"/>
                  <w:vAlign w:val="center"/>
                </w:tcPr>
                <w:p w14:paraId="0191F955">
                  <w:pPr>
                    <w:pStyle w:val="53"/>
                    <w:spacing w:before="0" w:after="0"/>
                    <w:ind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743B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3086" w:type="pct"/>
                  <w:noWrap w:val="0"/>
                  <w:vAlign w:val="center"/>
                </w:tcPr>
                <w:p w14:paraId="400866F0">
                  <w:pPr>
                    <w:widowControl/>
                    <w:adjustRightInd w:val="0"/>
                    <w:snapToGrid w:val="0"/>
                    <w:spacing w:line="240" w:lineRule="atLeas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加强固定源污染综合治理。以石化、化工、包装印刷、油品储运销为重点，深化非甲烷总烃治理。大力推进重点行业低非甲烷总烃原辅材料源头替代，加强非甲烷总烃无组织排放控制，推进建设适宜高效的末端治理设施。进一步提升工业园区大气环境</w:t>
                  </w:r>
                  <w:r>
                    <w:rPr>
                      <w:rFonts w:hint="default" w:ascii="Times New Roman" w:hAnsi="Times New Roman" w:cs="Times New Roman"/>
                      <w:sz w:val="21"/>
                      <w:szCs w:val="21"/>
                      <w:lang w:eastAsia="zh-CN"/>
                    </w:rPr>
                    <w:t>。</w:t>
                  </w:r>
                </w:p>
              </w:tc>
              <w:tc>
                <w:tcPr>
                  <w:tcW w:w="1355" w:type="pct"/>
                  <w:noWrap w:val="0"/>
                  <w:vAlign w:val="center"/>
                </w:tcPr>
                <w:p w14:paraId="24D7459F">
                  <w:pPr>
                    <w:pStyle w:val="53"/>
                    <w:spacing w:before="0" w:after="0"/>
                    <w:ind w:right="0" w:firstLine="0" w:firstLineChars="0"/>
                    <w:jc w:val="center"/>
                    <w:rPr>
                      <w:rFonts w:hint="default" w:ascii="Times New Roman" w:hAnsi="Times New Roman" w:cs="Times New Roman"/>
                      <w:sz w:val="21"/>
                      <w:szCs w:val="21"/>
                    </w:rPr>
                  </w:pPr>
                  <w:r>
                    <w:rPr>
                      <w:rFonts w:hint="eastAsia" w:cs="Times New Roman"/>
                      <w:sz w:val="21"/>
                      <w:szCs w:val="21"/>
                      <w:highlight w:val="none"/>
                      <w:shd w:val="clear"/>
                      <w:lang w:val="en-US" w:eastAsia="zh-CN"/>
                    </w:rPr>
                    <w:t>项目喷漆</w:t>
                  </w:r>
                  <w:r>
                    <w:rPr>
                      <w:rFonts w:hint="eastAsia" w:cs="Times New Roman"/>
                      <w:sz w:val="21"/>
                      <w:szCs w:val="21"/>
                      <w:highlight w:val="none"/>
                      <w:lang w:val="en-US" w:eastAsia="zh-CN"/>
                    </w:rPr>
                    <w:t>（含喷枪清洗、调漆</w:t>
                  </w:r>
                  <w:r>
                    <w:rPr>
                      <w:rFonts w:hint="eastAsia" w:cs="Times New Roman"/>
                      <w:b w:val="0"/>
                      <w:bCs/>
                      <w:sz w:val="21"/>
                      <w:szCs w:val="21"/>
                      <w:vertAlign w:val="baseline"/>
                      <w:lang w:val="en-US" w:eastAsia="zh-CN"/>
                    </w:rPr>
                    <w:t>、晾干</w:t>
                  </w:r>
                  <w:r>
                    <w:rPr>
                      <w:rFonts w:hint="eastAsia" w:cs="Times New Roman"/>
                      <w:sz w:val="21"/>
                      <w:szCs w:val="21"/>
                      <w:highlight w:val="none"/>
                      <w:lang w:val="en-US" w:eastAsia="zh-CN"/>
                    </w:rPr>
                    <w:t>）</w:t>
                  </w:r>
                  <w:r>
                    <w:rPr>
                      <w:rFonts w:hint="eastAsia" w:cs="Times New Roman"/>
                      <w:sz w:val="21"/>
                      <w:szCs w:val="21"/>
                      <w:highlight w:val="none"/>
                      <w:shd w:val="clear"/>
                      <w:lang w:val="en-US" w:eastAsia="zh-CN"/>
                    </w:rPr>
                    <w:t>、烘干、浇注固化工序产生的废气采用</w:t>
                  </w:r>
                  <w:r>
                    <w:rPr>
                      <w:rFonts w:hint="eastAsia" w:ascii="Times New Roman" w:hAnsi="Times New Roman" w:eastAsia="宋体" w:cs="Times New Roman"/>
                      <w:color w:val="000000"/>
                      <w:sz w:val="21"/>
                      <w:szCs w:val="21"/>
                      <w:highlight w:val="none"/>
                      <w:vertAlign w:val="baseline"/>
                      <w:lang w:val="en-US" w:eastAsia="zh-CN"/>
                    </w:rPr>
                    <w:t>空间密闭+管道负压收集，经</w:t>
                  </w:r>
                  <w:r>
                    <w:rPr>
                      <w:rFonts w:hint="eastAsia" w:cs="Times New Roman"/>
                      <w:color w:val="000000"/>
                      <w:sz w:val="21"/>
                      <w:szCs w:val="21"/>
                      <w:highlight w:val="none"/>
                      <w:vertAlign w:val="baseline"/>
                      <w:lang w:val="en-US" w:eastAsia="zh-CN"/>
                    </w:rPr>
                    <w:t>过滤棉+吸附脱附催化燃烧设施</w:t>
                  </w:r>
                  <w:r>
                    <w:rPr>
                      <w:rFonts w:hint="eastAsia" w:ascii="Times New Roman" w:hAnsi="Times New Roman" w:eastAsia="宋体" w:cs="Times New Roman"/>
                      <w:color w:val="000000"/>
                      <w:sz w:val="21"/>
                      <w:szCs w:val="21"/>
                      <w:highlight w:val="none"/>
                      <w:vertAlign w:val="baseline"/>
                      <w:lang w:val="en-US" w:eastAsia="zh-CN"/>
                    </w:rPr>
                    <w:t>处理后，最终通过2</w:t>
                  </w:r>
                  <w:r>
                    <w:rPr>
                      <w:rFonts w:hint="eastAsia" w:cs="Times New Roman"/>
                      <w:color w:val="000000"/>
                      <w:sz w:val="21"/>
                      <w:szCs w:val="21"/>
                      <w:highlight w:val="none"/>
                      <w:vertAlign w:val="baseline"/>
                      <w:lang w:val="en-US" w:eastAsia="zh-CN"/>
                    </w:rPr>
                    <w:t>4</w:t>
                  </w:r>
                  <w:r>
                    <w:rPr>
                      <w:rFonts w:hint="eastAsia" w:ascii="Times New Roman" w:hAnsi="Times New Roman" w:eastAsia="宋体" w:cs="Times New Roman"/>
                      <w:color w:val="000000"/>
                      <w:sz w:val="21"/>
                      <w:szCs w:val="21"/>
                      <w:highlight w:val="none"/>
                      <w:vertAlign w:val="baseline"/>
                      <w:lang w:val="en-US" w:eastAsia="zh-CN"/>
                    </w:rPr>
                    <w:t>米高排气筒</w:t>
                  </w:r>
                  <w:r>
                    <w:rPr>
                      <w:rFonts w:hint="eastAsia" w:cs="Times New Roman"/>
                      <w:sz w:val="21"/>
                      <w:szCs w:val="21"/>
                      <w:lang w:val="en-US" w:eastAsia="zh-CN"/>
                    </w:rPr>
                    <w:t>（DA001）</w:t>
                  </w:r>
                  <w:r>
                    <w:rPr>
                      <w:rFonts w:hint="eastAsia" w:ascii="Times New Roman" w:hAnsi="Times New Roman" w:eastAsia="宋体" w:cs="Times New Roman"/>
                      <w:color w:val="000000"/>
                      <w:sz w:val="21"/>
                      <w:szCs w:val="21"/>
                      <w:highlight w:val="none"/>
                      <w:vertAlign w:val="baseline"/>
                      <w:lang w:val="en-US" w:eastAsia="zh-CN"/>
                    </w:rPr>
                    <w:t>达标排放</w:t>
                  </w:r>
                </w:p>
              </w:tc>
              <w:tc>
                <w:tcPr>
                  <w:tcW w:w="558" w:type="pct"/>
                  <w:noWrap w:val="0"/>
                  <w:vAlign w:val="center"/>
                </w:tcPr>
                <w:p w14:paraId="7334C179">
                  <w:pPr>
                    <w:pStyle w:val="53"/>
                    <w:spacing w:before="0" w:after="0"/>
                    <w:ind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7DD5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000" w:type="pct"/>
                  <w:gridSpan w:val="3"/>
                  <w:noWrap w:val="0"/>
                  <w:vAlign w:val="center"/>
                </w:tcPr>
                <w:p w14:paraId="74558ECB">
                  <w:pPr>
                    <w:pStyle w:val="53"/>
                    <w:spacing w:before="0" w:after="0"/>
                    <w:ind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2.完善环境风险防控管理体系</w:t>
                  </w:r>
                </w:p>
              </w:tc>
            </w:tr>
            <w:tr w14:paraId="1412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3086" w:type="pct"/>
                  <w:noWrap w:val="0"/>
                  <w:vAlign w:val="center"/>
                </w:tcPr>
                <w:p w14:paraId="369CF14B">
                  <w:pPr>
                    <w:widowControl/>
                    <w:adjustRightInd w:val="0"/>
                    <w:snapToGrid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推进风险全过程监管。强化企业环境风险主体责任，督促企业开展环境风险隐患排查并建立档案抓好重点行业企业和重点区域的环境风险评估工作，实施环境风险分级管理，持续推进企业、园区行政区域的三级防控体系。建立企业突发环境事件报告与应急处理制度、特征污染物监测报告等制度，探索建立建设项目验收与企业环境应急预案备案的联动机制，推广“标杆式”、“卡片式”预案管理模式。严格源头防控、深化过程监管，严厉打击污染治理设施不规范、不运行、偷排、漏排等行为强化责任追究，将环境风险防范纳入到日常环境管</w:t>
                  </w:r>
                  <w:r>
                    <w:rPr>
                      <w:rFonts w:hint="default" w:ascii="Times New Roman" w:hAnsi="Times New Roman" w:cs="Times New Roman"/>
                      <w:sz w:val="21"/>
                      <w:szCs w:val="21"/>
                      <w:lang w:val="en-US" w:eastAsia="zh-CN"/>
                    </w:rPr>
                    <w:t>理。</w:t>
                  </w:r>
                </w:p>
              </w:tc>
              <w:tc>
                <w:tcPr>
                  <w:tcW w:w="1355" w:type="pct"/>
                  <w:noWrap w:val="0"/>
                  <w:vAlign w:val="center"/>
                </w:tcPr>
                <w:p w14:paraId="0973BE79">
                  <w:pPr>
                    <w:widowControl/>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项目采取化学品储存风险防范措施、生产过程风险防范措施、运输过程风险防范措施，制定相应的环境风险应急预案等，加强厂区内的环境风险防范措施和应急措施。</w:t>
                  </w:r>
                </w:p>
              </w:tc>
              <w:tc>
                <w:tcPr>
                  <w:tcW w:w="558" w:type="pct"/>
                  <w:noWrap w:val="0"/>
                  <w:vAlign w:val="center"/>
                </w:tcPr>
                <w:p w14:paraId="18F8C375">
                  <w:pPr>
                    <w:pStyle w:val="53"/>
                    <w:spacing w:before="0" w:after="0"/>
                    <w:ind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符合</w:t>
                  </w:r>
                </w:p>
              </w:tc>
            </w:tr>
            <w:tr w14:paraId="1D92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3086" w:type="pct"/>
                  <w:noWrap w:val="0"/>
                  <w:vAlign w:val="center"/>
                </w:tcPr>
                <w:p w14:paraId="2E66B3C6">
                  <w:pPr>
                    <w:widowControl/>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强化应急防范处置能力。加强环境风险信息化管理，完善环境风险源、环境敏感目标、环境应急能力及环境应急预案等数据库，健全应急指挥决策支持系统，提升环境应急信息化水平。加强环境应急预案管理，强化应急演练，推进环境应急管理规范化。加强部门应急联动机制建设，完善环境应急监测设备，提高应急监测水平。提升环境应急保障能力，建立市、县</w:t>
                  </w:r>
                  <w:r>
                    <w:rPr>
                      <w:rFonts w:hint="default" w:ascii="Times New Roman" w:hAnsi="Times New Roman" w:cs="Times New Roman"/>
                      <w:sz w:val="21"/>
                      <w:szCs w:val="21"/>
                      <w:lang w:eastAsia="zh-CN"/>
                    </w:rPr>
                    <w:t>（</w:t>
                  </w:r>
                  <w:r>
                    <w:rPr>
                      <w:rFonts w:hint="default" w:ascii="Times New Roman" w:hAnsi="Times New Roman" w:cs="Times New Roman"/>
                      <w:sz w:val="21"/>
                      <w:szCs w:val="21"/>
                    </w:rPr>
                    <w:t>区</w:t>
                  </w:r>
                  <w:r>
                    <w:rPr>
                      <w:rFonts w:hint="default" w:ascii="Times New Roman" w:hAnsi="Times New Roman" w:cs="Times New Roman"/>
                      <w:sz w:val="21"/>
                      <w:szCs w:val="21"/>
                      <w:lang w:eastAsia="zh-CN"/>
                    </w:rPr>
                    <w:t>）</w:t>
                  </w:r>
                  <w:r>
                    <w:rPr>
                      <w:rFonts w:hint="default" w:ascii="Times New Roman" w:hAnsi="Times New Roman" w:cs="Times New Roman"/>
                      <w:sz w:val="21"/>
                      <w:szCs w:val="21"/>
                    </w:rPr>
                    <w:t>突发环境事件应急综合救援队伍，加强环境应急专家队伍管理，优化相关咨询机制和决策支持。加强突发环境事件环境污染损害评估、事件调查、信息发布等。</w:t>
                  </w:r>
                </w:p>
              </w:tc>
              <w:tc>
                <w:tcPr>
                  <w:tcW w:w="1355" w:type="pct"/>
                  <w:noWrap w:val="0"/>
                  <w:vAlign w:val="center"/>
                </w:tcPr>
                <w:p w14:paraId="1C2F095B">
                  <w:pPr>
                    <w:widowControl/>
                    <w:adjustRightInd w:val="0"/>
                    <w:snapToGrid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项目完善环境风险源、环境敏感目标环境应急能力及环境应急预案等数据库，且加强厂区内的环境风险防范措施</w:t>
                  </w:r>
                  <w:r>
                    <w:rPr>
                      <w:rFonts w:hint="default" w:ascii="Times New Roman" w:hAnsi="Times New Roman" w:cs="Times New Roman"/>
                      <w:sz w:val="21"/>
                      <w:szCs w:val="21"/>
                      <w:lang w:val="en-US" w:eastAsia="zh-CN"/>
                    </w:rPr>
                    <w:t>。</w:t>
                  </w:r>
                </w:p>
              </w:tc>
              <w:tc>
                <w:tcPr>
                  <w:tcW w:w="558" w:type="pct"/>
                  <w:noWrap w:val="0"/>
                  <w:vAlign w:val="center"/>
                </w:tcPr>
                <w:p w14:paraId="7BB6BD97">
                  <w:pPr>
                    <w:pStyle w:val="53"/>
                    <w:spacing w:before="0" w:after="0"/>
                    <w:ind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14:paraId="40FF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000" w:type="pct"/>
                  <w:gridSpan w:val="3"/>
                  <w:noWrap w:val="0"/>
                  <w:vAlign w:val="center"/>
                </w:tcPr>
                <w:p w14:paraId="155120CF">
                  <w:pPr>
                    <w:pStyle w:val="53"/>
                    <w:spacing w:before="0" w:after="0"/>
                    <w:ind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3.加强风险源管理和重点行业风险防控</w:t>
                  </w:r>
                </w:p>
              </w:tc>
            </w:tr>
            <w:tr w14:paraId="3B20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3086" w:type="pct"/>
                  <w:noWrap w:val="0"/>
                  <w:vAlign w:val="center"/>
                </w:tcPr>
                <w:p w14:paraId="46F53B63">
                  <w:pPr>
                    <w:widowControl/>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加强环境风险源管理。加强环境风险源分类管控，重点加强危险化学品、危险废物、含重金属、放射源等环境风险源监控。加强突出类别危险废物的安全处置，开展危险废物产生和经营单位规范化整治。强化涉重金属风险源管理。加大日常监管力度降低环境风险。防范有毒有害危险品企业违法排污。</w:t>
                  </w:r>
                </w:p>
              </w:tc>
              <w:tc>
                <w:tcPr>
                  <w:tcW w:w="1355" w:type="pct"/>
                  <w:noWrap w:val="0"/>
                  <w:vAlign w:val="center"/>
                </w:tcPr>
                <w:p w14:paraId="7A0CD25D">
                  <w:pPr>
                    <w:widowControl/>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项目</w:t>
                  </w:r>
                  <w:r>
                    <w:rPr>
                      <w:rFonts w:hint="eastAsia" w:cs="Times New Roman"/>
                      <w:sz w:val="21"/>
                      <w:szCs w:val="21"/>
                      <w:lang w:val="en-US" w:eastAsia="zh-CN"/>
                    </w:rPr>
                    <w:t>设置</w:t>
                  </w:r>
                  <w:r>
                    <w:rPr>
                      <w:rFonts w:hint="default" w:ascii="Times New Roman" w:hAnsi="Times New Roman" w:cs="Times New Roman"/>
                      <w:sz w:val="21"/>
                      <w:szCs w:val="21"/>
                    </w:rPr>
                    <w:t>符合要求的危废暂存间，加强建设单位与危废处置单位之间的管控，降低环境风险。</w:t>
                  </w:r>
                </w:p>
              </w:tc>
              <w:tc>
                <w:tcPr>
                  <w:tcW w:w="558" w:type="pct"/>
                  <w:noWrap w:val="0"/>
                  <w:vAlign w:val="center"/>
                </w:tcPr>
                <w:p w14:paraId="7AA12F76">
                  <w:pPr>
                    <w:pStyle w:val="53"/>
                    <w:spacing w:before="0" w:after="0"/>
                    <w:ind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符合</w:t>
                  </w:r>
                </w:p>
              </w:tc>
            </w:tr>
            <w:tr w14:paraId="0821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3086" w:type="pct"/>
                  <w:noWrap w:val="0"/>
                  <w:vAlign w:val="center"/>
                </w:tcPr>
                <w:p w14:paraId="65AC28E1">
                  <w:pPr>
                    <w:widowControl/>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防控重点行业环境风险。加强石化、化工行业环境风险防控，全面排查危险化学品生产、运输、使用及存储全过程风险隐患，健全环境监管及风险防范制度，严厉查处环境违法行为。加强对涉重行业环境风险防控，提高金属表面处理等行业环境准入门槛和环境安全水平。加强对危废处置企业环境风险管控，强化贮存、运输、处置的环境监管。</w:t>
                  </w:r>
                </w:p>
              </w:tc>
              <w:tc>
                <w:tcPr>
                  <w:tcW w:w="1355" w:type="pct"/>
                  <w:noWrap w:val="0"/>
                  <w:vAlign w:val="center"/>
                </w:tcPr>
                <w:p w14:paraId="1382996E">
                  <w:pPr>
                    <w:widowControl/>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项目不</w:t>
                  </w:r>
                  <w:r>
                    <w:rPr>
                      <w:rFonts w:hint="eastAsia" w:cs="Times New Roman"/>
                      <w:sz w:val="21"/>
                      <w:szCs w:val="21"/>
                      <w:lang w:eastAsia="zh-CN"/>
                    </w:rPr>
                    <w:t>属于</w:t>
                  </w:r>
                  <w:r>
                    <w:rPr>
                      <w:rFonts w:hint="default" w:ascii="Times New Roman" w:hAnsi="Times New Roman" w:cs="Times New Roman"/>
                      <w:sz w:val="21"/>
                      <w:szCs w:val="21"/>
                    </w:rPr>
                    <w:t>石油、化工等防控重点行业，且项目设置符合要求的危废暂存间，加强建设单位与危废</w:t>
                  </w:r>
                  <w:r>
                    <w:rPr>
                      <w:rFonts w:hint="eastAsia" w:cs="Times New Roman"/>
                      <w:sz w:val="21"/>
                      <w:szCs w:val="21"/>
                      <w:lang w:val="en-US" w:eastAsia="zh-CN"/>
                    </w:rPr>
                    <w:t>处置</w:t>
                  </w:r>
                  <w:r>
                    <w:rPr>
                      <w:rFonts w:hint="default" w:ascii="Times New Roman" w:hAnsi="Times New Roman" w:cs="Times New Roman"/>
                      <w:sz w:val="21"/>
                      <w:szCs w:val="21"/>
                    </w:rPr>
                    <w:t>单位之间的管控，降低环境风险。</w:t>
                  </w:r>
                </w:p>
              </w:tc>
              <w:tc>
                <w:tcPr>
                  <w:tcW w:w="558" w:type="pct"/>
                  <w:noWrap w:val="0"/>
                  <w:vAlign w:val="center"/>
                </w:tcPr>
                <w:p w14:paraId="52F794A5">
                  <w:pPr>
                    <w:pStyle w:val="53"/>
                    <w:spacing w:before="0" w:after="0"/>
                    <w:ind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符合</w:t>
                  </w:r>
                </w:p>
              </w:tc>
            </w:tr>
            <w:tr w14:paraId="4532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000" w:type="pct"/>
                  <w:gridSpan w:val="3"/>
                  <w:noWrap w:val="0"/>
                  <w:vAlign w:val="center"/>
                </w:tcPr>
                <w:p w14:paraId="11D536EE">
                  <w:pPr>
                    <w:pStyle w:val="53"/>
                    <w:spacing w:before="0" w:after="0"/>
                    <w:ind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4.强化固体废物安全处理处置</w:t>
                  </w:r>
                </w:p>
              </w:tc>
            </w:tr>
            <w:tr w14:paraId="5F54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3086" w:type="pct"/>
                  <w:noWrap w:val="0"/>
                  <w:vAlign w:val="center"/>
                </w:tcPr>
                <w:p w14:paraId="3151A23F">
                  <w:pPr>
                    <w:widowControl/>
                    <w:adjustRightInd w:val="0"/>
                    <w:snapToGrid w:val="0"/>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加强危险废物安全处置。加快实施危险废物处置工程，提升危险废物安全处置能力。严格落实申报登记和经营许可管理，规范危险废物处理处置市场，严禁无证经营和超范围经营，确保各类危险废物的安全处理处置。实施危险废物转移联单管理，采取密封、防水等措施防止收集运输过程造成环境污染。继续强化医疗废物管理工作，开展危险废物和危险化学品污染事故应急能力建设，防范环境污染风险。以提高危险废物资源化利用水平为重点，完善危险废物运输、转运和处理机制，杜绝危险废物混入一般工业固体废物或生活垃圾进行处理处置的现象，培育技术先进、综合利用水平高、环境治理设施完善的危险废物持证经营单位，加强危险废物资源化利用，确保危险废物安全处置利用率达到100%。完善危险废物管理台帐、转移联单等管理制度，提高危险废物收集、运输、处理处置的全过程信息化管理水平。</w:t>
                  </w:r>
                </w:p>
              </w:tc>
              <w:tc>
                <w:tcPr>
                  <w:tcW w:w="1355" w:type="pct"/>
                  <w:noWrap w:val="0"/>
                  <w:vAlign w:val="center"/>
                </w:tcPr>
                <w:p w14:paraId="2E9A857C">
                  <w:pPr>
                    <w:widowControl/>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项目产生的</w:t>
                  </w:r>
                  <w:r>
                    <w:rPr>
                      <w:rFonts w:hint="eastAsia" w:cs="Times New Roman"/>
                      <w:sz w:val="21"/>
                      <w:szCs w:val="21"/>
                      <w:lang w:val="en-US" w:eastAsia="zh-CN"/>
                    </w:rPr>
                    <w:t>废过滤棉、漆渣、废液压油（桶）、</w:t>
                  </w:r>
                  <w:r>
                    <w:rPr>
                      <w:rFonts w:hint="default" w:ascii="Times New Roman" w:hAnsi="Times New Roman" w:cs="Times New Roman"/>
                      <w:sz w:val="21"/>
                      <w:szCs w:val="21"/>
                    </w:rPr>
                    <w:t>废</w:t>
                  </w:r>
                  <w:r>
                    <w:rPr>
                      <w:rFonts w:hint="eastAsia" w:cs="Times New Roman"/>
                      <w:sz w:val="21"/>
                      <w:szCs w:val="21"/>
                      <w:lang w:val="en-US" w:eastAsia="zh-CN"/>
                    </w:rPr>
                    <w:t>漆</w:t>
                  </w:r>
                  <w:r>
                    <w:rPr>
                      <w:rFonts w:hint="default" w:ascii="Times New Roman" w:hAnsi="Times New Roman" w:cs="Times New Roman"/>
                      <w:sz w:val="21"/>
                      <w:szCs w:val="21"/>
                    </w:rPr>
                    <w:t>桶等危险废物暂存于符合要求的危废暂存间内，</w:t>
                  </w:r>
                  <w:r>
                    <w:rPr>
                      <w:rFonts w:hint="default" w:ascii="Times New Roman" w:hAnsi="Times New Roman" w:cs="Times New Roman"/>
                      <w:sz w:val="21"/>
                      <w:szCs w:val="21"/>
                      <w:lang w:val="en-US" w:eastAsia="zh-CN"/>
                    </w:rPr>
                    <w:t>杜绝</w:t>
                  </w:r>
                  <w:r>
                    <w:rPr>
                      <w:rFonts w:hint="default" w:ascii="Times New Roman" w:hAnsi="Times New Roman" w:cs="Times New Roman"/>
                      <w:sz w:val="21"/>
                      <w:szCs w:val="21"/>
                    </w:rPr>
                    <w:t>危险废物混入一般工业固体废物或生活垃圾。设置危废管理台账防范环境污染风险。</w:t>
                  </w:r>
                </w:p>
              </w:tc>
              <w:tc>
                <w:tcPr>
                  <w:tcW w:w="558" w:type="pct"/>
                  <w:noWrap w:val="0"/>
                  <w:vAlign w:val="center"/>
                </w:tcPr>
                <w:p w14:paraId="39D00118">
                  <w:pPr>
                    <w:pStyle w:val="53"/>
                    <w:spacing w:before="0" w:after="0"/>
                    <w:ind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符合</w:t>
                  </w:r>
                </w:p>
              </w:tc>
            </w:tr>
            <w:tr w14:paraId="3A60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3086" w:type="pct"/>
                  <w:noWrap w:val="0"/>
                  <w:vAlign w:val="center"/>
                </w:tcPr>
                <w:p w14:paraId="717D0D33">
                  <w:pPr>
                    <w:widowControl/>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加强生活垃圾综合处理。深入实施城市生活垃圾分类，提高垃圾处理减量化、资源化和无害化水平，积极创建“无废城市”。完善区域生活垃圾无害化处理系统，加强生活垃圾无害化处理设施建设和运营信息统计，重点推进对焚烧厂、卫生填埋场主要设施运营状况等实施实时监控，加强对焚烧设施烟气排放和卫生填埋场渗滤液和填埋气体的监测，防范污染，提高垃圾处理厂监管能力。</w:t>
                  </w:r>
                </w:p>
              </w:tc>
              <w:tc>
                <w:tcPr>
                  <w:tcW w:w="1355" w:type="pct"/>
                  <w:noWrap w:val="0"/>
                  <w:vAlign w:val="center"/>
                </w:tcPr>
                <w:p w14:paraId="7EB1D8C9">
                  <w:pPr>
                    <w:widowControl/>
                    <w:adjustRightInd w:val="0"/>
                    <w:snapToGrid w:val="0"/>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项目生活垃圾经生活垃圾桶收集后由环卫部门统一清运处理。</w:t>
                  </w:r>
                </w:p>
              </w:tc>
              <w:tc>
                <w:tcPr>
                  <w:tcW w:w="558" w:type="pct"/>
                  <w:noWrap w:val="0"/>
                  <w:vAlign w:val="center"/>
                </w:tcPr>
                <w:p w14:paraId="121BE93D">
                  <w:pPr>
                    <w:pStyle w:val="53"/>
                    <w:spacing w:before="0" w:after="0"/>
                    <w:ind w:right="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符合</w:t>
                  </w:r>
                </w:p>
              </w:tc>
            </w:tr>
          </w:tbl>
          <w:p w14:paraId="4E329E06">
            <w:pPr>
              <w:bidi w:val="0"/>
              <w:rPr>
                <w:rFonts w:hint="default"/>
                <w:sz w:val="24"/>
                <w:szCs w:val="24"/>
                <w:lang w:val="en-US" w:eastAsia="zh-CN"/>
              </w:rPr>
            </w:pPr>
          </w:p>
          <w:p w14:paraId="7E38A499">
            <w:pPr>
              <w:spacing w:line="360" w:lineRule="auto"/>
              <w:ind w:firstLine="480" w:firstLineChars="200"/>
              <w:jc w:val="left"/>
              <w:rPr>
                <w:rFonts w:hint="default"/>
                <w:bCs/>
                <w:sz w:val="24"/>
                <w:szCs w:val="24"/>
                <w:lang w:val="en-US" w:eastAsia="zh-CN"/>
              </w:rPr>
            </w:pPr>
            <w:r>
              <w:rPr>
                <w:rFonts w:hint="eastAsia"/>
                <w:bCs/>
                <w:sz w:val="24"/>
                <w:szCs w:val="24"/>
                <w:lang w:val="en-US" w:eastAsia="zh-CN"/>
              </w:rPr>
              <w:t>（2）</w:t>
            </w:r>
            <w:r>
              <w:rPr>
                <w:rFonts w:hint="default"/>
                <w:bCs/>
                <w:sz w:val="24"/>
                <w:szCs w:val="24"/>
                <w:lang w:val="en-US" w:eastAsia="zh-CN"/>
              </w:rPr>
              <w:t>与《淮北市人民政府办公室关于印发淮北市空气质量提升攻坚行动方案的通知》</w:t>
            </w:r>
            <w:r>
              <w:rPr>
                <w:rFonts w:hint="eastAsia"/>
                <w:bCs/>
                <w:sz w:val="24"/>
                <w:szCs w:val="24"/>
                <w:lang w:val="en-US" w:eastAsia="zh-CN"/>
              </w:rPr>
              <w:t>（</w:t>
            </w:r>
            <w:r>
              <w:rPr>
                <w:rFonts w:hint="default"/>
                <w:bCs/>
                <w:sz w:val="24"/>
                <w:szCs w:val="24"/>
                <w:lang w:val="en-US" w:eastAsia="zh-CN"/>
              </w:rPr>
              <w:t>淮政办秘</w:t>
            </w:r>
            <w:r>
              <w:rPr>
                <w:rFonts w:hint="eastAsia"/>
                <w:bCs/>
                <w:sz w:val="24"/>
                <w:szCs w:val="24"/>
                <w:lang w:val="en-US" w:eastAsia="zh-CN"/>
              </w:rPr>
              <w:t>（</w:t>
            </w:r>
            <w:r>
              <w:rPr>
                <w:rFonts w:hint="default"/>
                <w:bCs/>
                <w:sz w:val="24"/>
                <w:szCs w:val="24"/>
                <w:lang w:val="en-US" w:eastAsia="zh-CN"/>
              </w:rPr>
              <w:t>2024</w:t>
            </w:r>
            <w:r>
              <w:rPr>
                <w:rFonts w:hint="eastAsia"/>
                <w:bCs/>
                <w:sz w:val="24"/>
                <w:szCs w:val="24"/>
                <w:lang w:val="en-US" w:eastAsia="zh-CN"/>
              </w:rPr>
              <w:t>）</w:t>
            </w:r>
            <w:r>
              <w:rPr>
                <w:rFonts w:hint="default"/>
                <w:bCs/>
                <w:sz w:val="24"/>
                <w:szCs w:val="24"/>
                <w:lang w:val="en-US" w:eastAsia="zh-CN"/>
              </w:rPr>
              <w:t>8号</w:t>
            </w:r>
            <w:r>
              <w:rPr>
                <w:rFonts w:hint="eastAsia"/>
                <w:bCs/>
                <w:sz w:val="24"/>
                <w:szCs w:val="24"/>
                <w:lang w:val="en-US" w:eastAsia="zh-CN"/>
              </w:rPr>
              <w:t>）</w:t>
            </w:r>
            <w:r>
              <w:rPr>
                <w:rFonts w:hint="default"/>
                <w:bCs/>
                <w:sz w:val="24"/>
                <w:szCs w:val="24"/>
                <w:lang w:val="en-US" w:eastAsia="zh-CN"/>
              </w:rPr>
              <w:t>符合性分析</w:t>
            </w:r>
          </w:p>
          <w:p w14:paraId="5D3ADCD3">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b/>
                <w:bCs/>
                <w:sz w:val="21"/>
                <w:szCs w:val="21"/>
                <w:lang w:val="en-US" w:eastAsia="zh-CN"/>
              </w:rPr>
            </w:pPr>
            <w:r>
              <w:rPr>
                <w:rFonts w:hint="eastAsia"/>
                <w:b/>
                <w:bCs/>
                <w:sz w:val="21"/>
                <w:szCs w:val="21"/>
                <w:lang w:val="en-US" w:eastAsia="zh-CN"/>
              </w:rPr>
              <w:t xml:space="preserve">表1-3  </w:t>
            </w:r>
            <w:r>
              <w:rPr>
                <w:rFonts w:hint="default"/>
                <w:b/>
                <w:bCs/>
                <w:sz w:val="21"/>
                <w:szCs w:val="21"/>
                <w:lang w:val="en-US" w:eastAsia="zh-CN"/>
              </w:rPr>
              <w:t>与《淮北市人民政府办公室关于印发淮北市空气质量提升攻坚行动方案的通知》符合性分析一</w:t>
            </w:r>
            <w:r>
              <w:rPr>
                <w:rFonts w:hint="eastAsia"/>
                <w:b/>
                <w:bCs/>
                <w:sz w:val="21"/>
                <w:szCs w:val="21"/>
                <w:lang w:val="en-US" w:eastAsia="zh-CN"/>
              </w:rPr>
              <w:t>览表</w:t>
            </w:r>
          </w:p>
          <w:tbl>
            <w:tblPr>
              <w:tblStyle w:val="25"/>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8"/>
              <w:gridCol w:w="1380"/>
              <w:gridCol w:w="855"/>
            </w:tblGrid>
            <w:tr w14:paraId="390F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1" w:type="pct"/>
                  <w:tcBorders>
                    <w:tl2br w:val="nil"/>
                    <w:tr2bl w:val="nil"/>
                  </w:tcBorders>
                  <w:noWrap w:val="0"/>
                  <w:tcMar>
                    <w:top w:w="57" w:type="dxa"/>
                    <w:left w:w="57" w:type="dxa"/>
                    <w:bottom w:w="57" w:type="dxa"/>
                    <w:right w:w="57" w:type="dxa"/>
                  </w:tcMar>
                  <w:vAlign w:val="center"/>
                </w:tcPr>
                <w:p w14:paraId="7D11F0BD">
                  <w:pPr>
                    <w:spacing w:line="240" w:lineRule="auto"/>
                    <w:ind w:firstLine="0" w:firstLineChars="0"/>
                    <w:jc w:val="center"/>
                    <w:rPr>
                      <w:rFonts w:hint="default" w:ascii="宋体" w:hAnsi="宋体" w:eastAsia="宋体" w:cs="宋体"/>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文件</w:t>
                  </w:r>
                  <w:r>
                    <w:rPr>
                      <w:rFonts w:hint="default" w:ascii="宋体" w:hAnsi="宋体" w:eastAsia="宋体" w:cs="宋体"/>
                      <w:b/>
                      <w:bCs/>
                      <w:color w:val="000000"/>
                      <w:sz w:val="21"/>
                      <w:szCs w:val="21"/>
                      <w:lang w:val="en-US" w:eastAsia="zh-CN"/>
                    </w:rPr>
                    <w:t>要</w:t>
                  </w:r>
                  <w:r>
                    <w:rPr>
                      <w:rFonts w:hint="default" w:ascii="Times New Roman" w:hAnsi="Times New Roman" w:eastAsia="宋体" w:cs="Times New Roman"/>
                      <w:b/>
                      <w:bCs/>
                      <w:color w:val="000000"/>
                      <w:sz w:val="21"/>
                      <w:szCs w:val="21"/>
                      <w:lang w:val="en-US" w:eastAsia="zh-CN"/>
                    </w:rPr>
                    <w:t>求</w:t>
                  </w:r>
                </w:p>
              </w:tc>
              <w:tc>
                <w:tcPr>
                  <w:tcW w:w="845" w:type="pct"/>
                  <w:tcBorders>
                    <w:tl2br w:val="nil"/>
                    <w:tr2bl w:val="nil"/>
                  </w:tcBorders>
                  <w:noWrap w:val="0"/>
                  <w:tcMar>
                    <w:top w:w="57" w:type="dxa"/>
                    <w:left w:w="57" w:type="dxa"/>
                    <w:bottom w:w="57" w:type="dxa"/>
                    <w:right w:w="57" w:type="dxa"/>
                  </w:tcMar>
                  <w:vAlign w:val="center"/>
                </w:tcPr>
                <w:p w14:paraId="42894FD0">
                  <w:pPr>
                    <w:spacing w:line="240" w:lineRule="auto"/>
                    <w:ind w:firstLine="0" w:firstLineChars="0"/>
                    <w:jc w:val="center"/>
                    <w:rPr>
                      <w:rFonts w:hint="default" w:ascii="宋体" w:hAnsi="宋体" w:eastAsia="宋体" w:cs="宋体"/>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本</w:t>
                  </w:r>
                  <w:r>
                    <w:rPr>
                      <w:rFonts w:hint="default" w:ascii="宋体" w:hAnsi="宋体" w:eastAsia="宋体" w:cs="宋体"/>
                      <w:b/>
                      <w:bCs/>
                      <w:color w:val="000000"/>
                      <w:sz w:val="21"/>
                      <w:szCs w:val="21"/>
                      <w:lang w:val="en-US" w:eastAsia="zh-CN"/>
                    </w:rPr>
                    <w:t>项</w:t>
                  </w:r>
                  <w:r>
                    <w:rPr>
                      <w:rFonts w:hint="default" w:ascii="Times New Roman" w:hAnsi="Times New Roman" w:eastAsia="宋体" w:cs="Times New Roman"/>
                      <w:b/>
                      <w:bCs/>
                      <w:color w:val="000000"/>
                      <w:sz w:val="21"/>
                      <w:szCs w:val="21"/>
                      <w:lang w:val="en-US" w:eastAsia="zh-CN"/>
                    </w:rPr>
                    <w:t>目情况</w:t>
                  </w:r>
                </w:p>
              </w:tc>
              <w:tc>
                <w:tcPr>
                  <w:tcW w:w="523" w:type="pct"/>
                  <w:tcBorders>
                    <w:tl2br w:val="nil"/>
                    <w:tr2bl w:val="nil"/>
                  </w:tcBorders>
                  <w:noWrap w:val="0"/>
                  <w:tcMar>
                    <w:top w:w="57" w:type="dxa"/>
                    <w:left w:w="57" w:type="dxa"/>
                    <w:bottom w:w="57" w:type="dxa"/>
                    <w:right w:w="57" w:type="dxa"/>
                  </w:tcMar>
                  <w:vAlign w:val="center"/>
                </w:tcPr>
                <w:p w14:paraId="3F5C6956">
                  <w:pPr>
                    <w:spacing w:line="240" w:lineRule="auto"/>
                    <w:ind w:firstLine="0" w:firstLineChars="0"/>
                    <w:jc w:val="center"/>
                    <w:rPr>
                      <w:rFonts w:hint="default" w:ascii="宋体" w:hAnsi="宋体" w:eastAsia="宋体" w:cs="宋体"/>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符合性</w:t>
                  </w:r>
                </w:p>
              </w:tc>
            </w:tr>
            <w:tr w14:paraId="6582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1" w:type="pct"/>
                  <w:tcBorders>
                    <w:tl2br w:val="nil"/>
                    <w:tr2bl w:val="nil"/>
                  </w:tcBorders>
                  <w:shd w:val="clear" w:color="auto" w:fill="auto"/>
                  <w:noWrap w:val="0"/>
                  <w:tcMar>
                    <w:top w:w="57" w:type="dxa"/>
                    <w:left w:w="57" w:type="dxa"/>
                    <w:bottom w:w="57" w:type="dxa"/>
                    <w:right w:w="57" w:type="dxa"/>
                  </w:tcMar>
                  <w:vAlign w:val="center"/>
                </w:tcPr>
                <w:p w14:paraId="0115C5F4">
                  <w:pPr>
                    <w:spacing w:line="240" w:lineRule="auto"/>
                    <w:ind w:firstLine="0" w:firstLineChars="0"/>
                    <w:jc w:val="center"/>
                    <w:rPr>
                      <w:rFonts w:hint="default" w:ascii="宋体" w:hAnsi="宋体" w:eastAsia="宋体" w:cs="宋体"/>
                      <w:color w:val="000000"/>
                      <w:kern w:val="2"/>
                      <w:sz w:val="21"/>
                      <w:szCs w:val="21"/>
                      <w:lang w:val="en-US" w:eastAsia="zh-CN" w:bidi="ar-SA"/>
                    </w:rPr>
                  </w:pPr>
                  <w:r>
                    <w:rPr>
                      <w:rFonts w:hint="eastAsia"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坚决遏制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两高</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项目盲目发展。新改扩建项目严格落实国家产业规划、产业政策、产能置换、重点污染物总量控制、污染物排放区域削减、碳排放达峰目标等相关要求，采用清洁运输方式运输。严格火电、焦化行业监管，对火电、焦化、建材、水泥、化工、陶瓷等项目，实施清单管理、动态监控，严格落实省地方污染物排放标准和绩效分级差异管控，实施错峰生产和重污染天气应急管理措施</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新建</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两高</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项目按照重污染天气A级绩效指标建设</w:t>
                  </w:r>
                  <w:r>
                    <w:rPr>
                      <w:rFonts w:hint="eastAsia" w:cs="Times New Roman"/>
                      <w:color w:val="000000"/>
                      <w:sz w:val="21"/>
                      <w:szCs w:val="21"/>
                      <w:lang w:val="en-US" w:eastAsia="zh-CN"/>
                    </w:rPr>
                    <w:t>。</w:t>
                  </w:r>
                </w:p>
              </w:tc>
              <w:tc>
                <w:tcPr>
                  <w:tcW w:w="845" w:type="pct"/>
                  <w:tcBorders>
                    <w:tl2br w:val="nil"/>
                    <w:tr2bl w:val="nil"/>
                  </w:tcBorders>
                  <w:shd w:val="clear" w:color="auto" w:fill="auto"/>
                  <w:noWrap w:val="0"/>
                  <w:tcMar>
                    <w:top w:w="57" w:type="dxa"/>
                    <w:left w:w="57" w:type="dxa"/>
                    <w:bottom w:w="57" w:type="dxa"/>
                    <w:right w:w="57" w:type="dxa"/>
                  </w:tcMar>
                  <w:vAlign w:val="center"/>
                </w:tcPr>
                <w:p w14:paraId="48EC7AD9">
                  <w:pPr>
                    <w:spacing w:line="240" w:lineRule="auto"/>
                    <w:ind w:firstLine="0" w:firstLineChars="0"/>
                    <w:jc w:val="center"/>
                    <w:rPr>
                      <w:rFonts w:hint="default" w:ascii="宋体" w:hAnsi="宋体" w:eastAsia="宋体" w:cs="宋体"/>
                      <w:color w:val="000000"/>
                      <w:sz w:val="21"/>
                      <w:szCs w:val="21"/>
                      <w:lang w:val="en-US" w:eastAsia="zh-CN"/>
                    </w:rPr>
                  </w:pPr>
                  <w:r>
                    <w:rPr>
                      <w:rFonts w:hint="eastAsia" w:cs="Times New Roman"/>
                      <w:color w:val="000000"/>
                      <w:sz w:val="21"/>
                      <w:szCs w:val="21"/>
                      <w:lang w:val="en-US" w:eastAsia="zh-CN"/>
                    </w:rPr>
                    <w:t>项目属于烘炉、熔炉及电炉制造，不属于“两高”项目</w:t>
                  </w:r>
                  <w:r>
                    <w:rPr>
                      <w:rFonts w:hint="default" w:ascii="Times New Roman" w:hAnsi="Times New Roman" w:eastAsia="宋体" w:cs="Times New Roman"/>
                      <w:color w:val="000000"/>
                      <w:sz w:val="21"/>
                      <w:szCs w:val="21"/>
                      <w:lang w:val="en-US" w:eastAsia="zh-CN"/>
                    </w:rPr>
                    <w:t>。</w:t>
                  </w:r>
                </w:p>
              </w:tc>
              <w:tc>
                <w:tcPr>
                  <w:tcW w:w="523" w:type="pct"/>
                  <w:tcBorders>
                    <w:tl2br w:val="nil"/>
                    <w:tr2bl w:val="nil"/>
                  </w:tcBorders>
                  <w:noWrap w:val="0"/>
                  <w:tcMar>
                    <w:top w:w="57" w:type="dxa"/>
                    <w:left w:w="57" w:type="dxa"/>
                    <w:bottom w:w="57" w:type="dxa"/>
                    <w:right w:w="57" w:type="dxa"/>
                  </w:tcMar>
                  <w:vAlign w:val="center"/>
                </w:tcPr>
                <w:p w14:paraId="3574334F">
                  <w:pPr>
                    <w:spacing w:line="240" w:lineRule="auto"/>
                    <w:ind w:firstLine="0" w:firstLineChars="0"/>
                    <w:jc w:val="center"/>
                    <w:rPr>
                      <w:rFonts w:hint="default" w:ascii="宋体" w:hAnsi="宋体" w:eastAsia="宋体" w:cs="宋体"/>
                      <w:color w:val="000000"/>
                      <w:sz w:val="21"/>
                      <w:szCs w:val="21"/>
                      <w:lang w:val="en-US" w:eastAsia="zh-CN"/>
                    </w:rPr>
                  </w:pPr>
                  <w:r>
                    <w:rPr>
                      <w:rFonts w:hint="default" w:ascii="Times New Roman" w:hAnsi="Times New Roman" w:eastAsia="宋体" w:cs="Times New Roman"/>
                      <w:color w:val="000000"/>
                      <w:sz w:val="21"/>
                      <w:szCs w:val="21"/>
                      <w:lang w:val="en-US" w:eastAsia="zh-CN"/>
                    </w:rPr>
                    <w:t>符合</w:t>
                  </w:r>
                </w:p>
              </w:tc>
            </w:tr>
            <w:tr w14:paraId="20DE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1" w:type="pct"/>
                  <w:tcBorders>
                    <w:tl2br w:val="nil"/>
                    <w:tr2bl w:val="nil"/>
                  </w:tcBorders>
                  <w:shd w:val="clear" w:color="auto" w:fill="auto"/>
                  <w:noWrap w:val="0"/>
                  <w:tcMar>
                    <w:top w:w="57" w:type="dxa"/>
                    <w:left w:w="57" w:type="dxa"/>
                    <w:bottom w:w="57" w:type="dxa"/>
                    <w:right w:w="57" w:type="dxa"/>
                  </w:tcMar>
                  <w:vAlign w:val="center"/>
                </w:tcPr>
                <w:p w14:paraId="5EBF1ED1">
                  <w:pPr>
                    <w:spacing w:line="240" w:lineRule="auto"/>
                    <w:ind w:firstLine="0" w:firstLineChars="0"/>
                    <w:jc w:val="center"/>
                    <w:rPr>
                      <w:rFonts w:hint="default" w:ascii="宋体" w:hAnsi="宋体" w:eastAsia="宋体" w:cs="宋体"/>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加快传统产业改造提升。加快退出重点行业落后产能，对照《产业结构调整指导目录(2024年本)》，逐步退出限制类涉气行业工艺和装备。全面推进众城水泥、临涣焦化等重点行业企业及燃煤锅炉超低排放改造，加大氨排放管控。加快推进建成区重污染企业搬迁改造，持续加强砖瓦、陶瓷、石灰、高岭土、玻璃等涉工业炉窑行业环境治理，扎实推进砖瓦企业转型发展三年提升行动。鼓励纳入重污染天气应急管理绩效分级的重点行业企业实施提级改造，2024年A级、B级和引领性企业数量占比达到13%2025年A级、B级和引领性企业数量占比达20%。</w:t>
                  </w:r>
                </w:p>
              </w:tc>
              <w:tc>
                <w:tcPr>
                  <w:tcW w:w="845" w:type="pct"/>
                  <w:tcBorders>
                    <w:tl2br w:val="nil"/>
                    <w:tr2bl w:val="nil"/>
                  </w:tcBorders>
                  <w:noWrap w:val="0"/>
                  <w:tcMar>
                    <w:top w:w="57" w:type="dxa"/>
                    <w:left w:w="57" w:type="dxa"/>
                    <w:bottom w:w="57" w:type="dxa"/>
                    <w:right w:w="57" w:type="dxa"/>
                  </w:tcMar>
                  <w:vAlign w:val="center"/>
                </w:tcPr>
                <w:p w14:paraId="20D14F9B">
                  <w:pPr>
                    <w:spacing w:line="240" w:lineRule="auto"/>
                    <w:ind w:firstLine="0" w:firstLineChars="0"/>
                    <w:jc w:val="center"/>
                    <w:rPr>
                      <w:rFonts w:hint="default" w:ascii="宋体" w:hAnsi="宋体" w:eastAsia="宋体" w:cs="宋体"/>
                      <w:color w:val="000000"/>
                      <w:sz w:val="21"/>
                      <w:szCs w:val="21"/>
                      <w:lang w:val="en-US" w:eastAsia="zh-CN"/>
                    </w:rPr>
                  </w:pPr>
                  <w:r>
                    <w:rPr>
                      <w:rFonts w:hint="eastAsia" w:cs="Times New Roman"/>
                      <w:color w:val="000000"/>
                      <w:sz w:val="21"/>
                      <w:szCs w:val="21"/>
                      <w:lang w:val="en-US" w:eastAsia="zh-CN"/>
                    </w:rPr>
                    <w:t>项目属于烘炉、熔炉及电炉制造，不属于《产业结构调整指导目录（2024年本）中限制、淘汰类项目</w:t>
                  </w:r>
                  <w:r>
                    <w:rPr>
                      <w:rFonts w:hint="eastAsia" w:cs="Times New Roman"/>
                      <w:color w:val="000000"/>
                      <w:sz w:val="21"/>
                      <w:szCs w:val="21"/>
                      <w:highlight w:val="none"/>
                      <w:lang w:val="en-US" w:eastAsia="zh-CN"/>
                    </w:rPr>
                    <w:t>。本项目不涉及燃煤锅炉。</w:t>
                  </w:r>
                </w:p>
              </w:tc>
              <w:tc>
                <w:tcPr>
                  <w:tcW w:w="523" w:type="pct"/>
                  <w:tcBorders>
                    <w:tl2br w:val="nil"/>
                    <w:tr2bl w:val="nil"/>
                  </w:tcBorders>
                  <w:noWrap w:val="0"/>
                  <w:tcMar>
                    <w:top w:w="57" w:type="dxa"/>
                    <w:left w:w="57" w:type="dxa"/>
                    <w:bottom w:w="57" w:type="dxa"/>
                    <w:right w:w="57" w:type="dxa"/>
                  </w:tcMar>
                  <w:vAlign w:val="center"/>
                </w:tcPr>
                <w:p w14:paraId="1FDB2AAC">
                  <w:pPr>
                    <w:spacing w:line="240" w:lineRule="auto"/>
                    <w:ind w:firstLine="0" w:firstLineChars="0"/>
                    <w:jc w:val="center"/>
                    <w:rPr>
                      <w:rFonts w:hint="default" w:ascii="宋体" w:hAnsi="宋体" w:eastAsia="宋体" w:cs="宋体"/>
                      <w:color w:val="000000"/>
                      <w:sz w:val="21"/>
                      <w:szCs w:val="21"/>
                      <w:lang w:val="en-US" w:eastAsia="zh-CN"/>
                    </w:rPr>
                  </w:pPr>
                  <w:r>
                    <w:rPr>
                      <w:rFonts w:hint="default" w:ascii="Times New Roman" w:hAnsi="Times New Roman" w:eastAsia="宋体" w:cs="Times New Roman"/>
                      <w:color w:val="000000"/>
                      <w:sz w:val="21"/>
                      <w:szCs w:val="21"/>
                      <w:lang w:val="en-US" w:eastAsia="zh-CN"/>
                    </w:rPr>
                    <w:t>符合</w:t>
                  </w:r>
                </w:p>
              </w:tc>
            </w:tr>
            <w:tr w14:paraId="1E01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1" w:type="pct"/>
                  <w:tcBorders>
                    <w:tl2br w:val="nil"/>
                    <w:tr2bl w:val="nil"/>
                  </w:tcBorders>
                  <w:shd w:val="clear" w:color="auto" w:fill="auto"/>
                  <w:noWrap w:val="0"/>
                  <w:tcMar>
                    <w:top w:w="57" w:type="dxa"/>
                    <w:left w:w="57" w:type="dxa"/>
                    <w:bottom w:w="57" w:type="dxa"/>
                    <w:right w:w="57" w:type="dxa"/>
                  </w:tcMar>
                  <w:vAlign w:val="center"/>
                </w:tcPr>
                <w:p w14:paraId="2BB3DDE7">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3.强化</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散乱污</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企业综合整治。全面排查塑料加工、人造板、木材加工、家具制造、合成革、包装印刷、石材</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石料</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加工、煤和矸石破碎加工</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含煤球等</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、粮食饲料加工、不规范搅拌站、汽车维修</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抛光、打</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、黑色和有色金属熔炼加工、陶瓷烧制、砖瓦窑、</w:t>
                  </w:r>
                  <w:r>
                    <w:rPr>
                      <w:rFonts w:hint="eastAsia" w:cs="Times New Roman"/>
                      <w:color w:val="000000"/>
                      <w:sz w:val="21"/>
                      <w:szCs w:val="21"/>
                      <w:lang w:val="en-US" w:eastAsia="zh-CN"/>
                    </w:rPr>
                    <w:t>散装</w:t>
                  </w:r>
                  <w:r>
                    <w:rPr>
                      <w:rFonts w:hint="default" w:ascii="Times New Roman" w:hAnsi="Times New Roman" w:eastAsia="宋体" w:cs="Times New Roman"/>
                      <w:color w:val="000000"/>
                      <w:sz w:val="21"/>
                      <w:szCs w:val="21"/>
                      <w:lang w:val="en-US" w:eastAsia="zh-CN"/>
                    </w:rPr>
                    <w:t>物料堆场等涉气</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散乱污</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企业，实施清单管理，建立动态管理台账，明确时限、责任、措施，依法依规限期退出推动相关产业转型升级。</w:t>
                  </w:r>
                </w:p>
              </w:tc>
              <w:tc>
                <w:tcPr>
                  <w:tcW w:w="845" w:type="pct"/>
                  <w:tcBorders>
                    <w:tl2br w:val="nil"/>
                    <w:tr2bl w:val="nil"/>
                  </w:tcBorders>
                  <w:noWrap w:val="0"/>
                  <w:tcMar>
                    <w:top w:w="57" w:type="dxa"/>
                    <w:left w:w="57" w:type="dxa"/>
                    <w:bottom w:w="57" w:type="dxa"/>
                    <w:right w:w="57" w:type="dxa"/>
                  </w:tcMar>
                  <w:vAlign w:val="center"/>
                </w:tcPr>
                <w:p w14:paraId="0E56118B">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项目属于烘炉、熔炉及电炉制造，位于安徽省淮北市杜集区杜集经济开发区萧淮路16号，不属于“</w:t>
                  </w:r>
                  <w:r>
                    <w:rPr>
                      <w:rFonts w:hint="default" w:ascii="Times New Roman" w:hAnsi="Times New Roman" w:eastAsia="宋体" w:cs="Times New Roman"/>
                      <w:color w:val="000000"/>
                      <w:sz w:val="21"/>
                      <w:szCs w:val="21"/>
                      <w:lang w:val="en-US" w:eastAsia="zh-CN"/>
                    </w:rPr>
                    <w:t>散乱污</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企业</w:t>
                  </w:r>
                  <w:r>
                    <w:rPr>
                      <w:rFonts w:hint="eastAsia" w:cs="Times New Roman"/>
                      <w:color w:val="000000"/>
                      <w:sz w:val="21"/>
                      <w:szCs w:val="21"/>
                      <w:lang w:val="en-US" w:eastAsia="zh-CN"/>
                    </w:rPr>
                    <w:t>。</w:t>
                  </w:r>
                </w:p>
              </w:tc>
              <w:tc>
                <w:tcPr>
                  <w:tcW w:w="523" w:type="pct"/>
                  <w:tcBorders>
                    <w:tl2br w:val="nil"/>
                    <w:tr2bl w:val="nil"/>
                  </w:tcBorders>
                  <w:noWrap w:val="0"/>
                  <w:tcMar>
                    <w:top w:w="57" w:type="dxa"/>
                    <w:left w:w="57" w:type="dxa"/>
                    <w:bottom w:w="57" w:type="dxa"/>
                    <w:right w:w="57" w:type="dxa"/>
                  </w:tcMar>
                  <w:vAlign w:val="center"/>
                </w:tcPr>
                <w:p w14:paraId="2C5A2F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lang w:val="en-US" w:eastAsia="zh-CN"/>
                    </w:rPr>
                    <w:t>符合</w:t>
                  </w:r>
                </w:p>
              </w:tc>
            </w:tr>
            <w:tr w14:paraId="5367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1" w:type="pct"/>
                  <w:tcBorders>
                    <w:tl2br w:val="nil"/>
                    <w:tr2bl w:val="nil"/>
                  </w:tcBorders>
                  <w:shd w:val="clear" w:color="auto" w:fill="auto"/>
                  <w:noWrap w:val="0"/>
                  <w:tcMar>
                    <w:top w:w="57" w:type="dxa"/>
                    <w:left w:w="57" w:type="dxa"/>
                    <w:bottom w:w="57" w:type="dxa"/>
                    <w:right w:w="57" w:type="dxa"/>
                  </w:tcMar>
                  <w:vAlign w:val="center"/>
                </w:tcPr>
                <w:p w14:paraId="05305288">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大力压减非电行业煤炭消费量。以碳达峰与碳中和为目标，加大能源与结构调整。优化煤炭消费结构，新建、改建、扩建非电用煤项目严格实施煤炭减量替代，确保完成省级下达的非电煤炭消费量控制指标。推动落后燃煤锅炉、炉窑淘汰更新，排查完善锅炉和炉窑清单，覆盖全燃料种类、各行业领域、不同炉型，依法依规淘汰</w:t>
                  </w:r>
                  <w:r>
                    <w:rPr>
                      <w:rFonts w:hint="eastAsia" w:cs="Times New Roman"/>
                      <w:color w:val="000000"/>
                      <w:sz w:val="21"/>
                      <w:szCs w:val="21"/>
                      <w:lang w:val="en-US" w:eastAsia="zh-CN"/>
                    </w:rPr>
                    <w:t>35</w:t>
                  </w:r>
                  <w:r>
                    <w:rPr>
                      <w:rFonts w:hint="default" w:ascii="Times New Roman" w:hAnsi="Times New Roman" w:eastAsia="宋体" w:cs="Times New Roman"/>
                      <w:color w:val="000000"/>
                      <w:sz w:val="21"/>
                      <w:szCs w:val="21"/>
                      <w:lang w:val="en-US" w:eastAsia="zh-CN"/>
                    </w:rPr>
                    <w:t>蒸吨/小时及以下的燃煤锅炉</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含茶水炉、经营性炉灶、储粮</w:t>
                  </w:r>
                  <w:r>
                    <w:rPr>
                      <w:rFonts w:hint="eastAsia" w:cs="Times New Roman"/>
                      <w:color w:val="000000"/>
                      <w:sz w:val="21"/>
                      <w:szCs w:val="21"/>
                      <w:lang w:val="en-US" w:eastAsia="zh-CN"/>
                    </w:rPr>
                    <w:t>烘干</w:t>
                  </w:r>
                  <w:r>
                    <w:rPr>
                      <w:rFonts w:hint="default" w:ascii="Times New Roman" w:hAnsi="Times New Roman" w:eastAsia="宋体" w:cs="Times New Roman"/>
                      <w:color w:val="000000"/>
                      <w:sz w:val="21"/>
                      <w:szCs w:val="21"/>
                      <w:lang w:val="en-US" w:eastAsia="zh-CN"/>
                    </w:rPr>
                    <w:t>设备等燃煤设施</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。严格禁止新建自备燃煤设施2024 年底前，完成供热半径15km以内燃煤设施的摸排，2025年底前，全面淘汰供热半径15km以内的自备燃煤供热设施和低效燃煤小热电，积极发展大型热电联产机组半径30km长距离集中供热。实施工业炉窑清洁能源替代，大力推进电能替代煤炭，积极稳妥推进以气代煤。</w:t>
                  </w:r>
                </w:p>
              </w:tc>
              <w:tc>
                <w:tcPr>
                  <w:tcW w:w="845" w:type="pct"/>
                  <w:tcBorders>
                    <w:tl2br w:val="nil"/>
                    <w:tr2bl w:val="nil"/>
                  </w:tcBorders>
                  <w:noWrap w:val="0"/>
                  <w:tcMar>
                    <w:top w:w="57" w:type="dxa"/>
                    <w:left w:w="57" w:type="dxa"/>
                    <w:bottom w:w="57" w:type="dxa"/>
                    <w:right w:w="57" w:type="dxa"/>
                  </w:tcMar>
                  <w:vAlign w:val="center"/>
                </w:tcPr>
                <w:p w14:paraId="6C52EFE6">
                  <w:pPr>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项目</w:t>
                  </w:r>
                  <w:r>
                    <w:rPr>
                      <w:rFonts w:hint="eastAsia" w:cs="Times New Roman"/>
                      <w:color w:val="000000"/>
                      <w:sz w:val="21"/>
                      <w:szCs w:val="21"/>
                      <w:lang w:val="en-US" w:eastAsia="zh-CN"/>
                    </w:rPr>
                    <w:t>不涉及</w:t>
                  </w:r>
                  <w:r>
                    <w:rPr>
                      <w:rFonts w:hint="eastAsia" w:ascii="Times New Roman" w:hAnsi="Times New Roman" w:eastAsia="宋体" w:cs="Times New Roman"/>
                      <w:color w:val="000000"/>
                      <w:sz w:val="21"/>
                      <w:szCs w:val="21"/>
                      <w:lang w:val="en-US" w:eastAsia="zh-CN"/>
                    </w:rPr>
                    <w:t>煤炭</w:t>
                  </w:r>
                  <w:r>
                    <w:rPr>
                      <w:rFonts w:hint="eastAsia" w:cs="Times New Roman"/>
                      <w:color w:val="000000"/>
                      <w:sz w:val="21"/>
                      <w:szCs w:val="21"/>
                      <w:lang w:val="en-US" w:eastAsia="zh-CN"/>
                    </w:rPr>
                    <w:t>。</w:t>
                  </w:r>
                </w:p>
              </w:tc>
              <w:tc>
                <w:tcPr>
                  <w:tcW w:w="523" w:type="pct"/>
                  <w:tcBorders>
                    <w:tl2br w:val="nil"/>
                    <w:tr2bl w:val="nil"/>
                  </w:tcBorders>
                  <w:noWrap w:val="0"/>
                  <w:tcMar>
                    <w:top w:w="57" w:type="dxa"/>
                    <w:left w:w="57" w:type="dxa"/>
                    <w:bottom w:w="57" w:type="dxa"/>
                    <w:right w:w="57" w:type="dxa"/>
                  </w:tcMar>
                  <w:vAlign w:val="center"/>
                </w:tcPr>
                <w:p w14:paraId="008BA6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lang w:val="en-US" w:eastAsia="zh-CN"/>
                    </w:rPr>
                    <w:t>符合</w:t>
                  </w:r>
                </w:p>
              </w:tc>
            </w:tr>
          </w:tbl>
          <w:p w14:paraId="4BB97172">
            <w:pPr>
              <w:bidi w:val="0"/>
              <w:rPr>
                <w:rFonts w:hint="default"/>
                <w:sz w:val="24"/>
                <w:szCs w:val="24"/>
                <w:lang w:val="en-US" w:eastAsia="zh-CN"/>
              </w:rPr>
            </w:pPr>
          </w:p>
          <w:p w14:paraId="56130DD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2"/>
                <w:sz w:val="24"/>
                <w:szCs w:val="24"/>
                <w:lang w:val="en-US" w:eastAsia="zh-CN" w:bidi="ar-SA"/>
              </w:rPr>
              <w:t>（3）</w:t>
            </w:r>
            <w:r>
              <w:rPr>
                <w:rFonts w:hint="default" w:ascii="Times New Roman" w:hAnsi="Times New Roman" w:eastAsia="宋体" w:cs="Times New Roman"/>
                <w:color w:val="000000"/>
                <w:sz w:val="24"/>
                <w:szCs w:val="24"/>
                <w:lang w:val="en-US" w:eastAsia="zh-CN"/>
              </w:rPr>
              <w:t>与安徽省人民政府办公厅《关于印发皖北六市空气质量提升攻坚行动方案的通知》（皖政办秘〔2023〕58号，2023年12月8日）相符性分析</w:t>
            </w:r>
          </w:p>
          <w:p w14:paraId="3014B5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1"/>
                <w:szCs w:val="21"/>
                <w:lang w:val="en-US" w:eastAsia="zh-CN"/>
              </w:rPr>
              <w:t>表1-</w:t>
            </w:r>
            <w:r>
              <w:rPr>
                <w:rFonts w:hint="eastAsia" w:cs="Times New Roman"/>
                <w:b/>
                <w:bCs/>
                <w:color w:val="000000"/>
                <w:sz w:val="21"/>
                <w:szCs w:val="21"/>
                <w:lang w:val="en-US" w:eastAsia="zh-CN"/>
              </w:rPr>
              <w:t>4</w:t>
            </w:r>
            <w:r>
              <w:rPr>
                <w:rFonts w:hint="eastAsia" w:ascii="Times New Roman" w:hAnsi="Times New Roman" w:eastAsia="宋体" w:cs="Times New Roman"/>
                <w:b/>
                <w:bCs/>
                <w:color w:val="000000"/>
                <w:sz w:val="21"/>
                <w:szCs w:val="21"/>
                <w:lang w:val="en-US" w:eastAsia="zh-CN"/>
              </w:rPr>
              <w:t xml:space="preserve">  与皖政</w:t>
            </w:r>
            <w:r>
              <w:rPr>
                <w:rFonts w:hint="eastAsia" w:ascii="Times New Roman" w:hAnsi="Times New Roman" w:eastAsia="宋体" w:cs="Times New Roman"/>
                <w:b/>
                <w:bCs/>
                <w:color w:val="000000"/>
                <w:sz w:val="21"/>
                <w:szCs w:val="21"/>
                <w:highlight w:val="none"/>
                <w:lang w:val="en-US" w:eastAsia="zh-CN"/>
              </w:rPr>
              <w:t>办秘〔2023〕58 号</w:t>
            </w:r>
            <w:r>
              <w:rPr>
                <w:rFonts w:hint="eastAsia" w:ascii="Times New Roman" w:hAnsi="Times New Roman" w:eastAsia="宋体" w:cs="Times New Roman"/>
                <w:b/>
                <w:bCs/>
                <w:color w:val="000000"/>
                <w:sz w:val="21"/>
                <w:szCs w:val="21"/>
                <w:lang w:val="en-US" w:eastAsia="zh-CN"/>
              </w:rPr>
              <w:t>文件相符性</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2"/>
              <w:gridCol w:w="2707"/>
              <w:gridCol w:w="87"/>
              <w:gridCol w:w="662"/>
            </w:tblGrid>
            <w:tr w14:paraId="7A35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noWrap w:val="0"/>
                  <w:vAlign w:val="center"/>
                </w:tcPr>
                <w:p w14:paraId="45FEE3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c>
                <w:tcPr>
                  <w:tcW w:w="1733" w:type="pct"/>
                  <w:gridSpan w:val="2"/>
                  <w:noWrap w:val="0"/>
                  <w:vAlign w:val="center"/>
                </w:tcPr>
                <w:p w14:paraId="656245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本项目情况</w:t>
                  </w:r>
                </w:p>
              </w:tc>
              <w:tc>
                <w:tcPr>
                  <w:tcW w:w="410" w:type="pct"/>
                  <w:noWrap w:val="0"/>
                  <w:vAlign w:val="center"/>
                </w:tcPr>
                <w:p w14:paraId="4C5BE5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符合性</w:t>
                  </w:r>
                </w:p>
              </w:tc>
            </w:tr>
            <w:tr w14:paraId="3A2F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noWrap w:val="0"/>
                  <w:vAlign w:val="center"/>
                </w:tcPr>
                <w:p w14:paraId="11E5AE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sz w:val="21"/>
                      <w:szCs w:val="21"/>
                      <w:lang w:val="en-US" w:eastAsia="zh-CN"/>
                    </w:rPr>
                    <w:t>（一）</w:t>
                  </w:r>
                  <w:r>
                    <w:rPr>
                      <w:rFonts w:hint="eastAsia" w:ascii="Times New Roman" w:hAnsi="Times New Roman" w:eastAsia="宋体" w:cs="Times New Roman"/>
                      <w:sz w:val="21"/>
                      <w:szCs w:val="21"/>
                      <w:lang w:val="en-US" w:eastAsia="zh-CN"/>
                    </w:rPr>
                    <w:t>开展产业绿色发展提升行动</w:t>
                  </w:r>
                </w:p>
              </w:tc>
            </w:tr>
            <w:tr w14:paraId="7C8C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noWrap w:val="0"/>
                  <w:vAlign w:val="center"/>
                </w:tcPr>
                <w:p w14:paraId="46D2CF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坚决遏制“两高”项目盲目发展。对淮南市的火电、煤化工，淮北市的火电、焦化，蚌埠市的化工、玻璃，阜阳市的化工、建材，宿州市的水泥、陶瓷等“两高”项目，实施清单管理、动态监控，严格落实错峰生产和重污染天气应急管理措施，新建“两高”项目按照重污染天气A级绩效指标建设。</w:t>
                  </w:r>
                </w:p>
              </w:tc>
              <w:tc>
                <w:tcPr>
                  <w:tcW w:w="1733" w:type="pct"/>
                  <w:gridSpan w:val="2"/>
                  <w:noWrap w:val="0"/>
                  <w:vAlign w:val="center"/>
                </w:tcPr>
                <w:p w14:paraId="798D30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sz w:val="21"/>
                      <w:szCs w:val="21"/>
                      <w:lang w:val="en-US" w:eastAsia="zh-CN"/>
                    </w:rPr>
                    <w:t>本项目属于C</w:t>
                  </w:r>
                  <w:r>
                    <w:rPr>
                      <w:rFonts w:hint="eastAsia" w:ascii="Times New Roman" w:hAnsi="Times New Roman" w:cs="Times New Roman"/>
                      <w:sz w:val="21"/>
                      <w:szCs w:val="21"/>
                      <w:lang w:val="en-US" w:eastAsia="zh-CN"/>
                    </w:rPr>
                    <w:t>3461</w:t>
                  </w:r>
                  <w:r>
                    <w:rPr>
                      <w:rFonts w:hint="eastAsia"/>
                      <w:bCs/>
                      <w:sz w:val="21"/>
                      <w:szCs w:val="21"/>
                      <w:highlight w:val="none"/>
                      <w:lang w:val="en-US" w:eastAsia="zh-CN"/>
                    </w:rPr>
                    <w:t>烘炉、熔炉及电炉制造</w:t>
                  </w:r>
                  <w:r>
                    <w:rPr>
                      <w:rFonts w:hint="eastAsia" w:ascii="Times New Roman" w:hAnsi="Times New Roman" w:eastAsia="宋体" w:cs="Times New Roman"/>
                      <w:sz w:val="21"/>
                      <w:szCs w:val="21"/>
                      <w:lang w:val="en-US" w:eastAsia="zh-CN"/>
                    </w:rPr>
                    <w:t>，不属于</w:t>
                  </w:r>
                  <w:r>
                    <w:rPr>
                      <w:rFonts w:hint="default" w:ascii="Times New Roman" w:hAnsi="Times New Roman" w:eastAsia="宋体" w:cs="Times New Roman"/>
                      <w:sz w:val="21"/>
                      <w:szCs w:val="21"/>
                      <w:lang w:val="en-US" w:eastAsia="zh-CN"/>
                    </w:rPr>
                    <w:t>火电、焦化</w:t>
                  </w:r>
                  <w:r>
                    <w:rPr>
                      <w:rFonts w:hint="eastAsia" w:cs="Times New Roman"/>
                      <w:sz w:val="21"/>
                      <w:szCs w:val="21"/>
                      <w:lang w:val="en-US" w:eastAsia="zh-CN"/>
                    </w:rPr>
                    <w:t>等“</w:t>
                  </w:r>
                  <w:r>
                    <w:rPr>
                      <w:rFonts w:hint="default" w:ascii="Times New Roman" w:hAnsi="Times New Roman" w:eastAsia="宋体" w:cs="Times New Roman"/>
                      <w:sz w:val="21"/>
                      <w:szCs w:val="21"/>
                      <w:lang w:val="en-US" w:eastAsia="zh-CN"/>
                    </w:rPr>
                    <w:t>两高</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项目</w:t>
                  </w:r>
                  <w:r>
                    <w:rPr>
                      <w:rFonts w:hint="eastAsia" w:cs="Times New Roman"/>
                      <w:sz w:val="21"/>
                      <w:szCs w:val="21"/>
                      <w:lang w:val="en-US" w:eastAsia="zh-CN"/>
                    </w:rPr>
                    <w:t>。</w:t>
                  </w:r>
                </w:p>
              </w:tc>
              <w:tc>
                <w:tcPr>
                  <w:tcW w:w="410" w:type="pct"/>
                  <w:noWrap w:val="0"/>
                  <w:vAlign w:val="center"/>
                </w:tcPr>
                <w:p w14:paraId="6235F5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5BE1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shd w:val="clear" w:color="auto" w:fill="auto"/>
                  <w:noWrap w:val="0"/>
                  <w:vAlign w:val="center"/>
                </w:tcPr>
                <w:p w14:paraId="44EE6E71">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大力整治“散乱污”企业。全面排查塑料加工、人造板、木材加工、家具制造、合成革、包装印刷石材加工、煤和矸石破碎加工</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含煤球等</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、粮食饲料加工、中药材加工、不规范搅拌站、汽车维修</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抛光、打磨</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、黑色和有色金属熔炼加工、陶瓷烧制、砖瓦窑等涉气“散乱污”企业，实施清单管理，明确时限、责任、措施，依法依规限期退出，推动相关产业转型升级。</w:t>
                  </w:r>
                </w:p>
              </w:tc>
              <w:tc>
                <w:tcPr>
                  <w:tcW w:w="1733" w:type="pct"/>
                  <w:gridSpan w:val="2"/>
                  <w:shd w:val="clear" w:color="auto" w:fill="auto"/>
                  <w:noWrap w:val="0"/>
                  <w:vAlign w:val="center"/>
                </w:tcPr>
                <w:p w14:paraId="3E6871B9">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项目位于</w:t>
                  </w:r>
                  <w:r>
                    <w:rPr>
                      <w:rFonts w:hint="eastAsia" w:cs="Times New Roman"/>
                      <w:sz w:val="21"/>
                      <w:szCs w:val="21"/>
                      <w:lang w:val="en-US" w:eastAsia="zh-CN"/>
                    </w:rPr>
                    <w:t>安徽省淮北市杜集区杜集经济开发区萧淮路16号</w:t>
                  </w:r>
                  <w:r>
                    <w:rPr>
                      <w:rFonts w:hint="eastAsia" w:ascii="Times New Roman" w:hAnsi="Times New Roman" w:eastAsia="宋体" w:cs="Times New Roman"/>
                      <w:sz w:val="21"/>
                      <w:szCs w:val="21"/>
                      <w:lang w:val="en-US" w:eastAsia="zh-CN"/>
                    </w:rPr>
                    <w:t>，建设地点位于现有厂</w:t>
                  </w:r>
                  <w:r>
                    <w:rPr>
                      <w:rFonts w:hint="eastAsia" w:ascii="Times New Roman" w:hAnsi="Times New Roman" w:cs="Times New Roman"/>
                      <w:sz w:val="21"/>
                      <w:szCs w:val="21"/>
                      <w:lang w:val="en-US" w:eastAsia="zh-CN"/>
                    </w:rPr>
                    <w:t>区</w:t>
                  </w:r>
                  <w:r>
                    <w:rPr>
                      <w:rFonts w:hint="eastAsia" w:ascii="Times New Roman" w:hAnsi="Times New Roman" w:eastAsia="宋体" w:cs="Times New Roman"/>
                      <w:sz w:val="21"/>
                      <w:szCs w:val="21"/>
                      <w:lang w:val="en-US" w:eastAsia="zh-CN"/>
                    </w:rPr>
                    <w:t>内，项目</w:t>
                  </w:r>
                  <w:r>
                    <w:rPr>
                      <w:rFonts w:hint="eastAsia" w:ascii="Times New Roman" w:hAnsi="Times New Roman" w:cs="Times New Roman"/>
                      <w:sz w:val="21"/>
                      <w:szCs w:val="21"/>
                      <w:lang w:val="en-US" w:eastAsia="zh-CN"/>
                    </w:rPr>
                    <w:t>已</w:t>
                  </w:r>
                  <w:r>
                    <w:rPr>
                      <w:rFonts w:hint="eastAsia" w:ascii="Times New Roman" w:hAnsi="Times New Roman" w:eastAsia="宋体" w:cs="Times New Roman"/>
                      <w:sz w:val="21"/>
                      <w:szCs w:val="21"/>
                      <w:lang w:val="en-US" w:eastAsia="zh-CN"/>
                    </w:rPr>
                    <w:t>取得</w:t>
                  </w:r>
                  <w:r>
                    <w:rPr>
                      <w:rFonts w:hint="eastAsia" w:cs="Times New Roman"/>
                      <w:sz w:val="21"/>
                      <w:szCs w:val="21"/>
                      <w:lang w:val="en-US" w:eastAsia="zh-CN"/>
                    </w:rPr>
                    <w:t>安徽省淮北市杜集区发展和改革委员会</w:t>
                  </w:r>
                  <w:r>
                    <w:rPr>
                      <w:rFonts w:hint="eastAsia" w:ascii="Times New Roman" w:hAnsi="Times New Roman" w:eastAsia="宋体" w:cs="Times New Roman"/>
                      <w:sz w:val="21"/>
                      <w:szCs w:val="21"/>
                      <w:lang w:val="en-US" w:eastAsia="zh-CN"/>
                    </w:rPr>
                    <w:t>备案，符合当地规划</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不属于“散乱污”企业</w:t>
                  </w:r>
                  <w:r>
                    <w:rPr>
                      <w:rFonts w:hint="eastAsia" w:cs="Times New Roman"/>
                      <w:sz w:val="21"/>
                      <w:szCs w:val="21"/>
                      <w:lang w:val="en-US" w:eastAsia="zh-CN"/>
                    </w:rPr>
                    <w:t>。</w:t>
                  </w:r>
                </w:p>
              </w:tc>
              <w:tc>
                <w:tcPr>
                  <w:tcW w:w="410" w:type="pct"/>
                  <w:noWrap w:val="0"/>
                  <w:vAlign w:val="center"/>
                </w:tcPr>
                <w:p w14:paraId="309870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p>
              </w:tc>
            </w:tr>
            <w:tr w14:paraId="6922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shd w:val="clear" w:color="auto" w:fill="auto"/>
                  <w:noWrap w:val="0"/>
                  <w:vAlign w:val="center"/>
                </w:tcPr>
                <w:p w14:paraId="11C92F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二</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开展煤炭减量替代提升行动</w:t>
                  </w:r>
                </w:p>
              </w:tc>
            </w:tr>
            <w:tr w14:paraId="11A4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shd w:val="clear" w:color="auto" w:fill="auto"/>
                  <w:noWrap w:val="0"/>
                  <w:vAlign w:val="center"/>
                </w:tcPr>
                <w:p w14:paraId="351575E6">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加快实施现有煤电机组提标改造。大力推动节能降碳改造、灵活性改造、集中供热改造“三改联动”，“十四五”末皖北六市现有29台30万千瓦以上煤电机组全面达到“超净排放”，积极推动将符合国家规定条件的老旧机组转为应急备用</w:t>
                  </w:r>
                </w:p>
              </w:tc>
              <w:tc>
                <w:tcPr>
                  <w:tcW w:w="1733" w:type="pct"/>
                  <w:gridSpan w:val="2"/>
                  <w:vMerge w:val="restart"/>
                  <w:noWrap w:val="0"/>
                  <w:vAlign w:val="center"/>
                </w:tcPr>
                <w:p w14:paraId="71C725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sz w:val="21"/>
                      <w:szCs w:val="21"/>
                      <w:lang w:val="en-US" w:eastAsia="zh-CN"/>
                    </w:rPr>
                    <w:t>本项目生产过</w:t>
                  </w:r>
                  <w:r>
                    <w:rPr>
                      <w:rFonts w:hint="eastAsia" w:cs="Times New Roman"/>
                      <w:sz w:val="21"/>
                      <w:szCs w:val="21"/>
                      <w:lang w:val="en-US" w:eastAsia="zh-CN"/>
                    </w:rPr>
                    <w:t>程中</w:t>
                  </w:r>
                  <w:r>
                    <w:rPr>
                      <w:rFonts w:hint="eastAsia" w:ascii="Times New Roman" w:hAnsi="Times New Roman" w:eastAsia="宋体" w:cs="Times New Roman"/>
                      <w:sz w:val="21"/>
                      <w:szCs w:val="21"/>
                      <w:lang w:val="en-US" w:eastAsia="zh-CN"/>
                    </w:rPr>
                    <w:t>使用的</w:t>
                  </w:r>
                  <w:r>
                    <w:rPr>
                      <w:rFonts w:hint="eastAsia" w:cs="Times New Roman"/>
                      <w:sz w:val="21"/>
                      <w:szCs w:val="21"/>
                      <w:lang w:val="en-US" w:eastAsia="zh-CN"/>
                    </w:rPr>
                    <w:t>烘干箱采用电加热</w:t>
                  </w:r>
                  <w:r>
                    <w:rPr>
                      <w:rFonts w:hint="eastAsia" w:ascii="Times New Roman" w:hAnsi="Times New Roman" w:eastAsia="宋体" w:cs="Times New Roman"/>
                      <w:sz w:val="21"/>
                      <w:szCs w:val="21"/>
                      <w:lang w:val="en-US" w:eastAsia="zh-CN"/>
                    </w:rPr>
                    <w:t>，不使用煤炭</w:t>
                  </w:r>
                  <w:r>
                    <w:rPr>
                      <w:rFonts w:hint="eastAsia" w:cs="Times New Roman"/>
                      <w:sz w:val="21"/>
                      <w:szCs w:val="21"/>
                      <w:lang w:val="en-US" w:eastAsia="zh-CN"/>
                    </w:rPr>
                    <w:t>等</w:t>
                  </w:r>
                  <w:r>
                    <w:rPr>
                      <w:rFonts w:hint="default" w:ascii="Times New Roman" w:hAnsi="Times New Roman" w:eastAsia="宋体" w:cs="Times New Roman"/>
                      <w:sz w:val="21"/>
                      <w:szCs w:val="21"/>
                      <w:lang w:val="en-US" w:eastAsia="zh-CN"/>
                    </w:rPr>
                    <w:t>高污染燃料</w:t>
                  </w:r>
                  <w:r>
                    <w:rPr>
                      <w:rFonts w:hint="eastAsia" w:cs="Times New Roman"/>
                      <w:sz w:val="21"/>
                      <w:szCs w:val="21"/>
                      <w:lang w:val="en-US" w:eastAsia="zh-CN"/>
                    </w:rPr>
                    <w:t>。</w:t>
                  </w:r>
                </w:p>
              </w:tc>
              <w:tc>
                <w:tcPr>
                  <w:tcW w:w="410" w:type="pct"/>
                  <w:noWrap w:val="0"/>
                  <w:vAlign w:val="center"/>
                </w:tcPr>
                <w:p w14:paraId="7CAD4C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3507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shd w:val="clear" w:color="auto" w:fill="auto"/>
                  <w:noWrap w:val="0"/>
                  <w:vAlign w:val="center"/>
                </w:tcPr>
                <w:p w14:paraId="4790A7FC">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积极稳妥推进支撑性电源项目建设。六市新建煤电机组执行最严格的节能环保标准，严格落实污染物区域削减替代等政策要求，项目投产前须严格兑现减排承诺，否则不予核发排污许可证，不得投入运行。</w:t>
                  </w:r>
                </w:p>
              </w:tc>
              <w:tc>
                <w:tcPr>
                  <w:tcW w:w="1733" w:type="pct"/>
                  <w:gridSpan w:val="2"/>
                  <w:vMerge w:val="continue"/>
                  <w:noWrap w:val="0"/>
                  <w:vAlign w:val="center"/>
                </w:tcPr>
                <w:p w14:paraId="25C2E4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410" w:type="pct"/>
                  <w:noWrap w:val="0"/>
                  <w:vAlign w:val="center"/>
                </w:tcPr>
                <w:p w14:paraId="252A94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0FB7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shd w:val="clear" w:color="auto" w:fill="auto"/>
                  <w:noWrap w:val="0"/>
                  <w:vAlign w:val="center"/>
                </w:tcPr>
                <w:p w14:paraId="311D4C00">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大力压减非电行业煤炭消费量。新建、改建、扩建非电用煤项目严格实施煤炭减量替代，确保完成省级下达六市的非电煤炭消费量控制指标。严格禁止新建自备燃煤设施。2025年底前，全面淘汰供热半径15km以内的自备燃煤供热设施和低效燃煤小热电，积极发展大型热电联产机组半径30km长距离集中供热。</w:t>
                  </w:r>
                </w:p>
              </w:tc>
              <w:tc>
                <w:tcPr>
                  <w:tcW w:w="1733" w:type="pct"/>
                  <w:gridSpan w:val="2"/>
                  <w:vMerge w:val="continue"/>
                  <w:noWrap w:val="0"/>
                  <w:vAlign w:val="center"/>
                </w:tcPr>
                <w:p w14:paraId="69FBB3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410" w:type="pct"/>
                  <w:noWrap w:val="0"/>
                  <w:vAlign w:val="center"/>
                </w:tcPr>
                <w:p w14:paraId="2F3DE6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707B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shd w:val="clear" w:color="auto" w:fill="auto"/>
                  <w:noWrap w:val="0"/>
                  <w:vAlign w:val="center"/>
                </w:tcPr>
                <w:p w14:paraId="3864D6C9">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加大散煤淘汰力度。加大农业生产和农产品加工领域、经营性炉灶等散煤替代力度，实现生产经营性领域散煤基本清零。加强商品煤质量监管，严格控制不符合标准的散煤直接进入流通、使用环节。基本实现居民生活散煤替代。</w:t>
                  </w:r>
                </w:p>
              </w:tc>
              <w:tc>
                <w:tcPr>
                  <w:tcW w:w="1733" w:type="pct"/>
                  <w:gridSpan w:val="2"/>
                  <w:vMerge w:val="continue"/>
                  <w:noWrap w:val="0"/>
                  <w:vAlign w:val="center"/>
                </w:tcPr>
                <w:p w14:paraId="0C0694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410" w:type="pct"/>
                  <w:noWrap w:val="0"/>
                  <w:vAlign w:val="center"/>
                </w:tcPr>
                <w:p w14:paraId="367E2A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2730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noWrap w:val="0"/>
                  <w:vAlign w:val="center"/>
                </w:tcPr>
                <w:p w14:paraId="5022F5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三</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开展交通运输优化提升行动</w:t>
                  </w:r>
                </w:p>
              </w:tc>
            </w:tr>
            <w:tr w14:paraId="3AD6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noWrap w:val="0"/>
                  <w:vAlign w:val="center"/>
                </w:tcPr>
                <w:p w14:paraId="64806AC4">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深入推进营运柴油货车专项整治。以国Ⅲ及以下排放标准的营运柴油货车为重点，通过以奖代补等方式，加快推进六市提前淘汰高污染老旧机动车，到2025年全面实现国Ⅲ柴油货车限行。</w:t>
                  </w:r>
                </w:p>
              </w:tc>
              <w:tc>
                <w:tcPr>
                  <w:tcW w:w="1733" w:type="pct"/>
                  <w:gridSpan w:val="2"/>
                  <w:vMerge w:val="restart"/>
                  <w:noWrap w:val="0"/>
                  <w:vAlign w:val="center"/>
                </w:tcPr>
                <w:p w14:paraId="1142B5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sz w:val="22"/>
                      <w:szCs w:val="22"/>
                      <w:lang w:val="en-US" w:eastAsia="zh-CN"/>
                    </w:rPr>
                    <w:t>本项目</w:t>
                  </w:r>
                  <w:r>
                    <w:rPr>
                      <w:rFonts w:hint="eastAsia" w:cs="Times New Roman"/>
                      <w:sz w:val="22"/>
                      <w:szCs w:val="22"/>
                      <w:lang w:val="en-US" w:eastAsia="zh-CN"/>
                    </w:rPr>
                    <w:t>不涉及大宗货物运输，原辅材料物料运输不使用</w:t>
                  </w:r>
                  <w:r>
                    <w:rPr>
                      <w:rFonts w:hint="default" w:ascii="Times New Roman" w:hAnsi="Times New Roman" w:eastAsia="宋体" w:cs="Times New Roman"/>
                      <w:sz w:val="22"/>
                      <w:szCs w:val="22"/>
                      <w:lang w:val="en-US" w:eastAsia="zh-CN"/>
                    </w:rPr>
                    <w:t>高污染老旧机动车</w:t>
                  </w:r>
                  <w:r>
                    <w:rPr>
                      <w:rFonts w:hint="eastAsia" w:cs="Times New Roman"/>
                      <w:sz w:val="22"/>
                      <w:szCs w:val="22"/>
                      <w:lang w:val="en-US" w:eastAsia="zh-CN"/>
                    </w:rPr>
                    <w:t>。</w:t>
                  </w:r>
                </w:p>
              </w:tc>
              <w:tc>
                <w:tcPr>
                  <w:tcW w:w="410" w:type="pct"/>
                  <w:noWrap w:val="0"/>
                  <w:vAlign w:val="center"/>
                </w:tcPr>
                <w:p w14:paraId="390D25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49F9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noWrap w:val="0"/>
                  <w:vAlign w:val="center"/>
                </w:tcPr>
                <w:p w14:paraId="3B043F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积极推动</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公转铁</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公转水</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加快重点园区、大型企业和货运枢纽铁路专用线建设。加快推进涡河、沙颍河等航道改造升级，发挥淮河、江淮运河等水运航道作用，提高煤炭、水泥、钢材、粮食等大宗货物水运比例。推广“铁水联运”多式联运。推行短距离运输采用封闭廊道和新能源运输方式。</w:t>
                  </w:r>
                </w:p>
              </w:tc>
              <w:tc>
                <w:tcPr>
                  <w:tcW w:w="1733" w:type="pct"/>
                  <w:gridSpan w:val="2"/>
                  <w:vMerge w:val="continue"/>
                  <w:noWrap w:val="0"/>
                  <w:vAlign w:val="center"/>
                </w:tcPr>
                <w:p w14:paraId="00046F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410" w:type="pct"/>
                  <w:noWrap w:val="0"/>
                  <w:vAlign w:val="center"/>
                </w:tcPr>
                <w:p w14:paraId="3D4A6DB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297C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shd w:val="clear" w:color="auto" w:fill="auto"/>
                  <w:noWrap w:val="0"/>
                  <w:vAlign w:val="center"/>
                </w:tcPr>
                <w:p w14:paraId="0E59CBE2">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加大新能源汽车普及推广力度。开展新能源汽车下乡和“以旧换新”系列活动。以公共领域用车为重点，加快推广新能源汽车应用，新增或更新的公交车、出租车、公务用车、城市物流配送车、轻型环卫车等力争100%使用新能源汽车。在中心城区推广新能源渣土车，积极推进新能源中重型货车在煤炭、建材等大宗货物运输企业及矿山、货场、码头等场景商业化运营。</w:t>
                  </w:r>
                </w:p>
              </w:tc>
              <w:tc>
                <w:tcPr>
                  <w:tcW w:w="1733" w:type="pct"/>
                  <w:gridSpan w:val="2"/>
                  <w:shd w:val="clear" w:color="auto" w:fill="auto"/>
                  <w:noWrap w:val="0"/>
                  <w:vAlign w:val="center"/>
                </w:tcPr>
                <w:p w14:paraId="7BB15D0B">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sz w:val="22"/>
                      <w:szCs w:val="22"/>
                      <w:lang w:val="en-US" w:eastAsia="zh-CN"/>
                    </w:rPr>
                    <w:t>本项目不涉及。</w:t>
                  </w:r>
                </w:p>
              </w:tc>
              <w:tc>
                <w:tcPr>
                  <w:tcW w:w="410" w:type="pct"/>
                  <w:noWrap w:val="0"/>
                  <w:vAlign w:val="center"/>
                </w:tcPr>
                <w:p w14:paraId="0519F2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246C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shd w:val="clear" w:color="auto" w:fill="auto"/>
                  <w:noWrap w:val="0"/>
                  <w:vAlign w:val="center"/>
                </w:tcPr>
                <w:p w14:paraId="7E6771CE">
                  <w:pPr>
                    <w:autoSpaceDE w:val="0"/>
                    <w:autoSpaceDN w:val="0"/>
                    <w:adjustRightInd w:val="0"/>
                    <w:snapToGrid w:val="0"/>
                    <w:spacing w:line="240" w:lineRule="auto"/>
                    <w:jc w:val="left"/>
                    <w:rPr>
                      <w:rFonts w:hint="eastAsia" w:ascii="Times New Roman" w:hAnsi="Times New Roman" w:eastAsia="宋体" w:cs="Times New Roman"/>
                      <w:color w:val="000000"/>
                      <w:sz w:val="21"/>
                      <w:szCs w:val="21"/>
                      <w:vertAlign w:val="baseline"/>
                      <w:lang w:val="en-US" w:eastAsia="zh-CN"/>
                    </w:rPr>
                  </w:pP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四</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开展面源污染减排提升行动</w:t>
                  </w:r>
                </w:p>
              </w:tc>
            </w:tr>
            <w:tr w14:paraId="4655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noWrap w:val="0"/>
                  <w:vAlign w:val="center"/>
                </w:tcPr>
                <w:p w14:paraId="35D04B37">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强化移动源污染综合治理。全面实施机动车排放检验与维护制度，定期进行排放情况抽测。加快推进企业单位使用以新能源为动力的内部作业车辆和机械，全面推广使用新能源非道路移动机械。2025年底前基本淘汰国I及以下排放标准的工程机械。深化非法加油站点整治，加大自备加油站点监管，严厉打击不合格油品。开展油气回收专项排查整治。</w:t>
                  </w:r>
                </w:p>
              </w:tc>
              <w:tc>
                <w:tcPr>
                  <w:tcW w:w="1679" w:type="pct"/>
                  <w:noWrap w:val="0"/>
                  <w:vAlign w:val="center"/>
                </w:tcPr>
                <w:p w14:paraId="0AC6C281">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sz w:val="22"/>
                      <w:szCs w:val="22"/>
                      <w:lang w:val="en-US" w:eastAsia="zh-CN"/>
                    </w:rPr>
                    <w:t>厂内非道路移动机械等特种运输机械</w:t>
                  </w:r>
                  <w:r>
                    <w:rPr>
                      <w:rFonts w:hint="eastAsia" w:cs="Times New Roman"/>
                      <w:sz w:val="22"/>
                      <w:szCs w:val="22"/>
                      <w:lang w:val="en-US" w:eastAsia="zh-CN"/>
                    </w:rPr>
                    <w:t>满足国家使用要求。</w:t>
                  </w:r>
                </w:p>
              </w:tc>
              <w:tc>
                <w:tcPr>
                  <w:tcW w:w="464" w:type="pct"/>
                  <w:gridSpan w:val="2"/>
                  <w:noWrap w:val="0"/>
                  <w:vAlign w:val="center"/>
                </w:tcPr>
                <w:p w14:paraId="60C13C51">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cs="Times New Roman"/>
                      <w:sz w:val="21"/>
                      <w:szCs w:val="21"/>
                      <w:lang w:val="en-US" w:eastAsia="zh-CN"/>
                    </w:rPr>
                    <w:t>符合</w:t>
                  </w:r>
                </w:p>
              </w:tc>
            </w:tr>
            <w:tr w14:paraId="15BE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noWrap w:val="0"/>
                  <w:vAlign w:val="center"/>
                </w:tcPr>
                <w:p w14:paraId="0870B256">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开展恶臭异味专项整治。加强对群众反映强烈的恶臭异味扰民问题排查整治，重点整治工业园区及包装印刷、汽车维修、家具制造等小企业排放的废气和异味。强化黑臭水体治理和污水处理设施运行维护，防止污水异味外溢。加强生活垃圾密闭化收集转运，严防垃圾及渗滤液</w:t>
                  </w:r>
                  <w:r>
                    <w:rPr>
                      <w:rFonts w:hint="eastAsia" w:cs="Times New Roman"/>
                      <w:sz w:val="21"/>
                      <w:szCs w:val="21"/>
                      <w:lang w:val="en-US" w:eastAsia="zh-CN"/>
                    </w:rPr>
                    <w:t>抛洒</w:t>
                  </w:r>
                  <w:r>
                    <w:rPr>
                      <w:rFonts w:hint="default" w:ascii="Times New Roman" w:hAnsi="Times New Roman" w:eastAsia="宋体" w:cs="Times New Roman"/>
                      <w:sz w:val="21"/>
                      <w:szCs w:val="21"/>
                      <w:lang w:val="en-US" w:eastAsia="zh-CN"/>
                    </w:rPr>
                    <w:t>滴漏。</w:t>
                  </w:r>
                </w:p>
              </w:tc>
              <w:tc>
                <w:tcPr>
                  <w:tcW w:w="1679" w:type="pct"/>
                  <w:noWrap w:val="0"/>
                  <w:vAlign w:val="center"/>
                </w:tcPr>
                <w:p w14:paraId="2A29656C">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sz w:val="21"/>
                      <w:szCs w:val="21"/>
                      <w:lang w:val="en-US" w:eastAsia="zh-CN"/>
                    </w:rPr>
                    <w:t>生活垃圾垃圾桶收集后，委托环卫部门采用密闭化收集转运，严防垃圾及渗滤液抛洒滴漏</w:t>
                  </w:r>
                  <w:r>
                    <w:rPr>
                      <w:rFonts w:hint="eastAsia" w:cs="Times New Roman"/>
                      <w:sz w:val="21"/>
                      <w:szCs w:val="21"/>
                      <w:lang w:val="en-US" w:eastAsia="zh-CN"/>
                    </w:rPr>
                    <w:t>。</w:t>
                  </w:r>
                </w:p>
              </w:tc>
              <w:tc>
                <w:tcPr>
                  <w:tcW w:w="464" w:type="pct"/>
                  <w:gridSpan w:val="2"/>
                  <w:noWrap w:val="0"/>
                  <w:vAlign w:val="center"/>
                </w:tcPr>
                <w:p w14:paraId="4D07534F">
                  <w:pPr>
                    <w:autoSpaceDE w:val="0"/>
                    <w:autoSpaceDN w:val="0"/>
                    <w:adjustRightInd w:val="0"/>
                    <w:snapToGrid w:val="0"/>
                    <w:spacing w:line="240" w:lineRule="auto"/>
                    <w:jc w:val="center"/>
                    <w:rPr>
                      <w:rFonts w:hint="eastAsia" w:ascii="Times New Roman" w:hAnsi="Times New Roman" w:eastAsia="宋体" w:cs="Times New Roman"/>
                      <w:color w:val="000000"/>
                      <w:sz w:val="21"/>
                      <w:szCs w:val="21"/>
                      <w:vertAlign w:val="baseline"/>
                      <w:lang w:val="en-US" w:eastAsia="zh-CN"/>
                    </w:rPr>
                  </w:pPr>
                  <w:r>
                    <w:rPr>
                      <w:rFonts w:hint="eastAsia" w:cs="Times New Roman"/>
                      <w:sz w:val="21"/>
                      <w:szCs w:val="21"/>
                      <w:lang w:val="en-US" w:eastAsia="zh-CN"/>
                    </w:rPr>
                    <w:t>符合</w:t>
                  </w:r>
                </w:p>
              </w:tc>
            </w:tr>
            <w:tr w14:paraId="0569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noWrap w:val="0"/>
                  <w:vAlign w:val="center"/>
                </w:tcPr>
                <w:p w14:paraId="1A69EE02">
                  <w:pPr>
                    <w:autoSpaceDE w:val="0"/>
                    <w:autoSpaceDN w:val="0"/>
                    <w:adjustRightInd w:val="0"/>
                    <w:snapToGrid w:val="0"/>
                    <w:spacing w:line="240" w:lineRule="auto"/>
                    <w:jc w:val="left"/>
                    <w:rPr>
                      <w:rFonts w:hint="eastAsia" w:cs="Times New Roman"/>
                      <w:sz w:val="21"/>
                      <w:szCs w:val="21"/>
                      <w:lang w:val="en-US" w:eastAsia="zh-CN"/>
                    </w:rPr>
                  </w:pP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五</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开展减污协同增效提升行动</w:t>
                  </w:r>
                </w:p>
              </w:tc>
            </w:tr>
            <w:tr w14:paraId="681D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55" w:type="pct"/>
                  <w:noWrap w:val="0"/>
                  <w:vAlign w:val="center"/>
                </w:tcPr>
                <w:p w14:paraId="65D4DC40">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强化挥发性有机物深度治理。坚持“源头替代、综合治理、总量削减”原则，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持续开展挥发性有机物无组织排放问题排查整治。到2025年底，六市累计完成挥发性有机物重点工程减排量1万吨。</w:t>
                  </w:r>
                </w:p>
              </w:tc>
              <w:tc>
                <w:tcPr>
                  <w:tcW w:w="1679" w:type="pct"/>
                  <w:noWrap w:val="0"/>
                  <w:vAlign w:val="center"/>
                </w:tcPr>
                <w:p w14:paraId="3C9FDC4C">
                  <w:pPr>
                    <w:autoSpaceDE w:val="0"/>
                    <w:autoSpaceDN w:val="0"/>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考虑到本项目产品使用场景的特殊性，经过建设单位所在协会论证，目前暂时无法使用水性漆等低VOC涂料进行替代</w:t>
                  </w:r>
                  <w:r>
                    <w:rPr>
                      <w:rFonts w:hint="eastAsia" w:cs="Times New Roman"/>
                      <w:sz w:val="21"/>
                      <w:szCs w:val="21"/>
                      <w:lang w:val="en-US" w:eastAsia="zh-CN"/>
                    </w:rPr>
                    <w:t>（详见附件10）</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本项目使用的</w:t>
                  </w:r>
                  <w:r>
                    <w:rPr>
                      <w:rFonts w:hint="eastAsia" w:ascii="Times New Roman" w:hAnsi="Times New Roman" w:cs="Times New Roman"/>
                      <w:sz w:val="21"/>
                      <w:szCs w:val="21"/>
                      <w:lang w:val="en-US" w:eastAsia="zh-CN"/>
                    </w:rPr>
                    <w:t>油漆</w:t>
                  </w:r>
                  <w:r>
                    <w:rPr>
                      <w:rFonts w:hint="eastAsia" w:cs="Times New Roman"/>
                      <w:sz w:val="21"/>
                      <w:szCs w:val="21"/>
                      <w:lang w:val="en-US" w:eastAsia="zh-CN"/>
                    </w:rPr>
                    <w:t>中VOC含量满足《低挥发性有机化合物含量涂料产品技术要求》（GB/T 38597-2020）表2中限量值，同时</w:t>
                  </w:r>
                  <w:r>
                    <w:rPr>
                      <w:rFonts w:hint="default" w:ascii="Times New Roman" w:hAnsi="Times New Roman" w:eastAsia="宋体" w:cs="Times New Roman"/>
                      <w:sz w:val="21"/>
                      <w:szCs w:val="21"/>
                      <w:lang w:val="en-US" w:eastAsia="zh-CN"/>
                    </w:rPr>
                    <w:t>采取密闭桶装，从源头上减少了VOCs产生</w:t>
                  </w:r>
                  <w:r>
                    <w:rPr>
                      <w:rFonts w:hint="eastAsia" w:cs="Times New Roman"/>
                      <w:sz w:val="21"/>
                      <w:szCs w:val="21"/>
                      <w:lang w:val="en-US" w:eastAsia="zh-CN"/>
                    </w:rPr>
                    <w:t>。</w:t>
                  </w:r>
                </w:p>
              </w:tc>
              <w:tc>
                <w:tcPr>
                  <w:tcW w:w="464" w:type="pct"/>
                  <w:gridSpan w:val="2"/>
                  <w:noWrap w:val="0"/>
                  <w:vAlign w:val="center"/>
                </w:tcPr>
                <w:p w14:paraId="12D5EEF3">
                  <w:pPr>
                    <w:autoSpaceDE w:val="0"/>
                    <w:autoSpaceDN w:val="0"/>
                    <w:adjustRightInd w:val="0"/>
                    <w:snapToGrid w:val="0"/>
                    <w:spacing w:line="240" w:lineRule="auto"/>
                    <w:jc w:val="center"/>
                    <w:rPr>
                      <w:rFonts w:hint="eastAsia" w:cs="Times New Roman"/>
                      <w:sz w:val="21"/>
                      <w:szCs w:val="21"/>
                      <w:lang w:val="en-US" w:eastAsia="zh-CN"/>
                    </w:rPr>
                  </w:pPr>
                  <w:r>
                    <w:rPr>
                      <w:rFonts w:hint="eastAsia" w:cs="Times New Roman"/>
                      <w:sz w:val="21"/>
                      <w:szCs w:val="21"/>
                      <w:lang w:val="en-US" w:eastAsia="zh-CN"/>
                    </w:rPr>
                    <w:t>符合</w:t>
                  </w:r>
                </w:p>
              </w:tc>
            </w:tr>
          </w:tbl>
          <w:p w14:paraId="11061608">
            <w:pPr>
              <w:bidi w:val="0"/>
              <w:rPr>
                <w:rFonts w:hint="eastAsia"/>
                <w:lang w:eastAsia="zh-CN"/>
              </w:rPr>
            </w:pPr>
          </w:p>
          <w:p w14:paraId="4542127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4</w:t>
            </w:r>
            <w:r>
              <w:rPr>
                <w:rFonts w:hint="eastAsia" w:ascii="Times New Roman" w:hAnsi="Times New Roman" w:cs="Times New Roman"/>
                <w:color w:val="000000"/>
                <w:sz w:val="24"/>
                <w:szCs w:val="24"/>
                <w:lang w:eastAsia="zh-CN"/>
              </w:rPr>
              <w:t>）与《安徽省生态环境厅关于强化2024-2025秋冬季大气污染防治攻坚工作的通知》2024年10月12日相符性分析</w:t>
            </w:r>
          </w:p>
          <w:p w14:paraId="444395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表1-</w:t>
            </w:r>
            <w:r>
              <w:rPr>
                <w:rFonts w:hint="eastAsia" w:cs="Times New Roman"/>
                <w:b/>
                <w:bCs/>
                <w:color w:val="000000"/>
                <w:sz w:val="21"/>
                <w:szCs w:val="21"/>
                <w:lang w:val="en-US" w:eastAsia="zh-CN"/>
              </w:rPr>
              <w:t>5</w:t>
            </w:r>
            <w:r>
              <w:rPr>
                <w:rFonts w:hint="eastAsia" w:ascii="Times New Roman" w:hAnsi="Times New Roman" w:eastAsia="宋体" w:cs="Times New Roman"/>
                <w:b/>
                <w:bCs/>
                <w:color w:val="000000"/>
                <w:sz w:val="21"/>
                <w:szCs w:val="21"/>
                <w:lang w:val="en-US" w:eastAsia="zh-CN"/>
              </w:rPr>
              <w:t xml:space="preserve">  与2024年10月12日文件相符性分析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8"/>
              <w:gridCol w:w="3369"/>
              <w:gridCol w:w="661"/>
            </w:tblGrid>
            <w:tr w14:paraId="476E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center"/>
                </w:tcPr>
                <w:p w14:paraId="31A852C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c>
                <w:tcPr>
                  <w:tcW w:w="2090" w:type="pct"/>
                  <w:noWrap w:val="0"/>
                  <w:vAlign w:val="center"/>
                </w:tcPr>
                <w:p w14:paraId="7F538B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本项目情况</w:t>
                  </w:r>
                </w:p>
              </w:tc>
              <w:tc>
                <w:tcPr>
                  <w:tcW w:w="410" w:type="pct"/>
                  <w:noWrap w:val="0"/>
                  <w:vAlign w:val="center"/>
                </w:tcPr>
                <w:p w14:paraId="4F4F95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符合性</w:t>
                  </w:r>
                </w:p>
              </w:tc>
            </w:tr>
            <w:tr w14:paraId="35EA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center"/>
                </w:tcPr>
                <w:p w14:paraId="2BDA4F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紧盯重点区域空气质量波动。从重点区</w:t>
                  </w:r>
                  <w:r>
                    <w:rPr>
                      <w:rFonts w:hint="eastAsia" w:cs="Times New Roman"/>
                      <w:color w:val="000000"/>
                      <w:sz w:val="21"/>
                      <w:szCs w:val="21"/>
                      <w:vertAlign w:val="baseline"/>
                      <w:lang w:val="en-US" w:eastAsia="zh-CN"/>
                    </w:rPr>
                    <w:t>域深</w:t>
                  </w:r>
                  <w:r>
                    <w:rPr>
                      <w:rFonts w:hint="default" w:ascii="Times New Roman" w:hAnsi="Times New Roman" w:eastAsia="宋体" w:cs="Times New Roman"/>
                      <w:color w:val="000000"/>
                      <w:sz w:val="21"/>
                      <w:szCs w:val="21"/>
                      <w:vertAlign w:val="baseline"/>
                      <w:lang w:val="en-US" w:eastAsia="zh-CN"/>
                    </w:rPr>
                    <w:t>入摸排工业源、移动源、各类面源，建立站点周边等重点区域的污染源排放现状</w:t>
                  </w:r>
                  <w:r>
                    <w:rPr>
                      <w:rFonts w:hint="eastAsia" w:cs="Times New Roman"/>
                      <w:color w:val="000000"/>
                      <w:sz w:val="21"/>
                      <w:szCs w:val="21"/>
                      <w:vertAlign w:val="baseline"/>
                      <w:lang w:val="en-US" w:eastAsia="zh-CN"/>
                    </w:rPr>
                    <w:t>台账</w:t>
                  </w:r>
                  <w:r>
                    <w:rPr>
                      <w:rFonts w:hint="default" w:ascii="Times New Roman" w:hAnsi="Times New Roman" w:eastAsia="宋体" w:cs="Times New Roman"/>
                      <w:color w:val="000000"/>
                      <w:sz w:val="21"/>
                      <w:szCs w:val="21"/>
                      <w:vertAlign w:val="baseline"/>
                      <w:lang w:val="en-US" w:eastAsia="zh-CN"/>
                    </w:rPr>
                    <w:t>。建立空气质量异常波动响应处置机制，密切关注站点空气质量变化趋势，及时排查发现问题，及时处理解决。</w:t>
                  </w:r>
                </w:p>
              </w:tc>
              <w:tc>
                <w:tcPr>
                  <w:tcW w:w="2090" w:type="pct"/>
                  <w:noWrap w:val="0"/>
                  <w:vAlign w:val="center"/>
                </w:tcPr>
                <w:p w14:paraId="1420E0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rPr>
                    <w:t>项目</w:t>
                  </w:r>
                  <w:r>
                    <w:rPr>
                      <w:rFonts w:hint="default" w:ascii="Times New Roman" w:hAnsi="Times New Roman" w:cs="Times New Roman"/>
                      <w:sz w:val="21"/>
                      <w:szCs w:val="21"/>
                      <w:lang w:val="en-US" w:eastAsia="zh-CN"/>
                    </w:rPr>
                    <w:t>焊接</w:t>
                  </w:r>
                  <w:r>
                    <w:rPr>
                      <w:rFonts w:hint="eastAsia" w:cs="Times New Roman"/>
                      <w:sz w:val="21"/>
                      <w:szCs w:val="21"/>
                      <w:lang w:val="en-US" w:eastAsia="zh-CN"/>
                    </w:rPr>
                    <w:t>、喷砂、喷塑</w:t>
                  </w:r>
                  <w:r>
                    <w:rPr>
                      <w:rFonts w:hint="default" w:ascii="Times New Roman" w:hAnsi="Times New Roman" w:cs="Times New Roman"/>
                      <w:sz w:val="21"/>
                      <w:szCs w:val="21"/>
                      <w:lang w:val="en-US" w:eastAsia="zh-CN"/>
                    </w:rPr>
                    <w:t>工序产生的颗粒物由</w:t>
                  </w:r>
                  <w:r>
                    <w:rPr>
                      <w:rFonts w:hint="default" w:ascii="Times New Roman" w:hAnsi="Times New Roman" w:cs="Times New Roman"/>
                      <w:sz w:val="21"/>
                      <w:szCs w:val="21"/>
                    </w:rPr>
                    <w:t>布袋除尘器处理</w:t>
                  </w:r>
                  <w:r>
                    <w:rPr>
                      <w:rFonts w:hint="eastAsia" w:cs="Times New Roman"/>
                      <w:sz w:val="21"/>
                      <w:szCs w:val="21"/>
                      <w:lang w:val="en-US" w:eastAsia="zh-CN"/>
                    </w:rPr>
                    <w:t>后</w:t>
                  </w:r>
                  <w:r>
                    <w:rPr>
                      <w:rFonts w:hint="default" w:ascii="Times New Roman" w:hAnsi="Times New Roman" w:cs="Times New Roman"/>
                      <w:sz w:val="21"/>
                      <w:szCs w:val="21"/>
                      <w:highlight w:val="none"/>
                      <w:shd w:val="clear"/>
                      <w:lang w:val="en-US" w:eastAsia="zh-CN"/>
                    </w:rPr>
                    <w:t>经2</w:t>
                  </w:r>
                  <w:r>
                    <w:rPr>
                      <w:rFonts w:hint="eastAsia" w:cs="Times New Roman"/>
                      <w:sz w:val="21"/>
                      <w:szCs w:val="21"/>
                      <w:highlight w:val="none"/>
                      <w:shd w:val="clear"/>
                      <w:lang w:val="en-US" w:eastAsia="zh-CN"/>
                    </w:rPr>
                    <w:t>4</w:t>
                  </w:r>
                  <w:r>
                    <w:rPr>
                      <w:rFonts w:hint="default" w:ascii="Times New Roman" w:hAnsi="Times New Roman" w:cs="Times New Roman"/>
                      <w:sz w:val="21"/>
                      <w:szCs w:val="21"/>
                      <w:highlight w:val="none"/>
                      <w:shd w:val="clear"/>
                      <w:lang w:val="en-US" w:eastAsia="zh-CN"/>
                    </w:rPr>
                    <w:t>米高排气筒</w:t>
                  </w:r>
                  <w:r>
                    <w:rPr>
                      <w:rFonts w:hint="eastAsia" w:cs="Times New Roman"/>
                      <w:sz w:val="21"/>
                      <w:szCs w:val="21"/>
                      <w:lang w:val="en-US" w:eastAsia="zh-CN"/>
                    </w:rPr>
                    <w:t>（DA002）</w:t>
                  </w:r>
                  <w:r>
                    <w:rPr>
                      <w:rFonts w:hint="default" w:ascii="Times New Roman" w:hAnsi="Times New Roman" w:cs="Times New Roman"/>
                      <w:sz w:val="21"/>
                      <w:szCs w:val="21"/>
                      <w:highlight w:val="none"/>
                      <w:shd w:val="clear"/>
                      <w:lang w:val="en-US" w:eastAsia="zh-CN"/>
                    </w:rPr>
                    <w:t>排放</w:t>
                  </w:r>
                  <w:r>
                    <w:rPr>
                      <w:rFonts w:hint="eastAsia" w:ascii="Times New Roman" w:hAnsi="Times New Roman" w:cs="Times New Roman"/>
                      <w:sz w:val="21"/>
                      <w:szCs w:val="21"/>
                      <w:highlight w:val="none"/>
                      <w:shd w:val="clear"/>
                      <w:lang w:val="en-US" w:eastAsia="zh-CN"/>
                    </w:rPr>
                    <w:t>；</w:t>
                  </w:r>
                  <w:r>
                    <w:rPr>
                      <w:rFonts w:hint="eastAsia" w:cs="Times New Roman"/>
                      <w:sz w:val="21"/>
                      <w:szCs w:val="21"/>
                      <w:highlight w:val="none"/>
                      <w:shd w:val="clear"/>
                      <w:lang w:val="en-US" w:eastAsia="zh-CN"/>
                    </w:rPr>
                    <w:t>喷漆</w:t>
                  </w:r>
                  <w:r>
                    <w:rPr>
                      <w:rFonts w:hint="eastAsia" w:cs="Times New Roman"/>
                      <w:sz w:val="21"/>
                      <w:szCs w:val="21"/>
                      <w:highlight w:val="none"/>
                      <w:lang w:val="en-US" w:eastAsia="zh-CN"/>
                    </w:rPr>
                    <w:t>（含喷枪清洗、调漆</w:t>
                  </w:r>
                  <w:r>
                    <w:rPr>
                      <w:rFonts w:hint="eastAsia" w:cs="Times New Roman"/>
                      <w:b w:val="0"/>
                      <w:bCs/>
                      <w:sz w:val="21"/>
                      <w:szCs w:val="21"/>
                      <w:vertAlign w:val="baseline"/>
                      <w:lang w:val="en-US" w:eastAsia="zh-CN"/>
                    </w:rPr>
                    <w:t>、晾干</w:t>
                  </w:r>
                  <w:r>
                    <w:rPr>
                      <w:rFonts w:hint="eastAsia" w:cs="Times New Roman"/>
                      <w:sz w:val="21"/>
                      <w:szCs w:val="21"/>
                      <w:highlight w:val="none"/>
                      <w:lang w:val="en-US" w:eastAsia="zh-CN"/>
                    </w:rPr>
                    <w:t>）</w:t>
                  </w:r>
                  <w:r>
                    <w:rPr>
                      <w:rFonts w:hint="eastAsia" w:cs="Times New Roman"/>
                      <w:sz w:val="21"/>
                      <w:szCs w:val="21"/>
                      <w:highlight w:val="none"/>
                      <w:shd w:val="clear"/>
                      <w:lang w:val="en-US" w:eastAsia="zh-CN"/>
                    </w:rPr>
                    <w:t>、烘干、浇注固化工序产生的废气采用</w:t>
                  </w:r>
                  <w:r>
                    <w:rPr>
                      <w:rFonts w:hint="eastAsia" w:ascii="Times New Roman" w:hAnsi="Times New Roman" w:eastAsia="宋体" w:cs="Times New Roman"/>
                      <w:color w:val="000000"/>
                      <w:sz w:val="21"/>
                      <w:szCs w:val="21"/>
                      <w:highlight w:val="none"/>
                      <w:vertAlign w:val="baseline"/>
                      <w:lang w:val="en-US" w:eastAsia="zh-CN"/>
                    </w:rPr>
                    <w:t>空间密闭+管道负压收集，经</w:t>
                  </w:r>
                  <w:r>
                    <w:rPr>
                      <w:rFonts w:hint="eastAsia" w:cs="Times New Roman"/>
                      <w:color w:val="000000"/>
                      <w:sz w:val="21"/>
                      <w:szCs w:val="21"/>
                      <w:highlight w:val="none"/>
                      <w:vertAlign w:val="baseline"/>
                      <w:lang w:val="en-US" w:eastAsia="zh-CN"/>
                    </w:rPr>
                    <w:t>过滤棉+吸附脱附催化燃烧设施</w:t>
                  </w:r>
                  <w:r>
                    <w:rPr>
                      <w:rFonts w:hint="eastAsia" w:ascii="Times New Roman" w:hAnsi="Times New Roman" w:eastAsia="宋体" w:cs="Times New Roman"/>
                      <w:color w:val="000000"/>
                      <w:sz w:val="21"/>
                      <w:szCs w:val="21"/>
                      <w:highlight w:val="none"/>
                      <w:vertAlign w:val="baseline"/>
                      <w:lang w:val="en-US" w:eastAsia="zh-CN"/>
                    </w:rPr>
                    <w:t>处理后，最终通过2</w:t>
                  </w:r>
                  <w:r>
                    <w:rPr>
                      <w:rFonts w:hint="eastAsia" w:cs="Times New Roman"/>
                      <w:color w:val="000000"/>
                      <w:sz w:val="21"/>
                      <w:szCs w:val="21"/>
                      <w:highlight w:val="none"/>
                      <w:vertAlign w:val="baseline"/>
                      <w:lang w:val="en-US" w:eastAsia="zh-CN"/>
                    </w:rPr>
                    <w:t>4</w:t>
                  </w:r>
                  <w:r>
                    <w:rPr>
                      <w:rFonts w:hint="eastAsia" w:ascii="Times New Roman" w:hAnsi="Times New Roman" w:eastAsia="宋体" w:cs="Times New Roman"/>
                      <w:color w:val="000000"/>
                      <w:sz w:val="21"/>
                      <w:szCs w:val="21"/>
                      <w:highlight w:val="none"/>
                      <w:vertAlign w:val="baseline"/>
                      <w:lang w:val="en-US" w:eastAsia="zh-CN"/>
                    </w:rPr>
                    <w:t>米高排气筒</w:t>
                  </w:r>
                  <w:r>
                    <w:rPr>
                      <w:rFonts w:hint="eastAsia" w:cs="Times New Roman"/>
                      <w:sz w:val="21"/>
                      <w:szCs w:val="21"/>
                      <w:lang w:val="en-US" w:eastAsia="zh-CN"/>
                    </w:rPr>
                    <w:t>（DA001）</w:t>
                  </w:r>
                  <w:r>
                    <w:rPr>
                      <w:rFonts w:hint="eastAsia" w:ascii="Times New Roman" w:hAnsi="Times New Roman" w:eastAsia="宋体" w:cs="Times New Roman"/>
                      <w:color w:val="000000"/>
                      <w:sz w:val="21"/>
                      <w:szCs w:val="21"/>
                      <w:highlight w:val="none"/>
                      <w:vertAlign w:val="baseline"/>
                      <w:lang w:val="en-US" w:eastAsia="zh-CN"/>
                    </w:rPr>
                    <w:t>达标排放</w:t>
                  </w:r>
                </w:p>
              </w:tc>
              <w:tc>
                <w:tcPr>
                  <w:tcW w:w="410" w:type="pct"/>
                  <w:noWrap w:val="0"/>
                  <w:vAlign w:val="center"/>
                </w:tcPr>
                <w:p w14:paraId="294D42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7F06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center"/>
                </w:tcPr>
                <w:p w14:paraId="26474D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加强各类扬尘精细化管控。建筑施工严格执行“六个百分百”，持续强化道路扬尘整治，推进吸尘式机械化湿式清扫作业，加大城市外环路、城市出入口等重要路段洒扫保洁力度积极借鉴江苏南京等地经验做法，在有条件的施工项目推广高杆喷淋、“天幕”系统等设备,推广新能源混凝土搅拌车和工程机械</w:t>
                  </w:r>
                  <w:r>
                    <w:rPr>
                      <w:rFonts w:hint="eastAsia" w:ascii="Times New Roman" w:hAnsi="Times New Roman" w:eastAsia="宋体" w:cs="Times New Roman"/>
                      <w:color w:val="000000"/>
                      <w:sz w:val="21"/>
                      <w:szCs w:val="21"/>
                      <w:vertAlign w:val="baseline"/>
                      <w:lang w:val="en-US" w:eastAsia="zh-CN"/>
                    </w:rPr>
                    <w:t>，</w:t>
                  </w:r>
                  <w:r>
                    <w:rPr>
                      <w:rFonts w:hint="default" w:ascii="Times New Roman" w:hAnsi="Times New Roman" w:eastAsia="宋体" w:cs="Times New Roman"/>
                      <w:color w:val="000000"/>
                      <w:sz w:val="21"/>
                      <w:szCs w:val="21"/>
                      <w:vertAlign w:val="baseline"/>
                      <w:lang w:val="en-US" w:eastAsia="zh-CN"/>
                    </w:rPr>
                    <w:t>进一步减少废气排放。</w:t>
                  </w:r>
                </w:p>
              </w:tc>
              <w:tc>
                <w:tcPr>
                  <w:tcW w:w="2090" w:type="pct"/>
                  <w:noWrap w:val="0"/>
                  <w:vAlign w:val="center"/>
                </w:tcPr>
                <w:p w14:paraId="0190D1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w:t>
                  </w:r>
                  <w:r>
                    <w:rPr>
                      <w:rFonts w:hint="eastAsia" w:ascii="Times New Roman" w:hAnsi="Times New Roman" w:eastAsia="宋体" w:cs="Times New Roman"/>
                      <w:color w:val="000000"/>
                      <w:sz w:val="21"/>
                      <w:szCs w:val="21"/>
                      <w:vertAlign w:val="baseline"/>
                      <w:lang w:val="en-US" w:eastAsia="zh-CN"/>
                    </w:rPr>
                    <w:t>施工期间严格按照一天三次洒水降尘，建筑垃圾按要求运输，工人生活垃圾由环卫部门统一运输。</w:t>
                  </w:r>
                </w:p>
              </w:tc>
              <w:tc>
                <w:tcPr>
                  <w:tcW w:w="410" w:type="pct"/>
                  <w:noWrap w:val="0"/>
                  <w:vAlign w:val="center"/>
                </w:tcPr>
                <w:p w14:paraId="1CC665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bl>
          <w:p w14:paraId="5D1F01E4">
            <w:pPr>
              <w:bidi w:val="0"/>
              <w:rPr>
                <w:rFonts w:hint="default"/>
                <w:lang w:val="en-US" w:eastAsia="zh-CN"/>
              </w:rPr>
            </w:pPr>
          </w:p>
          <w:p w14:paraId="420F8C4C">
            <w:pPr>
              <w:autoSpaceDE w:val="0"/>
              <w:autoSpaceDN w:val="0"/>
              <w:adjustRightInd w:val="0"/>
              <w:snapToGrid w:val="0"/>
              <w:spacing w:line="360" w:lineRule="auto"/>
              <w:ind w:firstLine="480" w:firstLineChars="200"/>
              <w:jc w:val="both"/>
              <w:rPr>
                <w:rFonts w:hint="eastAsia"/>
                <w:color w:val="000000"/>
                <w:kern w:val="0"/>
                <w:sz w:val="24"/>
                <w:szCs w:val="24"/>
                <w:lang w:val="en-US" w:eastAsia="zh-CN"/>
              </w:rPr>
            </w:pP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5</w:t>
            </w:r>
            <w:r>
              <w:rPr>
                <w:rFonts w:hint="default" w:ascii="Times New Roman" w:hAnsi="Times New Roman" w:eastAsia="宋体" w:cs="Times New Roman"/>
                <w:color w:val="000000"/>
                <w:kern w:val="2"/>
                <w:sz w:val="24"/>
                <w:szCs w:val="24"/>
                <w:lang w:val="en-US" w:eastAsia="zh-CN" w:bidi="ar-SA"/>
              </w:rPr>
              <w:t>）</w:t>
            </w:r>
            <w:r>
              <w:rPr>
                <w:rFonts w:hint="eastAsia"/>
                <w:color w:val="000000"/>
                <w:kern w:val="0"/>
                <w:sz w:val="24"/>
                <w:szCs w:val="24"/>
                <w:lang w:val="en-US" w:eastAsia="zh-CN"/>
              </w:rPr>
              <w:t>与《关于印发〈重点行业挥发性有机物综合治理方案〉的通知》（环大气〔2019〕53号）的相符性分析</w:t>
            </w:r>
          </w:p>
          <w:p w14:paraId="12D79C18">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default" w:ascii="Times New Roman" w:hAnsi="Times New Roman"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表1-</w:t>
            </w:r>
            <w:r>
              <w:rPr>
                <w:rFonts w:hint="eastAsia" w:cs="Times New Roman"/>
                <w:b/>
                <w:bCs/>
                <w:kern w:val="0"/>
                <w:sz w:val="21"/>
                <w:szCs w:val="21"/>
                <w:lang w:val="en-US" w:eastAsia="zh-CN"/>
              </w:rPr>
              <w:t>6</w:t>
            </w:r>
            <w:r>
              <w:rPr>
                <w:rFonts w:hint="default" w:ascii="Times New Roman" w:hAnsi="Times New Roman" w:eastAsia="宋体" w:cs="Times New Roman"/>
                <w:b/>
                <w:bCs/>
                <w:kern w:val="0"/>
                <w:sz w:val="21"/>
                <w:szCs w:val="21"/>
                <w:lang w:val="en-US" w:eastAsia="zh-CN"/>
              </w:rPr>
              <w:t xml:space="preserve">  与</w:t>
            </w:r>
            <w:r>
              <w:rPr>
                <w:rFonts w:hint="default" w:ascii="Times New Roman" w:hAnsi="Times New Roman" w:eastAsia="宋体" w:cs="Times New Roman"/>
                <w:b/>
                <w:bCs/>
                <w:kern w:val="0"/>
                <w:sz w:val="21"/>
                <w:szCs w:val="21"/>
                <w:highlight w:val="none"/>
                <w:lang w:val="en-US" w:eastAsia="zh-CN"/>
              </w:rPr>
              <w:t>环大气〔2019〕53号相</w:t>
            </w:r>
            <w:r>
              <w:rPr>
                <w:rFonts w:hint="default" w:ascii="Times New Roman" w:hAnsi="Times New Roman" w:eastAsia="宋体" w:cs="Times New Roman"/>
                <w:b/>
                <w:bCs/>
                <w:kern w:val="0"/>
                <w:sz w:val="21"/>
                <w:szCs w:val="21"/>
                <w:lang w:val="en-US" w:eastAsia="zh-CN"/>
              </w:rPr>
              <w:t>符性分析一览表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719"/>
              <w:gridCol w:w="2424"/>
              <w:gridCol w:w="744"/>
            </w:tblGrid>
            <w:tr w14:paraId="4CFC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719" w:type="dxa"/>
                  <w:vAlign w:val="center"/>
                </w:tcPr>
                <w:p w14:paraId="1435CE69">
                  <w:pPr>
                    <w:autoSpaceDE w:val="0"/>
                    <w:autoSpaceDN w:val="0"/>
                    <w:adjustRightInd w:val="0"/>
                    <w:snapToGrid w:val="0"/>
                    <w:spacing w:line="240" w:lineRule="auto"/>
                    <w:jc w:val="center"/>
                    <w:rPr>
                      <w:rFonts w:hint="default" w:ascii="Times New Roman" w:hAnsi="Times New Roman" w:cs="Times New Roman"/>
                      <w:b/>
                      <w:bCs/>
                      <w:kern w:val="0"/>
                      <w:sz w:val="21"/>
                      <w:szCs w:val="21"/>
                      <w:vertAlign w:val="baseline"/>
                      <w:lang w:eastAsia="zh-CN"/>
                    </w:rPr>
                  </w:pPr>
                  <w:r>
                    <w:rPr>
                      <w:rFonts w:hint="default" w:ascii="Times New Roman" w:hAnsi="Times New Roman" w:cs="Times New Roman"/>
                      <w:b/>
                      <w:bCs/>
                      <w:kern w:val="0"/>
                      <w:sz w:val="21"/>
                      <w:szCs w:val="21"/>
                      <w:vertAlign w:val="baseline"/>
                      <w:lang w:eastAsia="zh-CN"/>
                    </w:rPr>
                    <w:t>文件相关内容</w:t>
                  </w:r>
                </w:p>
              </w:tc>
              <w:tc>
                <w:tcPr>
                  <w:tcW w:w="2424" w:type="dxa"/>
                  <w:vAlign w:val="center"/>
                </w:tcPr>
                <w:p w14:paraId="20297A0A">
                  <w:pPr>
                    <w:autoSpaceDE w:val="0"/>
                    <w:autoSpaceDN w:val="0"/>
                    <w:adjustRightInd w:val="0"/>
                    <w:snapToGrid w:val="0"/>
                    <w:spacing w:line="240" w:lineRule="auto"/>
                    <w:jc w:val="center"/>
                    <w:rPr>
                      <w:rFonts w:hint="default" w:ascii="Times New Roman" w:hAnsi="Times New Roman" w:cs="Times New Roman"/>
                      <w:b/>
                      <w:bCs/>
                      <w:kern w:val="0"/>
                      <w:sz w:val="21"/>
                      <w:szCs w:val="21"/>
                      <w:vertAlign w:val="baseline"/>
                      <w:lang w:eastAsia="zh-CN"/>
                    </w:rPr>
                  </w:pPr>
                  <w:r>
                    <w:rPr>
                      <w:rFonts w:hint="default" w:ascii="Times New Roman" w:hAnsi="Times New Roman" w:cs="Times New Roman"/>
                      <w:b/>
                      <w:bCs/>
                      <w:kern w:val="0"/>
                      <w:sz w:val="21"/>
                      <w:szCs w:val="21"/>
                      <w:vertAlign w:val="baseline"/>
                      <w:lang w:val="en-US" w:eastAsia="zh-CN"/>
                    </w:rPr>
                    <w:t>本项目情况</w:t>
                  </w:r>
                </w:p>
              </w:tc>
              <w:tc>
                <w:tcPr>
                  <w:tcW w:w="744" w:type="dxa"/>
                  <w:vAlign w:val="center"/>
                </w:tcPr>
                <w:p w14:paraId="0D593772">
                  <w:pPr>
                    <w:autoSpaceDE w:val="0"/>
                    <w:autoSpaceDN w:val="0"/>
                    <w:adjustRightInd w:val="0"/>
                    <w:snapToGrid w:val="0"/>
                    <w:spacing w:line="240" w:lineRule="auto"/>
                    <w:jc w:val="center"/>
                    <w:rPr>
                      <w:rFonts w:hint="default" w:ascii="Times New Roman" w:hAnsi="Times New Roman" w:cs="Times New Roman"/>
                      <w:b/>
                      <w:bCs/>
                      <w:kern w:val="0"/>
                      <w:sz w:val="21"/>
                      <w:szCs w:val="21"/>
                      <w:vertAlign w:val="baseline"/>
                      <w:lang w:eastAsia="zh-CN"/>
                    </w:rPr>
                  </w:pPr>
                  <w:r>
                    <w:rPr>
                      <w:rFonts w:hint="default" w:ascii="Times New Roman" w:hAnsi="Times New Roman" w:cs="Times New Roman"/>
                      <w:b/>
                      <w:bCs/>
                      <w:kern w:val="0"/>
                      <w:sz w:val="21"/>
                      <w:szCs w:val="21"/>
                      <w:vertAlign w:val="baseline"/>
                      <w:lang w:val="en-US" w:eastAsia="zh-CN"/>
                    </w:rPr>
                    <w:t>是否符合</w:t>
                  </w:r>
                </w:p>
              </w:tc>
            </w:tr>
            <w:tr w14:paraId="0E6F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719" w:type="dxa"/>
                  <w:vAlign w:val="center"/>
                </w:tcPr>
                <w:p w14:paraId="714570F5">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化工行业要推广使用低(无)VOC</w:t>
                  </w:r>
                  <w:r>
                    <w:rPr>
                      <w:rFonts w:hint="default" w:ascii="Times New Roman" w:hAnsi="Times New Roman" w:cs="Times New Roman"/>
                      <w:sz w:val="21"/>
                      <w:szCs w:val="21"/>
                      <w:lang w:val="en-US" w:eastAsia="zh-CN"/>
                    </w:rPr>
                    <w:t>s</w:t>
                  </w:r>
                  <w:r>
                    <w:rPr>
                      <w:rFonts w:hint="default" w:ascii="Times New Roman" w:hAnsi="Times New Roman" w:eastAsia="宋体" w:cs="Times New Roman"/>
                      <w:sz w:val="21"/>
                      <w:szCs w:val="21"/>
                      <w:lang w:val="en-US" w:eastAsia="zh-CN"/>
                    </w:rPr>
                    <w:t>含量、低反应活性的原辅材料，加快对芳香烃、含卤素有机化合物的绿色替代。企业应大力推广使用低VOC</w:t>
                  </w:r>
                  <w:r>
                    <w:rPr>
                      <w:rFonts w:hint="default" w:ascii="Times New Roman" w:hAnsi="Times New Roman" w:cs="Times New Roman"/>
                      <w:sz w:val="21"/>
                      <w:szCs w:val="21"/>
                      <w:lang w:val="en-US" w:eastAsia="zh-CN"/>
                    </w:rPr>
                    <w:t>s</w:t>
                  </w:r>
                  <w:r>
                    <w:rPr>
                      <w:rFonts w:hint="default" w:ascii="Times New Roman" w:hAnsi="Times New Roman" w:eastAsia="宋体" w:cs="Times New Roman"/>
                      <w:sz w:val="21"/>
                      <w:szCs w:val="21"/>
                      <w:lang w:val="en-US" w:eastAsia="zh-CN"/>
                    </w:rPr>
                    <w:t>含量木器涂料、车辆涂料、机械设备涂料、集装箱涂料以及建筑物和构筑物防护涂料等，在技术成熟的行业，推广使用低VOC</w:t>
                  </w:r>
                  <w:r>
                    <w:rPr>
                      <w:rFonts w:hint="default" w:ascii="Times New Roman" w:hAnsi="Times New Roman" w:cs="Times New Roman"/>
                      <w:sz w:val="21"/>
                      <w:szCs w:val="21"/>
                      <w:lang w:val="en-US" w:eastAsia="zh-CN"/>
                    </w:rPr>
                    <w:t>s</w:t>
                  </w:r>
                  <w:r>
                    <w:rPr>
                      <w:rFonts w:hint="default" w:ascii="Times New Roman" w:hAnsi="Times New Roman" w:eastAsia="宋体" w:cs="Times New Roman"/>
                      <w:sz w:val="21"/>
                      <w:szCs w:val="21"/>
                      <w:lang w:val="en-US" w:eastAsia="zh-CN"/>
                    </w:rPr>
                    <w:t>含量油墨和胶粘剂，重点区域到2020年年底前基本完成。鼓励加快低VOCs含量涂料、油墨、胶粘剂等研发和生产</w:t>
                  </w:r>
                </w:p>
              </w:tc>
              <w:tc>
                <w:tcPr>
                  <w:tcW w:w="2424" w:type="dxa"/>
                  <w:vAlign w:val="center"/>
                </w:tcPr>
                <w:p w14:paraId="595C5D8D">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考虑到本项目产品使用场景的特殊性，经过建设单位所在协会论证，目前暂时无法使用水性漆等低VOC涂料进行替代。</w:t>
                  </w:r>
                  <w:r>
                    <w:rPr>
                      <w:rFonts w:hint="default" w:ascii="Times New Roman" w:hAnsi="Times New Roman" w:eastAsia="宋体" w:cs="Times New Roman"/>
                      <w:sz w:val="21"/>
                      <w:szCs w:val="21"/>
                      <w:lang w:val="en-US" w:eastAsia="zh-CN"/>
                    </w:rPr>
                    <w:t>本项目使用的</w:t>
                  </w:r>
                  <w:r>
                    <w:rPr>
                      <w:rFonts w:hint="eastAsia" w:ascii="Times New Roman" w:hAnsi="Times New Roman" w:cs="Times New Roman"/>
                      <w:sz w:val="21"/>
                      <w:szCs w:val="21"/>
                      <w:lang w:val="en-US" w:eastAsia="zh-CN"/>
                    </w:rPr>
                    <w:t>油漆</w:t>
                  </w:r>
                  <w:r>
                    <w:rPr>
                      <w:rFonts w:hint="eastAsia" w:cs="Times New Roman"/>
                      <w:sz w:val="21"/>
                      <w:szCs w:val="21"/>
                      <w:lang w:val="en-US" w:eastAsia="zh-CN"/>
                    </w:rPr>
                    <w:t>中VOC含量满足《低挥发性有机化合物含量涂料产品技术要求》（GB/T 38597-2020）表2中限量值，同时</w:t>
                  </w:r>
                  <w:r>
                    <w:rPr>
                      <w:rFonts w:hint="default" w:ascii="Times New Roman" w:hAnsi="Times New Roman" w:eastAsia="宋体" w:cs="Times New Roman"/>
                      <w:sz w:val="21"/>
                      <w:szCs w:val="21"/>
                      <w:lang w:val="en-US" w:eastAsia="zh-CN"/>
                    </w:rPr>
                    <w:t>采取密闭桶装，从源头上减少了VOCs产生</w:t>
                  </w:r>
                  <w:r>
                    <w:rPr>
                      <w:rFonts w:hint="eastAsia" w:cs="Times New Roman"/>
                      <w:sz w:val="21"/>
                      <w:szCs w:val="21"/>
                      <w:lang w:val="en-US" w:eastAsia="zh-CN"/>
                    </w:rPr>
                    <w:t>。</w:t>
                  </w:r>
                </w:p>
              </w:tc>
              <w:tc>
                <w:tcPr>
                  <w:tcW w:w="744" w:type="dxa"/>
                  <w:vAlign w:val="center"/>
                </w:tcPr>
                <w:p w14:paraId="7D38BA92">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14:paraId="664F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719" w:type="dxa"/>
                  <w:vAlign w:val="center"/>
                </w:tcPr>
                <w:p w14:paraId="2C187651">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default" w:ascii="Times New Roman" w:hAnsi="Times New Roman" w:cs="Times New Roman"/>
                      <w:sz w:val="21"/>
                      <w:szCs w:val="21"/>
                      <w:lang w:val="en-US"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424" w:type="dxa"/>
                  <w:vAlign w:val="center"/>
                </w:tcPr>
                <w:p w14:paraId="493AF93C">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本项目有机</w:t>
                  </w:r>
                  <w:r>
                    <w:rPr>
                      <w:rFonts w:hint="default" w:ascii="Times New Roman" w:hAnsi="Times New Roman" w:eastAsia="宋体" w:cs="Times New Roman"/>
                      <w:sz w:val="21"/>
                      <w:szCs w:val="21"/>
                      <w:lang w:val="en-US" w:eastAsia="zh-CN"/>
                    </w:rPr>
                    <w:t>废气</w:t>
                  </w:r>
                  <w:r>
                    <w:rPr>
                      <w:rFonts w:hint="eastAsia" w:cs="Times New Roman"/>
                      <w:sz w:val="21"/>
                      <w:szCs w:val="21"/>
                      <w:highlight w:val="none"/>
                      <w:shd w:val="clear"/>
                      <w:lang w:val="en-US" w:eastAsia="zh-CN"/>
                    </w:rPr>
                    <w:t>采用</w:t>
                  </w:r>
                  <w:r>
                    <w:rPr>
                      <w:rFonts w:hint="eastAsia" w:ascii="Times New Roman" w:hAnsi="Times New Roman" w:eastAsia="宋体" w:cs="Times New Roman"/>
                      <w:color w:val="000000"/>
                      <w:sz w:val="21"/>
                      <w:szCs w:val="21"/>
                      <w:highlight w:val="none"/>
                      <w:vertAlign w:val="baseline"/>
                      <w:lang w:val="en-US" w:eastAsia="zh-CN"/>
                    </w:rPr>
                    <w:t>空间密闭+管道负压收集，经</w:t>
                  </w:r>
                  <w:r>
                    <w:rPr>
                      <w:rFonts w:hint="eastAsia" w:cs="Times New Roman"/>
                      <w:color w:val="000000"/>
                      <w:sz w:val="21"/>
                      <w:szCs w:val="21"/>
                      <w:highlight w:val="none"/>
                      <w:vertAlign w:val="baseline"/>
                      <w:lang w:val="en-US" w:eastAsia="zh-CN"/>
                    </w:rPr>
                    <w:t>过滤棉+吸附脱附催化燃烧设施</w:t>
                  </w:r>
                  <w:r>
                    <w:rPr>
                      <w:rFonts w:hint="eastAsia" w:ascii="Times New Roman" w:hAnsi="Times New Roman" w:eastAsia="宋体" w:cs="Times New Roman"/>
                      <w:color w:val="000000"/>
                      <w:sz w:val="21"/>
                      <w:szCs w:val="21"/>
                      <w:highlight w:val="none"/>
                      <w:vertAlign w:val="baseline"/>
                      <w:lang w:val="en-US" w:eastAsia="zh-CN"/>
                    </w:rPr>
                    <w:t>处理后，最终通过2</w:t>
                  </w:r>
                  <w:r>
                    <w:rPr>
                      <w:rFonts w:hint="eastAsia" w:cs="Times New Roman"/>
                      <w:color w:val="000000"/>
                      <w:sz w:val="21"/>
                      <w:szCs w:val="21"/>
                      <w:highlight w:val="none"/>
                      <w:vertAlign w:val="baseline"/>
                      <w:lang w:val="en-US" w:eastAsia="zh-CN"/>
                    </w:rPr>
                    <w:t>4</w:t>
                  </w:r>
                  <w:r>
                    <w:rPr>
                      <w:rFonts w:hint="eastAsia" w:ascii="Times New Roman" w:hAnsi="Times New Roman" w:eastAsia="宋体" w:cs="Times New Roman"/>
                      <w:color w:val="000000"/>
                      <w:sz w:val="21"/>
                      <w:szCs w:val="21"/>
                      <w:highlight w:val="none"/>
                      <w:vertAlign w:val="baseline"/>
                      <w:lang w:val="en-US" w:eastAsia="zh-CN"/>
                    </w:rPr>
                    <w:t>米高排气筒</w:t>
                  </w:r>
                  <w:r>
                    <w:rPr>
                      <w:rFonts w:hint="eastAsia" w:cs="Times New Roman"/>
                      <w:sz w:val="21"/>
                      <w:szCs w:val="21"/>
                      <w:lang w:val="en-US" w:eastAsia="zh-CN"/>
                    </w:rPr>
                    <w:t>（DA001）</w:t>
                  </w:r>
                  <w:r>
                    <w:rPr>
                      <w:rFonts w:hint="eastAsia" w:ascii="Times New Roman" w:hAnsi="Times New Roman" w:eastAsia="宋体" w:cs="Times New Roman"/>
                      <w:color w:val="000000"/>
                      <w:sz w:val="21"/>
                      <w:szCs w:val="21"/>
                      <w:highlight w:val="none"/>
                      <w:vertAlign w:val="baseline"/>
                      <w:lang w:val="en-US" w:eastAsia="zh-CN"/>
                    </w:rPr>
                    <w:t>达标排放</w:t>
                  </w:r>
                  <w:r>
                    <w:rPr>
                      <w:rFonts w:hint="eastAsia" w:ascii="Times New Roman" w:hAnsi="Times New Roman" w:cs="Times New Roman"/>
                      <w:color w:val="000000"/>
                      <w:sz w:val="21"/>
                      <w:szCs w:val="21"/>
                      <w:highlight w:val="none"/>
                      <w:vertAlign w:val="baseline"/>
                      <w:lang w:val="en-US" w:eastAsia="zh-CN"/>
                    </w:rPr>
                    <w:t>。</w:t>
                  </w:r>
                </w:p>
              </w:tc>
              <w:tc>
                <w:tcPr>
                  <w:tcW w:w="744" w:type="dxa"/>
                  <w:vAlign w:val="center"/>
                </w:tcPr>
                <w:p w14:paraId="2765633C">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bl>
          <w:p w14:paraId="030317A1">
            <w:pPr>
              <w:bidi w:val="0"/>
              <w:rPr>
                <w:rFonts w:hint="default"/>
                <w:lang w:val="en-US" w:eastAsia="zh-CN"/>
              </w:rPr>
            </w:pPr>
          </w:p>
          <w:p w14:paraId="3B707C5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6</w:t>
            </w:r>
            <w:r>
              <w:rPr>
                <w:rFonts w:hint="default"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sz w:val="24"/>
                <w:szCs w:val="24"/>
                <w:lang w:val="en-US" w:eastAsia="zh-CN"/>
              </w:rPr>
              <w:t>与安徽省人民政府《关于印发安徽省空气质量持续改善行动方案的通知》（皖政〔2024〕36号）相符性</w:t>
            </w:r>
            <w:r>
              <w:rPr>
                <w:rFonts w:hint="eastAsia" w:ascii="Times New Roman" w:hAnsi="Times New Roman" w:eastAsia="宋体" w:cs="Times New Roman"/>
                <w:color w:val="000000"/>
                <w:sz w:val="24"/>
                <w:szCs w:val="24"/>
                <w:lang w:val="en-US" w:eastAsia="zh-CN"/>
              </w:rPr>
              <w:t>分析</w:t>
            </w:r>
          </w:p>
          <w:p w14:paraId="3C66FB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表1-</w:t>
            </w:r>
            <w:r>
              <w:rPr>
                <w:rFonts w:hint="eastAsia" w:cs="Times New Roman"/>
                <w:b/>
                <w:bCs/>
                <w:color w:val="000000"/>
                <w:sz w:val="21"/>
                <w:szCs w:val="21"/>
                <w:lang w:val="en-US" w:eastAsia="zh-CN"/>
              </w:rPr>
              <w:t>7</w:t>
            </w:r>
            <w:r>
              <w:rPr>
                <w:rFonts w:hint="eastAsia" w:ascii="Times New Roman" w:hAnsi="Times New Roman" w:eastAsia="宋体" w:cs="Times New Roman"/>
                <w:b/>
                <w:bCs/>
                <w:color w:val="000000"/>
                <w:sz w:val="21"/>
                <w:szCs w:val="21"/>
                <w:lang w:val="en-US" w:eastAsia="zh-CN"/>
              </w:rPr>
              <w:t xml:space="preserve">  与</w:t>
            </w:r>
            <w:r>
              <w:rPr>
                <w:rFonts w:hint="eastAsia" w:ascii="Times New Roman" w:hAnsi="Times New Roman" w:eastAsia="宋体" w:cs="Times New Roman"/>
                <w:b/>
                <w:bCs/>
                <w:color w:val="000000"/>
                <w:sz w:val="21"/>
                <w:szCs w:val="21"/>
                <w:highlight w:val="none"/>
                <w:lang w:val="en-US" w:eastAsia="zh-CN"/>
              </w:rPr>
              <w:t>皖政〔2024〕36 号</w:t>
            </w:r>
            <w:r>
              <w:rPr>
                <w:rFonts w:hint="eastAsia" w:ascii="Times New Roman" w:hAnsi="Times New Roman" w:eastAsia="宋体" w:cs="Times New Roman"/>
                <w:b/>
                <w:bCs/>
                <w:color w:val="000000"/>
                <w:sz w:val="21"/>
                <w:szCs w:val="21"/>
                <w:lang w:val="en-US" w:eastAsia="zh-CN"/>
              </w:rPr>
              <w:t>文件相符性分析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1"/>
              <w:gridCol w:w="2219"/>
              <w:gridCol w:w="87"/>
              <w:gridCol w:w="661"/>
            </w:tblGrid>
            <w:tr w14:paraId="555F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8" w:type="pct"/>
                  <w:noWrap w:val="0"/>
                  <w:vAlign w:val="center"/>
                </w:tcPr>
                <w:p w14:paraId="2A6241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内容</w:t>
                  </w:r>
                </w:p>
              </w:tc>
              <w:tc>
                <w:tcPr>
                  <w:tcW w:w="1430" w:type="pct"/>
                  <w:gridSpan w:val="2"/>
                  <w:noWrap w:val="0"/>
                  <w:vAlign w:val="center"/>
                </w:tcPr>
                <w:p w14:paraId="0F740C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本项目情况</w:t>
                  </w:r>
                </w:p>
              </w:tc>
              <w:tc>
                <w:tcPr>
                  <w:tcW w:w="410" w:type="pct"/>
                  <w:noWrap w:val="0"/>
                  <w:vAlign w:val="center"/>
                </w:tcPr>
                <w:p w14:paraId="6FA10E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符合性</w:t>
                  </w:r>
                </w:p>
              </w:tc>
            </w:tr>
            <w:tr w14:paraId="4FD1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noWrap w:val="0"/>
                  <w:vAlign w:val="center"/>
                </w:tcPr>
                <w:p w14:paraId="6B2D4F2A">
                  <w:pPr>
                    <w:autoSpaceDE w:val="0"/>
                    <w:autoSpaceDN w:val="0"/>
                    <w:adjustRightInd w:val="0"/>
                    <w:snapToGrid w:val="0"/>
                    <w:spacing w:line="240" w:lineRule="auto"/>
                    <w:jc w:val="left"/>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二、优化调整产业结构布局</w:t>
                  </w:r>
                </w:p>
              </w:tc>
            </w:tr>
            <w:tr w14:paraId="024B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8" w:type="pct"/>
                  <w:noWrap w:val="0"/>
                  <w:vAlign w:val="center"/>
                </w:tcPr>
                <w:p w14:paraId="722EAF12">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376" w:type="pct"/>
                  <w:noWrap w:val="0"/>
                  <w:vAlign w:val="center"/>
                </w:tcPr>
                <w:p w14:paraId="5C6C76E4">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本项目属于</w:t>
                  </w:r>
                  <w:r>
                    <w:rPr>
                      <w:rFonts w:hint="eastAsia" w:ascii="Times New Roman" w:hAnsi="Times New Roman" w:eastAsia="宋体" w:cs="Times New Roman"/>
                      <w:sz w:val="21"/>
                      <w:szCs w:val="21"/>
                      <w:lang w:val="en-US" w:eastAsia="zh-CN"/>
                    </w:rPr>
                    <w:t>C</w:t>
                  </w:r>
                  <w:r>
                    <w:rPr>
                      <w:rFonts w:hint="eastAsia" w:ascii="Times New Roman" w:hAnsi="Times New Roman" w:cs="Times New Roman"/>
                      <w:sz w:val="21"/>
                      <w:szCs w:val="21"/>
                      <w:lang w:val="en-US" w:eastAsia="zh-CN"/>
                    </w:rPr>
                    <w:t>3461</w:t>
                  </w:r>
                  <w:r>
                    <w:rPr>
                      <w:rFonts w:hint="eastAsia"/>
                      <w:bCs/>
                      <w:sz w:val="21"/>
                      <w:szCs w:val="21"/>
                      <w:highlight w:val="none"/>
                      <w:lang w:val="en-US" w:eastAsia="zh-CN"/>
                    </w:rPr>
                    <w:t>烘炉、熔炉及电炉制造</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不属于</w:t>
                  </w:r>
                  <w:r>
                    <w:rPr>
                      <w:rFonts w:hint="default" w:ascii="Times New Roman" w:hAnsi="Times New Roman" w:eastAsia="宋体" w:cs="Times New Roman"/>
                      <w:sz w:val="21"/>
                      <w:szCs w:val="21"/>
                      <w:lang w:val="en-US" w:eastAsia="zh-CN"/>
                    </w:rPr>
                    <w:t>高耗能、高排放、低水平项目</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本项目已</w:t>
                  </w:r>
                  <w:r>
                    <w:rPr>
                      <w:rFonts w:hint="eastAsia" w:ascii="Times New Roman" w:hAnsi="Times New Roman" w:eastAsia="宋体" w:cs="Times New Roman"/>
                      <w:sz w:val="21"/>
                      <w:szCs w:val="21"/>
                      <w:lang w:val="en-US" w:eastAsia="zh-CN"/>
                    </w:rPr>
                    <w:t>取得</w:t>
                  </w:r>
                  <w:r>
                    <w:rPr>
                      <w:rFonts w:hint="eastAsia" w:cs="Times New Roman"/>
                      <w:sz w:val="21"/>
                      <w:szCs w:val="21"/>
                      <w:lang w:val="en-US" w:eastAsia="zh-CN"/>
                    </w:rPr>
                    <w:t>安徽省淮北市杜集区发展和改革委员会</w:t>
                  </w:r>
                  <w:r>
                    <w:rPr>
                      <w:rFonts w:hint="eastAsia" w:ascii="Times New Roman" w:hAnsi="Times New Roman" w:eastAsia="宋体" w:cs="Times New Roman"/>
                      <w:sz w:val="21"/>
                      <w:szCs w:val="21"/>
                      <w:lang w:val="en-US" w:eastAsia="zh-CN"/>
                    </w:rPr>
                    <w:t>备案，符合当地规划</w:t>
                  </w:r>
                  <w:r>
                    <w:rPr>
                      <w:rFonts w:hint="default" w:ascii="Times New Roman" w:hAnsi="Times New Roman" w:cs="Times New Roman"/>
                      <w:sz w:val="21"/>
                      <w:szCs w:val="21"/>
                      <w:lang w:val="en-US" w:eastAsia="zh-CN"/>
                    </w:rPr>
                    <w:t>。本</w:t>
                  </w:r>
                  <w:r>
                    <w:rPr>
                      <w:rFonts w:hint="default" w:ascii="Times New Roman" w:hAnsi="Times New Roman" w:eastAsia="宋体" w:cs="Times New Roman"/>
                      <w:sz w:val="21"/>
                      <w:szCs w:val="21"/>
                      <w:lang w:val="en-US" w:eastAsia="zh-CN"/>
                    </w:rPr>
                    <w:t>项目</w:t>
                  </w:r>
                  <w:r>
                    <w:rPr>
                      <w:rFonts w:hint="default" w:ascii="Times New Roman" w:hAnsi="Times New Roman" w:cs="Times New Roman"/>
                      <w:sz w:val="21"/>
                      <w:szCs w:val="21"/>
                      <w:lang w:val="en-US" w:eastAsia="zh-CN"/>
                    </w:rPr>
                    <w:t>需</w:t>
                  </w:r>
                  <w:r>
                    <w:rPr>
                      <w:rFonts w:hint="default" w:ascii="Times New Roman" w:hAnsi="Times New Roman" w:eastAsia="宋体" w:cs="Times New Roman"/>
                      <w:sz w:val="21"/>
                      <w:szCs w:val="21"/>
                      <w:lang w:val="en-US" w:eastAsia="zh-CN"/>
                    </w:rPr>
                    <w:t>按照要求申请重点污染物总量指标</w:t>
                  </w:r>
                  <w:r>
                    <w:rPr>
                      <w:rFonts w:hint="default" w:ascii="Times New Roman" w:hAnsi="Times New Roman" w:cs="Times New Roman"/>
                      <w:sz w:val="21"/>
                      <w:szCs w:val="21"/>
                      <w:lang w:val="en-US" w:eastAsia="zh-CN"/>
                    </w:rPr>
                    <w:t>。</w:t>
                  </w:r>
                </w:p>
              </w:tc>
              <w:tc>
                <w:tcPr>
                  <w:tcW w:w="464" w:type="pct"/>
                  <w:gridSpan w:val="2"/>
                  <w:noWrap w:val="0"/>
                  <w:vAlign w:val="center"/>
                </w:tcPr>
                <w:p w14:paraId="12C41F60">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符合</w:t>
                  </w:r>
                </w:p>
              </w:tc>
            </w:tr>
            <w:tr w14:paraId="08F8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8" w:type="pct"/>
                  <w:noWrap w:val="0"/>
                  <w:vAlign w:val="center"/>
                </w:tcPr>
                <w:p w14:paraId="7A07668B">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 2025 年，短流程炼钢产量占比达 15%。</w:t>
                  </w:r>
                </w:p>
              </w:tc>
              <w:tc>
                <w:tcPr>
                  <w:tcW w:w="1376" w:type="pct"/>
                  <w:noWrap w:val="0"/>
                  <w:vAlign w:val="center"/>
                </w:tcPr>
                <w:p w14:paraId="46E0BAE5">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sz w:val="21"/>
                      <w:szCs w:val="21"/>
                      <w:lang w:val="en-US" w:eastAsia="zh-CN"/>
                    </w:rPr>
                    <w:t>对照</w:t>
                  </w:r>
                  <w:r>
                    <w:rPr>
                      <w:rFonts w:hint="default" w:ascii="Times New Roman" w:hAnsi="Times New Roman" w:eastAsia="宋体" w:cs="Times New Roman"/>
                      <w:sz w:val="21"/>
                      <w:szCs w:val="21"/>
                      <w:lang w:val="en-US" w:eastAsia="zh-CN"/>
                    </w:rPr>
                    <w:t>《产业结构调整指导目录</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2024年本</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本项目不属于</w:t>
                  </w:r>
                  <w:r>
                    <w:rPr>
                      <w:rFonts w:hint="default" w:ascii="Times New Roman" w:hAnsi="Times New Roman" w:cs="Times New Roman"/>
                      <w:sz w:val="21"/>
                      <w:szCs w:val="21"/>
                      <w:lang w:val="en-US" w:eastAsia="zh-CN"/>
                    </w:rPr>
                    <w:t>其中的</w:t>
                  </w:r>
                  <w:r>
                    <w:rPr>
                      <w:rFonts w:hint="default" w:ascii="Times New Roman" w:hAnsi="Times New Roman" w:eastAsia="宋体" w:cs="Times New Roman"/>
                      <w:sz w:val="21"/>
                      <w:szCs w:val="21"/>
                      <w:lang w:val="en-US" w:eastAsia="zh-CN"/>
                    </w:rPr>
                    <w:t>淘汰和限制类项目</w:t>
                  </w:r>
                  <w:r>
                    <w:rPr>
                      <w:rFonts w:hint="default" w:ascii="Times New Roman" w:hAnsi="Times New Roman" w:cs="Times New Roman"/>
                      <w:sz w:val="21"/>
                      <w:szCs w:val="21"/>
                      <w:lang w:val="en-US" w:eastAsia="zh-CN"/>
                    </w:rPr>
                    <w:t>，不属于</w:t>
                  </w:r>
                  <w:r>
                    <w:rPr>
                      <w:rFonts w:hint="default" w:ascii="Times New Roman" w:hAnsi="Times New Roman" w:eastAsia="宋体" w:cs="Times New Roman"/>
                      <w:sz w:val="21"/>
                      <w:szCs w:val="21"/>
                      <w:lang w:val="en-US" w:eastAsia="zh-CN"/>
                    </w:rPr>
                    <w:t>限制类涉气行业</w:t>
                  </w:r>
                  <w:r>
                    <w:rPr>
                      <w:rFonts w:hint="default" w:ascii="Times New Roman" w:hAnsi="Times New Roman" w:cs="Times New Roman"/>
                      <w:sz w:val="21"/>
                      <w:szCs w:val="21"/>
                      <w:lang w:val="en-US" w:eastAsia="zh-CN"/>
                    </w:rPr>
                    <w:t>，不属于</w:t>
                  </w:r>
                  <w:r>
                    <w:rPr>
                      <w:rFonts w:hint="default" w:ascii="Times New Roman" w:hAnsi="Times New Roman" w:eastAsia="宋体" w:cs="Times New Roman"/>
                      <w:sz w:val="21"/>
                      <w:szCs w:val="21"/>
                      <w:lang w:val="en-US" w:eastAsia="zh-CN"/>
                    </w:rPr>
                    <w:t>焦化、烧结、球团、热轧企业和落后煤炭洗选企业</w:t>
                  </w:r>
                  <w:r>
                    <w:rPr>
                      <w:rFonts w:hint="default" w:ascii="Times New Roman" w:hAnsi="Times New Roman" w:cs="Times New Roman"/>
                      <w:sz w:val="21"/>
                      <w:szCs w:val="21"/>
                      <w:lang w:val="en-US" w:eastAsia="zh-CN"/>
                    </w:rPr>
                    <w:t>。</w:t>
                  </w:r>
                </w:p>
              </w:tc>
              <w:tc>
                <w:tcPr>
                  <w:tcW w:w="464" w:type="pct"/>
                  <w:gridSpan w:val="2"/>
                  <w:noWrap w:val="0"/>
                  <w:vAlign w:val="center"/>
                </w:tcPr>
                <w:p w14:paraId="4C8FA251">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符合</w:t>
                  </w:r>
                </w:p>
              </w:tc>
            </w:tr>
            <w:tr w14:paraId="48F1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noWrap w:val="0"/>
                  <w:vAlign w:val="center"/>
                </w:tcPr>
                <w:p w14:paraId="61768E2D">
                  <w:pPr>
                    <w:autoSpaceDE w:val="0"/>
                    <w:autoSpaceDN w:val="0"/>
                    <w:adjustRightInd w:val="0"/>
                    <w:snapToGrid w:val="0"/>
                    <w:spacing w:line="240" w:lineRule="auto"/>
                    <w:jc w:val="left"/>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三、加快能源结构绿色低碳转型</w:t>
                  </w:r>
                </w:p>
              </w:tc>
            </w:tr>
            <w:tr w14:paraId="1E48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8" w:type="pct"/>
                  <w:noWrap w:val="0"/>
                  <w:vAlign w:val="center"/>
                </w:tcPr>
                <w:p w14:paraId="00BFE595">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推动工业炉窑清洁能源替代。有序推进工业领域电能替代，提高电气化水平，推动大用户直供气，降低供气成本。重点区域不再新增燃料类煤气发生炉，新改扩建加热炉、热处理炉、干燥炉、熔化炉原则上采用清洁低碳能源。燃料类煤气发生炉实施清洁能源替代，或因地制宜采取园区（集群）集中供气、分散使用方式。逐步淘汰固定床间歇式煤气发生炉，鼓励现有煤气发生炉“小改大”。安全稳妥推进使用高污染燃料的工业炉窑改用工业余热、电能、天然气等，推动石油焦、重油等高污染燃料逐步替代。</w:t>
                  </w:r>
                </w:p>
              </w:tc>
              <w:tc>
                <w:tcPr>
                  <w:tcW w:w="1376" w:type="pct"/>
                  <w:noWrap w:val="0"/>
                  <w:vAlign w:val="center"/>
                </w:tcPr>
                <w:p w14:paraId="111238A8">
                  <w:pPr>
                    <w:autoSpaceDE w:val="0"/>
                    <w:autoSpaceDN w:val="0"/>
                    <w:adjustRightInd w:val="0"/>
                    <w:snapToGrid w:val="0"/>
                    <w:spacing w:line="240" w:lineRule="auto"/>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sz w:val="21"/>
                      <w:szCs w:val="21"/>
                      <w:lang w:val="en-US" w:eastAsia="zh-CN"/>
                    </w:rPr>
                    <w:t>本项目烘</w:t>
                  </w:r>
                  <w:r>
                    <w:rPr>
                      <w:rFonts w:hint="eastAsia" w:ascii="Times New Roman" w:hAnsi="Times New Roman" w:cs="Times New Roman"/>
                      <w:sz w:val="21"/>
                      <w:szCs w:val="21"/>
                      <w:lang w:val="en-US" w:eastAsia="zh-CN"/>
                    </w:rPr>
                    <w:t>干</w:t>
                  </w:r>
                  <w:r>
                    <w:rPr>
                      <w:rFonts w:hint="default" w:ascii="Times New Roman" w:hAnsi="Times New Roman" w:cs="Times New Roman"/>
                      <w:sz w:val="21"/>
                      <w:szCs w:val="21"/>
                      <w:lang w:val="en-US" w:eastAsia="zh-CN"/>
                    </w:rPr>
                    <w:t>箱使用电能，不涉及</w:t>
                  </w:r>
                  <w:r>
                    <w:rPr>
                      <w:rFonts w:hint="default" w:ascii="Times New Roman" w:hAnsi="Times New Roman" w:eastAsia="宋体" w:cs="Times New Roman"/>
                      <w:sz w:val="21"/>
                      <w:szCs w:val="21"/>
                      <w:lang w:val="en-US" w:eastAsia="zh-CN"/>
                    </w:rPr>
                    <w:t>石油焦、重油等高污染燃料</w:t>
                  </w:r>
                  <w:r>
                    <w:rPr>
                      <w:rFonts w:hint="default" w:ascii="Times New Roman" w:hAnsi="Times New Roman" w:cs="Times New Roman"/>
                      <w:sz w:val="21"/>
                      <w:szCs w:val="21"/>
                      <w:lang w:val="en-US" w:eastAsia="zh-CN"/>
                    </w:rPr>
                    <w:t>。</w:t>
                  </w:r>
                </w:p>
              </w:tc>
              <w:tc>
                <w:tcPr>
                  <w:tcW w:w="464" w:type="pct"/>
                  <w:gridSpan w:val="2"/>
                  <w:noWrap w:val="0"/>
                  <w:vAlign w:val="center"/>
                </w:tcPr>
                <w:p w14:paraId="6FD84466">
                  <w:pPr>
                    <w:autoSpaceDE w:val="0"/>
                    <w:autoSpaceDN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符合</w:t>
                  </w:r>
                </w:p>
              </w:tc>
            </w:tr>
            <w:tr w14:paraId="780F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shd w:val="clear" w:color="auto" w:fill="auto"/>
                  <w:noWrap w:val="0"/>
                  <w:vAlign w:val="center"/>
                </w:tcPr>
                <w:p w14:paraId="703C70D4">
                  <w:pPr>
                    <w:autoSpaceDE w:val="0"/>
                    <w:autoSpaceDN w:val="0"/>
                    <w:adjustRightInd w:val="0"/>
                    <w:snapToGrid w:val="0"/>
                    <w:spacing w:line="240" w:lineRule="auto"/>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六、推动重点行业领域污染物减排</w:t>
                  </w:r>
                </w:p>
              </w:tc>
            </w:tr>
            <w:tr w14:paraId="70CB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8" w:type="pct"/>
                  <w:shd w:val="clear" w:color="auto" w:fill="auto"/>
                  <w:noWrap w:val="0"/>
                  <w:vAlign w:val="center"/>
                </w:tcPr>
                <w:p w14:paraId="6E1E1B72">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加强 VOCs 综合治理。鼓励储罐使用低泄漏的呼吸阀、紧急泄压阀。汽车罐车推广使用密封式快速接头。污水处理场所高浓度有机废气单独收集处理；含 VOCs 有机废水储罐、装置区集水井（池）有机废气密闭收集处理。石化、化工行业集中的城市和重点工业园区，2024 年底前建立统一的泄漏检测与修复信息管理平台。企业开停工、检维修期间，及时收集处理退料、清洗、吹扫等作业产生的 VOCs 废气，不得将火炬燃烧装置作为日常大气污染处理设施。</w:t>
                  </w:r>
                </w:p>
              </w:tc>
              <w:tc>
                <w:tcPr>
                  <w:tcW w:w="1430" w:type="pct"/>
                  <w:gridSpan w:val="2"/>
                  <w:shd w:val="clear" w:color="auto" w:fill="auto"/>
                  <w:noWrap w:val="0"/>
                  <w:vAlign w:val="center"/>
                </w:tcPr>
                <w:p w14:paraId="148C1041">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本项目不涉及有机废水。</w:t>
                  </w:r>
                </w:p>
              </w:tc>
              <w:tc>
                <w:tcPr>
                  <w:tcW w:w="410" w:type="pct"/>
                  <w:shd w:val="clear" w:color="auto" w:fill="auto"/>
                  <w:noWrap w:val="0"/>
                  <w:vAlign w:val="center"/>
                </w:tcPr>
                <w:p w14:paraId="3A3D7BF5">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符合</w:t>
                  </w:r>
                </w:p>
              </w:tc>
            </w:tr>
            <w:tr w14:paraId="4BD9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58" w:type="pct"/>
                  <w:shd w:val="clear" w:color="auto" w:fill="auto"/>
                  <w:noWrap w:val="0"/>
                  <w:vAlign w:val="center"/>
                </w:tcPr>
                <w:p w14:paraId="34DAD4B9">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加快低(无)VOCs原辅材料替代。严格控制生产和使用高VOCs含量涂料、油墨、胶粘剂、清洗剂等建设项目。推动现有高VOCs含量产品生产企业加快产品升级转型，提高低(无)VOCs含量产品比重。加大工业涂装行业、包装印刷行业及电子行业低(无)VOCs含量原辅材料替代力度。室外构筑物防护和城市道路交通标志推广使用低(无)VOCs含量涂料。严格执行VOCs含量限值标准，确保生产、销售、进口、使用符合标准的产品</w:t>
                  </w:r>
                  <w:r>
                    <w:rPr>
                      <w:rFonts w:hint="default" w:ascii="Times New Roman" w:hAnsi="Times New Roman" w:cs="Times New Roman"/>
                      <w:sz w:val="21"/>
                      <w:szCs w:val="21"/>
                      <w:lang w:val="en-US" w:eastAsia="zh-CN"/>
                    </w:rPr>
                    <w:t>。</w:t>
                  </w:r>
                </w:p>
              </w:tc>
              <w:tc>
                <w:tcPr>
                  <w:tcW w:w="1430" w:type="pct"/>
                  <w:gridSpan w:val="2"/>
                  <w:shd w:val="clear" w:color="auto" w:fill="auto"/>
                  <w:noWrap w:val="0"/>
                  <w:vAlign w:val="center"/>
                </w:tcPr>
                <w:p w14:paraId="4668E1B9">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考虑到本项目产品使用场景的特殊性，经过建设单位所在协会论证，目前暂时无法使用水性漆等低VOC涂料进行替代。</w:t>
                  </w:r>
                  <w:r>
                    <w:rPr>
                      <w:rFonts w:hint="default" w:ascii="Times New Roman" w:hAnsi="Times New Roman" w:eastAsia="宋体" w:cs="Times New Roman"/>
                      <w:sz w:val="21"/>
                      <w:szCs w:val="21"/>
                      <w:lang w:val="en-US" w:eastAsia="zh-CN"/>
                    </w:rPr>
                    <w:t>本项目使用的</w:t>
                  </w:r>
                  <w:r>
                    <w:rPr>
                      <w:rFonts w:hint="eastAsia" w:ascii="Times New Roman" w:hAnsi="Times New Roman" w:cs="Times New Roman"/>
                      <w:sz w:val="21"/>
                      <w:szCs w:val="21"/>
                      <w:lang w:val="en-US" w:eastAsia="zh-CN"/>
                    </w:rPr>
                    <w:t>油漆</w:t>
                  </w:r>
                  <w:r>
                    <w:rPr>
                      <w:rFonts w:hint="eastAsia" w:cs="Times New Roman"/>
                      <w:sz w:val="21"/>
                      <w:szCs w:val="21"/>
                      <w:lang w:val="en-US" w:eastAsia="zh-CN"/>
                    </w:rPr>
                    <w:t>中VOC含量满足《低挥发性有机化合物含量涂料产品技术要求》（GB/T 38597-2020）表2中限量值，同时</w:t>
                  </w:r>
                  <w:r>
                    <w:rPr>
                      <w:rFonts w:hint="default" w:ascii="Times New Roman" w:hAnsi="Times New Roman" w:eastAsia="宋体" w:cs="Times New Roman"/>
                      <w:sz w:val="21"/>
                      <w:szCs w:val="21"/>
                      <w:lang w:val="en-US" w:eastAsia="zh-CN"/>
                    </w:rPr>
                    <w:t>采取密闭桶装，从源头上减少了VOCs产生</w:t>
                  </w:r>
                  <w:r>
                    <w:rPr>
                      <w:rFonts w:hint="eastAsia" w:cs="Times New Roman"/>
                      <w:sz w:val="21"/>
                      <w:szCs w:val="21"/>
                      <w:lang w:val="en-US" w:eastAsia="zh-CN"/>
                    </w:rPr>
                    <w:t>。</w:t>
                  </w:r>
                </w:p>
              </w:tc>
              <w:tc>
                <w:tcPr>
                  <w:tcW w:w="410" w:type="pct"/>
                  <w:noWrap w:val="0"/>
                  <w:vAlign w:val="center"/>
                </w:tcPr>
                <w:p w14:paraId="23D5BF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符合</w:t>
                  </w:r>
                </w:p>
              </w:tc>
            </w:tr>
          </w:tbl>
          <w:p w14:paraId="29ABACDC">
            <w:pPr>
              <w:bidi w:val="0"/>
              <w:rPr>
                <w:rFonts w:hint="default"/>
                <w:lang w:val="en-US" w:eastAsia="zh-CN"/>
              </w:rPr>
            </w:pPr>
          </w:p>
          <w:p w14:paraId="598B48B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7</w:t>
            </w:r>
            <w:r>
              <w:rPr>
                <w:rFonts w:hint="default"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sz w:val="24"/>
                <w:szCs w:val="24"/>
                <w:lang w:val="en-US" w:eastAsia="zh-CN"/>
              </w:rPr>
              <w:t>与</w:t>
            </w:r>
            <w:r>
              <w:rPr>
                <w:rFonts w:hint="eastAsia"/>
                <w:color w:val="000000"/>
                <w:kern w:val="0"/>
                <w:sz w:val="24"/>
                <w:szCs w:val="24"/>
                <w:highlight w:val="none"/>
                <w:lang w:val="en-US" w:eastAsia="zh-CN"/>
              </w:rPr>
              <w:t>《空气质量持续改善行动计划》（国发〔2023〕24号）</w:t>
            </w:r>
            <w:r>
              <w:rPr>
                <w:rFonts w:hint="default" w:ascii="Times New Roman" w:hAnsi="Times New Roman" w:eastAsia="宋体" w:cs="Times New Roman"/>
                <w:color w:val="000000"/>
                <w:sz w:val="24"/>
                <w:szCs w:val="24"/>
                <w:lang w:val="en-US" w:eastAsia="zh-CN"/>
              </w:rPr>
              <w:t>相符性</w:t>
            </w:r>
            <w:r>
              <w:rPr>
                <w:rFonts w:hint="eastAsia" w:ascii="Times New Roman" w:hAnsi="Times New Roman" w:eastAsia="宋体" w:cs="Times New Roman"/>
                <w:color w:val="000000"/>
                <w:sz w:val="24"/>
                <w:szCs w:val="24"/>
                <w:lang w:val="en-US" w:eastAsia="zh-CN"/>
              </w:rPr>
              <w:t>分析</w:t>
            </w:r>
          </w:p>
          <w:p w14:paraId="34C2F6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表1-</w:t>
            </w:r>
            <w:r>
              <w:rPr>
                <w:rFonts w:hint="eastAsia" w:cs="Times New Roman"/>
                <w:b/>
                <w:bCs/>
                <w:color w:val="000000"/>
                <w:sz w:val="21"/>
                <w:szCs w:val="21"/>
                <w:highlight w:val="none"/>
                <w:lang w:val="en-US" w:eastAsia="zh-CN"/>
              </w:rPr>
              <w:t>8</w:t>
            </w:r>
            <w:r>
              <w:rPr>
                <w:rFonts w:hint="eastAsia" w:ascii="Times New Roman" w:hAnsi="Times New Roman" w:eastAsia="宋体" w:cs="Times New Roman"/>
                <w:b/>
                <w:bCs/>
                <w:color w:val="000000"/>
                <w:sz w:val="21"/>
                <w:szCs w:val="21"/>
                <w:highlight w:val="none"/>
                <w:lang w:val="en-US" w:eastAsia="zh-CN"/>
              </w:rPr>
              <w:t xml:space="preserve">  与国发〔2023〕24号相符性分析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6"/>
              <w:gridCol w:w="2540"/>
              <w:gridCol w:w="662"/>
            </w:tblGrid>
            <w:tr w14:paraId="4B66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3" w:type="pct"/>
                  <w:noWrap w:val="0"/>
                  <w:vAlign w:val="center"/>
                </w:tcPr>
                <w:p w14:paraId="3AF665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内容</w:t>
                  </w:r>
                </w:p>
              </w:tc>
              <w:tc>
                <w:tcPr>
                  <w:tcW w:w="1576" w:type="pct"/>
                  <w:noWrap w:val="0"/>
                  <w:vAlign w:val="center"/>
                </w:tcPr>
                <w:p w14:paraId="6FEF5E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本项目情况</w:t>
                  </w:r>
                </w:p>
              </w:tc>
              <w:tc>
                <w:tcPr>
                  <w:tcW w:w="410" w:type="pct"/>
                  <w:noWrap w:val="0"/>
                  <w:vAlign w:val="center"/>
                </w:tcPr>
                <w:p w14:paraId="6ABC2B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符合性</w:t>
                  </w:r>
                </w:p>
              </w:tc>
            </w:tr>
            <w:tr w14:paraId="66FF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noWrap w:val="0"/>
                  <w:vAlign w:val="center"/>
                </w:tcPr>
                <w:p w14:paraId="0F5496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二、优化产业结构，促进产业产品绿色升级</w:t>
                  </w:r>
                </w:p>
              </w:tc>
            </w:tr>
            <w:tr w14:paraId="5F7F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3" w:type="pct"/>
                  <w:noWrap w:val="0"/>
                  <w:vAlign w:val="center"/>
                </w:tcPr>
                <w:p w14:paraId="234C8F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576" w:type="pct"/>
                  <w:noWrap w:val="0"/>
                  <w:vAlign w:val="center"/>
                </w:tcPr>
                <w:p w14:paraId="10D024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default" w:ascii="Times New Roman" w:hAnsi="Times New Roman" w:eastAsia="宋体" w:cs="Times New Roman"/>
                      <w:i w:val="0"/>
                      <w:iCs w:val="0"/>
                      <w:caps w:val="0"/>
                      <w:color w:val="000000"/>
                      <w:spacing w:val="0"/>
                      <w:sz w:val="21"/>
                      <w:szCs w:val="21"/>
                      <w:shd w:val="clear" w:fill="FFFFFF"/>
                      <w:lang w:val="en-US" w:eastAsia="zh-CN"/>
                    </w:rPr>
                    <w:t>本项目不属于</w:t>
                  </w:r>
                  <w:r>
                    <w:rPr>
                      <w:rFonts w:hint="default" w:ascii="Times New Roman" w:hAnsi="Times New Roman" w:eastAsia="宋体" w:cs="Times New Roman"/>
                      <w:i w:val="0"/>
                      <w:iCs w:val="0"/>
                      <w:caps w:val="0"/>
                      <w:color w:val="000000"/>
                      <w:spacing w:val="0"/>
                      <w:sz w:val="21"/>
                      <w:szCs w:val="21"/>
                      <w:shd w:val="clear" w:fill="FFFFFF"/>
                    </w:rPr>
                    <w:t>《产业结构调整指导目录》淘汰类和限制类</w:t>
                  </w:r>
                  <w:r>
                    <w:rPr>
                      <w:rFonts w:hint="default" w:ascii="Times New Roman" w:hAnsi="Times New Roman" w:eastAsia="宋体" w:cs="Times New Roman"/>
                      <w:i w:val="0"/>
                      <w:iCs w:val="0"/>
                      <w:caps w:val="0"/>
                      <w:color w:val="000000"/>
                      <w:spacing w:val="0"/>
                      <w:sz w:val="21"/>
                      <w:szCs w:val="21"/>
                      <w:shd w:val="clear" w:fill="FFFFFF"/>
                      <w:lang w:eastAsia="zh-CN"/>
                    </w:rPr>
                    <w:t>，</w:t>
                  </w:r>
                  <w:r>
                    <w:rPr>
                      <w:rFonts w:hint="default" w:ascii="Times New Roman" w:hAnsi="Times New Roman" w:eastAsia="宋体" w:cs="Times New Roman"/>
                      <w:i w:val="0"/>
                      <w:iCs w:val="0"/>
                      <w:caps w:val="0"/>
                      <w:color w:val="000000"/>
                      <w:spacing w:val="0"/>
                      <w:sz w:val="21"/>
                      <w:szCs w:val="21"/>
                      <w:shd w:val="clear" w:fill="FFFFFF"/>
                      <w:lang w:val="en-US" w:eastAsia="zh-CN"/>
                    </w:rPr>
                    <w:t>属于允许建设类。</w:t>
                  </w:r>
                </w:p>
                <w:p w14:paraId="6E00E6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i w:val="0"/>
                      <w:iCs w:val="0"/>
                      <w:caps w:val="0"/>
                      <w:color w:val="000000"/>
                      <w:spacing w:val="0"/>
                      <w:sz w:val="21"/>
                      <w:szCs w:val="21"/>
                      <w:shd w:val="clear" w:fill="FFFFFF"/>
                      <w:lang w:val="en-US" w:eastAsia="zh-CN"/>
                    </w:rPr>
                  </w:pPr>
                  <w:r>
                    <w:rPr>
                      <w:rFonts w:hint="default" w:ascii="Times New Roman" w:hAnsi="Times New Roman" w:eastAsia="宋体" w:cs="Times New Roman"/>
                      <w:sz w:val="21"/>
                      <w:szCs w:val="21"/>
                      <w:lang w:val="en-US" w:eastAsia="zh-CN"/>
                    </w:rPr>
                    <w:t>本项目不属于高耗能、高排放项目</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项目</w:t>
                  </w:r>
                  <w:r>
                    <w:rPr>
                      <w:rFonts w:hint="default" w:ascii="Times New Roman" w:hAnsi="Times New Roman" w:cs="Times New Roman"/>
                      <w:sz w:val="21"/>
                      <w:szCs w:val="21"/>
                      <w:lang w:val="en-US" w:eastAsia="zh-CN"/>
                    </w:rPr>
                    <w:t>已</w:t>
                  </w:r>
                  <w:r>
                    <w:rPr>
                      <w:rFonts w:hint="default" w:ascii="Times New Roman" w:hAnsi="Times New Roman" w:eastAsia="宋体" w:cs="Times New Roman"/>
                      <w:sz w:val="21"/>
                      <w:szCs w:val="21"/>
                      <w:lang w:val="en-US" w:eastAsia="zh-CN"/>
                    </w:rPr>
                    <w:t>取得</w:t>
                  </w:r>
                  <w:r>
                    <w:rPr>
                      <w:rFonts w:hint="default" w:ascii="Times New Roman" w:hAnsi="Times New Roman" w:cs="Times New Roman"/>
                      <w:sz w:val="21"/>
                      <w:szCs w:val="21"/>
                      <w:lang w:val="en-US" w:eastAsia="zh-CN"/>
                    </w:rPr>
                    <w:t>安徽淮北杜集区发展和改革委员会</w:t>
                  </w:r>
                  <w:r>
                    <w:rPr>
                      <w:rFonts w:hint="default" w:ascii="Times New Roman" w:hAnsi="Times New Roman" w:eastAsia="宋体" w:cs="Times New Roman"/>
                      <w:sz w:val="21"/>
                      <w:szCs w:val="21"/>
                      <w:lang w:val="en-US" w:eastAsia="zh-CN"/>
                    </w:rPr>
                    <w:t>备案，符合当地规划</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对照《产业结构调整指导目录</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2024年本</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》，本项目不属于其中淘汰和限制类项目</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项目按照要求申请总量指标</w:t>
                  </w:r>
                  <w:r>
                    <w:rPr>
                      <w:rFonts w:hint="default" w:ascii="Times New Roman" w:hAnsi="Times New Roman" w:cs="Times New Roman"/>
                      <w:sz w:val="21"/>
                      <w:szCs w:val="21"/>
                      <w:lang w:val="en-US" w:eastAsia="zh-CN"/>
                    </w:rPr>
                    <w:t>。</w:t>
                  </w:r>
                </w:p>
              </w:tc>
              <w:tc>
                <w:tcPr>
                  <w:tcW w:w="410" w:type="pct"/>
                  <w:noWrap w:val="0"/>
                  <w:vAlign w:val="center"/>
                </w:tcPr>
                <w:p w14:paraId="4DF9CE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14:paraId="4E1B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3" w:type="pct"/>
                  <w:noWrap w:val="0"/>
                  <w:vAlign w:val="center"/>
                </w:tcPr>
                <w:p w14:paraId="01C1104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i w:val="0"/>
                      <w:iCs w:val="0"/>
                      <w:caps w:val="0"/>
                      <w:color w:val="000000"/>
                      <w:spacing w:val="0"/>
                      <w:sz w:val="21"/>
                      <w:szCs w:val="21"/>
                      <w:shd w:val="clear" w:fill="FFFFFF"/>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576" w:type="pct"/>
                  <w:noWrap w:val="0"/>
                  <w:vAlign w:val="center"/>
                </w:tcPr>
                <w:p w14:paraId="40AA29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本项目涉及VOCs物料均密闭暂存，原料中使用的</w:t>
                  </w:r>
                  <w:r>
                    <w:rPr>
                      <w:rFonts w:hint="default" w:ascii="Times New Roman" w:hAnsi="Times New Roman" w:cs="Times New Roman"/>
                      <w:sz w:val="21"/>
                      <w:szCs w:val="21"/>
                      <w:lang w:val="en-US" w:eastAsia="zh-CN"/>
                    </w:rPr>
                    <w:t>油漆</w:t>
                  </w:r>
                  <w:r>
                    <w:rPr>
                      <w:rFonts w:hint="default" w:ascii="Times New Roman" w:hAnsi="Times New Roman" w:eastAsia="宋体" w:cs="Times New Roman"/>
                      <w:sz w:val="21"/>
                      <w:szCs w:val="21"/>
                      <w:lang w:val="en-US" w:eastAsia="zh-CN"/>
                    </w:rPr>
                    <w:t>满足国家标准，且采取密闭桶装，从源头上减少了VOCs产生</w:t>
                  </w:r>
                  <w:r>
                    <w:rPr>
                      <w:rFonts w:hint="default" w:ascii="Times New Roman" w:hAnsi="Times New Roman" w:cs="Times New Roman"/>
                      <w:sz w:val="21"/>
                      <w:szCs w:val="21"/>
                      <w:lang w:val="en-US" w:eastAsia="zh-CN"/>
                    </w:rPr>
                    <w:t>。</w:t>
                  </w:r>
                </w:p>
              </w:tc>
              <w:tc>
                <w:tcPr>
                  <w:tcW w:w="410" w:type="pct"/>
                  <w:noWrap w:val="0"/>
                  <w:vAlign w:val="center"/>
                </w:tcPr>
                <w:p w14:paraId="4865E7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14:paraId="250D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noWrap w:val="0"/>
                  <w:vAlign w:val="center"/>
                </w:tcPr>
                <w:p w14:paraId="666460F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三、优化能源结构，加速能源清洁低碳高效发展</w:t>
                  </w:r>
                </w:p>
              </w:tc>
            </w:tr>
            <w:tr w14:paraId="55E9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3" w:type="pct"/>
                  <w:noWrap w:val="0"/>
                  <w:vAlign w:val="center"/>
                </w:tcPr>
                <w:p w14:paraId="3C895A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i w:val="0"/>
                      <w:iCs w:val="0"/>
                      <w:caps w:val="0"/>
                      <w:color w:val="000000"/>
                      <w:spacing w:val="0"/>
                      <w:sz w:val="21"/>
                      <w:szCs w:val="21"/>
                      <w:shd w:val="clear" w:fill="FFFFFF"/>
                    </w:rPr>
                    <w:t>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1576" w:type="pct"/>
                  <w:vMerge w:val="restart"/>
                  <w:noWrap w:val="0"/>
                  <w:vAlign w:val="center"/>
                </w:tcPr>
                <w:p w14:paraId="2B3980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本项目生产过</w:t>
                  </w:r>
                  <w:r>
                    <w:rPr>
                      <w:rFonts w:hint="eastAsia" w:cs="Times New Roman"/>
                      <w:sz w:val="21"/>
                      <w:szCs w:val="21"/>
                      <w:lang w:val="en-US" w:eastAsia="zh-CN"/>
                    </w:rPr>
                    <w:t>程中</w:t>
                  </w:r>
                  <w:r>
                    <w:rPr>
                      <w:rFonts w:hint="default" w:ascii="Times New Roman" w:hAnsi="Times New Roman" w:eastAsia="宋体" w:cs="Times New Roman"/>
                      <w:sz w:val="21"/>
                      <w:szCs w:val="21"/>
                      <w:lang w:val="en-US" w:eastAsia="zh-CN"/>
                    </w:rPr>
                    <w:t>使用的</w:t>
                  </w:r>
                  <w:r>
                    <w:rPr>
                      <w:rFonts w:hint="default" w:ascii="Times New Roman" w:hAnsi="Times New Roman" w:cs="Times New Roman"/>
                      <w:sz w:val="21"/>
                      <w:szCs w:val="21"/>
                      <w:lang w:val="en-US" w:eastAsia="zh-CN"/>
                    </w:rPr>
                    <w:t>烘干箱采用电加热</w:t>
                  </w:r>
                  <w:r>
                    <w:rPr>
                      <w:rFonts w:hint="default" w:ascii="Times New Roman" w:hAnsi="Times New Roman" w:eastAsia="宋体" w:cs="Times New Roman"/>
                      <w:sz w:val="21"/>
                      <w:szCs w:val="21"/>
                      <w:lang w:val="en-US" w:eastAsia="zh-CN"/>
                    </w:rPr>
                    <w:t>，不使用煤炭</w:t>
                  </w:r>
                  <w:r>
                    <w:rPr>
                      <w:rFonts w:hint="default" w:ascii="Times New Roman" w:hAnsi="Times New Roman" w:cs="Times New Roman"/>
                      <w:sz w:val="21"/>
                      <w:szCs w:val="21"/>
                      <w:lang w:val="en-US" w:eastAsia="zh-CN"/>
                    </w:rPr>
                    <w:t>等</w:t>
                  </w:r>
                  <w:r>
                    <w:rPr>
                      <w:rFonts w:hint="default" w:ascii="Times New Roman" w:hAnsi="Times New Roman" w:eastAsia="宋体" w:cs="Times New Roman"/>
                      <w:sz w:val="21"/>
                      <w:szCs w:val="21"/>
                      <w:lang w:val="en-US" w:eastAsia="zh-CN"/>
                    </w:rPr>
                    <w:t>高污染燃料</w:t>
                  </w:r>
                  <w:r>
                    <w:rPr>
                      <w:rFonts w:hint="default" w:ascii="Times New Roman" w:hAnsi="Times New Roman" w:cs="Times New Roman"/>
                      <w:sz w:val="21"/>
                      <w:szCs w:val="21"/>
                      <w:lang w:val="en-US" w:eastAsia="zh-CN"/>
                    </w:rPr>
                    <w:t>。</w:t>
                  </w:r>
                </w:p>
              </w:tc>
              <w:tc>
                <w:tcPr>
                  <w:tcW w:w="410" w:type="pct"/>
                  <w:vMerge w:val="restart"/>
                  <w:noWrap w:val="0"/>
                  <w:vAlign w:val="center"/>
                </w:tcPr>
                <w:p w14:paraId="6D2CD1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14:paraId="2B5B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3" w:type="pct"/>
                  <w:noWrap w:val="0"/>
                  <w:vAlign w:val="center"/>
                </w:tcPr>
                <w:p w14:paraId="1DE8C8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i w:val="0"/>
                      <w:iCs w:val="0"/>
                      <w:caps w:val="0"/>
                      <w:color w:val="000000"/>
                      <w:spacing w:val="0"/>
                      <w:sz w:val="21"/>
                      <w:szCs w:val="21"/>
                      <w:shd w:val="clear" w:fill="FFFFFF"/>
                    </w:rPr>
                  </w:pPr>
                  <w:r>
                    <w:rPr>
                      <w:rFonts w:hint="default" w:ascii="Times New Roman" w:hAnsi="Times New Roman" w:eastAsia="宋体" w:cs="Times New Roman"/>
                      <w:sz w:val="21"/>
                      <w:szCs w:val="21"/>
                      <w:lang w:val="en-US" w:eastAsia="zh-CN"/>
                    </w:rPr>
                    <w:t>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default" w:ascii="Times New Roman" w:hAnsi="Times New Roman" w:cs="Times New Roman"/>
                      <w:sz w:val="21"/>
                      <w:szCs w:val="21"/>
                      <w:vertAlign w:val="subscript"/>
                      <w:lang w:val="en-US" w:eastAsia="zh-CN"/>
                    </w:rPr>
                    <w:t>2.5</w:t>
                  </w:r>
                  <w:r>
                    <w:rPr>
                      <w:rFonts w:hint="default" w:ascii="Times New Roman" w:hAnsi="Times New Roman" w:eastAsia="宋体" w:cs="Times New Roman"/>
                      <w:sz w:val="21"/>
                      <w:szCs w:val="21"/>
                      <w:lang w:val="en-US" w:eastAsia="zh-CN"/>
                    </w:rPr>
                    <w:t>未达标城市基本淘汰10蒸吨/小时及以下燃煤锅炉</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重点区域基本淘汰35蒸吨/小时及以下燃煤锅炉及茶水炉、经营性炉灶、储粮烘干设备、农产品加工等燃煤设施，充分发挥30万千瓦及以上热电联产电厂的供热能力，对其供热半径30公里范围内的燃煤锅炉和落后燃煤小热电机组</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含自备电厂</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进行关停或整合</w:t>
                  </w:r>
                </w:p>
              </w:tc>
              <w:tc>
                <w:tcPr>
                  <w:tcW w:w="1576" w:type="pct"/>
                  <w:vMerge w:val="continue"/>
                  <w:noWrap w:val="0"/>
                  <w:vAlign w:val="center"/>
                </w:tcPr>
                <w:p w14:paraId="5A6480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410" w:type="pct"/>
                  <w:vMerge w:val="continue"/>
                  <w:noWrap w:val="0"/>
                  <w:vAlign w:val="center"/>
                </w:tcPr>
                <w:p w14:paraId="0C3C35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r>
            <w:tr w14:paraId="56E4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3" w:type="pct"/>
                  <w:noWrap w:val="0"/>
                  <w:vAlign w:val="center"/>
                </w:tcPr>
                <w:p w14:paraId="458C57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施工业炉窑清洁能源替代。有序推进以电代煤，积极稳妥推进以气代煤。重点区域不再新增燃料类煤气发生炉，新改扩建加热炉、热处理炉、干燥炉、熔化炉原则上采用清洁低碳能源;安全稳妥推进使用高污染燃料的工业炉密改用工业余热、电能、天然气等;燃料类煤气发生炉实行清洁能源替代，或因地制宜采取园区</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集群</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集中供气、分散使用方式;逐步淘汰固定床间歇式煤气发生炉</w:t>
                  </w:r>
                </w:p>
              </w:tc>
              <w:tc>
                <w:tcPr>
                  <w:tcW w:w="1576" w:type="pct"/>
                  <w:vMerge w:val="continue"/>
                  <w:noWrap w:val="0"/>
                  <w:vAlign w:val="center"/>
                </w:tcPr>
                <w:p w14:paraId="2FA2265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c>
                <w:tcPr>
                  <w:tcW w:w="410" w:type="pct"/>
                  <w:vMerge w:val="continue"/>
                  <w:noWrap w:val="0"/>
                  <w:vAlign w:val="center"/>
                </w:tcPr>
                <w:p w14:paraId="69BA40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p>
              </w:tc>
            </w:tr>
            <w:tr w14:paraId="6DC6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noWrap w:val="0"/>
                  <w:vAlign w:val="center"/>
                </w:tcPr>
                <w:p w14:paraId="1D041F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六、强化多污染物减排，切实降低排放强度</w:t>
                  </w:r>
                </w:p>
              </w:tc>
            </w:tr>
            <w:tr w14:paraId="2E70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3" w:type="pct"/>
                  <w:noWrap w:val="0"/>
                  <w:vAlign w:val="center"/>
                </w:tcPr>
                <w:p w14:paraId="0193C07E">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开展餐饮油烟、恶臭异味专项治理。严格居民楼附近餐饮服务单位布局管理。拟开设餐饮服务单位的建筑应设计建设专用烟道。推动有条件的地区实施治理设施第三方运维管理及在线监控。对群众反映强烈的恶臭异味扰民问题加强排查整治，投诉集中的工业园区、重点企业要安装运行在线监测系统。各地要加强部门联动，因地制宜解决人民群众反映集中的油烟及恶臭异味扰民问题</w:t>
                  </w:r>
                </w:p>
              </w:tc>
              <w:tc>
                <w:tcPr>
                  <w:tcW w:w="1576" w:type="pct"/>
                  <w:shd w:val="clear" w:color="auto" w:fill="auto"/>
                  <w:noWrap w:val="0"/>
                  <w:vAlign w:val="center"/>
                </w:tcPr>
                <w:p w14:paraId="2A1BF617">
                  <w:pPr>
                    <w:autoSpaceDE w:val="0"/>
                    <w:autoSpaceDN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建设单位不涉及员工食宿，不涉及餐饮油烟</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br w:type="textWrapping"/>
                  </w:r>
                  <w:r>
                    <w:rPr>
                      <w:rFonts w:hint="eastAsia" w:ascii="Times New Roman" w:hAnsi="Times New Roman" w:cs="Times New Roman"/>
                      <w:sz w:val="21"/>
                      <w:szCs w:val="21"/>
                      <w:lang w:val="en-US" w:eastAsia="zh-CN"/>
                    </w:rPr>
                    <w:t>本项目</w:t>
                  </w:r>
                  <w:r>
                    <w:rPr>
                      <w:rFonts w:hint="default" w:ascii="Times New Roman" w:hAnsi="Times New Roman" w:cs="Times New Roman"/>
                      <w:sz w:val="21"/>
                      <w:szCs w:val="21"/>
                      <w:lang w:val="en-US" w:eastAsia="zh-CN"/>
                    </w:rPr>
                    <w:t>不属于</w:t>
                  </w:r>
                  <w:r>
                    <w:rPr>
                      <w:rFonts w:hint="default" w:ascii="Times New Roman" w:hAnsi="Times New Roman" w:eastAsia="宋体" w:cs="Times New Roman"/>
                      <w:sz w:val="21"/>
                      <w:szCs w:val="21"/>
                      <w:lang w:val="en-US" w:eastAsia="zh-CN"/>
                    </w:rPr>
                    <w:t>重点企业</w:t>
                  </w:r>
                  <w:r>
                    <w:rPr>
                      <w:rFonts w:hint="default" w:ascii="Times New Roman" w:hAnsi="Times New Roman" w:cs="Times New Roman"/>
                      <w:sz w:val="21"/>
                      <w:szCs w:val="21"/>
                      <w:lang w:val="en-US" w:eastAsia="zh-CN"/>
                    </w:rPr>
                    <w:t>，未遭受周边群众因</w:t>
                  </w:r>
                  <w:r>
                    <w:rPr>
                      <w:rFonts w:hint="default" w:ascii="Times New Roman" w:hAnsi="Times New Roman" w:eastAsia="宋体" w:cs="Times New Roman"/>
                      <w:sz w:val="21"/>
                      <w:szCs w:val="21"/>
                      <w:lang w:val="en-US" w:eastAsia="zh-CN"/>
                    </w:rPr>
                    <w:t>恶臭异味</w:t>
                  </w:r>
                  <w:r>
                    <w:rPr>
                      <w:rFonts w:hint="default" w:ascii="Times New Roman" w:hAnsi="Times New Roman" w:cs="Times New Roman"/>
                      <w:sz w:val="21"/>
                      <w:szCs w:val="21"/>
                      <w:lang w:val="en-US" w:eastAsia="zh-CN"/>
                    </w:rPr>
                    <w:t>而投诉。</w:t>
                  </w:r>
                </w:p>
              </w:tc>
              <w:tc>
                <w:tcPr>
                  <w:tcW w:w="410" w:type="pct"/>
                  <w:noWrap w:val="0"/>
                  <w:vAlign w:val="center"/>
                </w:tcPr>
                <w:p w14:paraId="5CCFA7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cs="Times New Roman"/>
                      <w:color w:val="000000"/>
                      <w:sz w:val="21"/>
                      <w:szCs w:val="21"/>
                      <w:vertAlign w:val="baseline"/>
                      <w:lang w:val="en-US" w:eastAsia="zh-CN"/>
                    </w:rPr>
                    <w:t>符合</w:t>
                  </w:r>
                </w:p>
              </w:tc>
            </w:tr>
          </w:tbl>
          <w:p w14:paraId="606E4975">
            <w:pPr>
              <w:bidi w:val="0"/>
              <w:rPr>
                <w:rFonts w:hint="eastAsia"/>
                <w:lang w:val="en-US" w:eastAsia="zh-CN"/>
              </w:rPr>
            </w:pPr>
          </w:p>
          <w:p w14:paraId="4BB4E4B3">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eastAsia"/>
                <w:color w:val="000000"/>
                <w:kern w:val="0"/>
                <w:sz w:val="24"/>
                <w:lang w:val="en-US" w:eastAsia="zh-CN"/>
              </w:rPr>
              <w:t>（8）与《关于印发〈安徽省低挥发性有机物含量原辅材料替代工作方案〉的通知》（皖环发〔2024〕1号）相符性分析</w:t>
            </w:r>
          </w:p>
          <w:p w14:paraId="1A8B6A6E">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表1-</w:t>
            </w:r>
            <w:r>
              <w:rPr>
                <w:rFonts w:hint="eastAsia" w:cs="Times New Roman"/>
                <w:b/>
                <w:bCs/>
                <w:color w:val="000000"/>
                <w:sz w:val="21"/>
                <w:szCs w:val="21"/>
                <w:lang w:val="en-US" w:eastAsia="zh-CN"/>
              </w:rPr>
              <w:t>9</w:t>
            </w:r>
            <w:r>
              <w:rPr>
                <w:rFonts w:hint="eastAsia" w:ascii="Times New Roman" w:hAnsi="Times New Roman" w:eastAsia="宋体" w:cs="Times New Roman"/>
                <w:b/>
                <w:bCs/>
                <w:color w:val="000000"/>
                <w:sz w:val="21"/>
                <w:szCs w:val="21"/>
                <w:lang w:val="en-US" w:eastAsia="zh-CN"/>
              </w:rPr>
              <w:t xml:space="preserve">  与皖环发〔2024〕1号文件相符性分析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947"/>
              <w:gridCol w:w="2220"/>
              <w:gridCol w:w="720"/>
            </w:tblGrid>
            <w:tr w14:paraId="3379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47" w:type="dxa"/>
                  <w:vAlign w:val="center"/>
                </w:tcPr>
                <w:p w14:paraId="310F28AA">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eastAsia="zh-CN"/>
                    </w:rPr>
                    <w:t>文件相关内容</w:t>
                  </w:r>
                </w:p>
              </w:tc>
              <w:tc>
                <w:tcPr>
                  <w:tcW w:w="2220" w:type="dxa"/>
                  <w:vAlign w:val="center"/>
                </w:tcPr>
                <w:p w14:paraId="1C38ADA7">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本项目情况</w:t>
                  </w:r>
                </w:p>
              </w:tc>
              <w:tc>
                <w:tcPr>
                  <w:tcW w:w="720" w:type="dxa"/>
                  <w:vAlign w:val="center"/>
                </w:tcPr>
                <w:p w14:paraId="620169FB">
                  <w:pPr>
                    <w:autoSpaceDE w:val="0"/>
                    <w:autoSpaceDN w:val="0"/>
                    <w:adjustRightInd w:val="0"/>
                    <w:snapToGrid w:val="0"/>
                    <w:spacing w:line="240" w:lineRule="auto"/>
                    <w:jc w:val="center"/>
                    <w:rPr>
                      <w:rFonts w:hint="eastAsia" w:ascii="宋体" w:hAnsi="宋体" w:cs="宋体"/>
                      <w:b/>
                      <w:bCs/>
                      <w:kern w:val="0"/>
                      <w:sz w:val="22"/>
                      <w:szCs w:val="22"/>
                      <w:vertAlign w:val="baseline"/>
                      <w:lang w:eastAsia="zh-CN"/>
                    </w:rPr>
                  </w:pPr>
                  <w:r>
                    <w:rPr>
                      <w:rFonts w:hint="eastAsia" w:ascii="宋体" w:hAnsi="宋体" w:cs="宋体"/>
                      <w:b/>
                      <w:bCs/>
                      <w:kern w:val="0"/>
                      <w:sz w:val="22"/>
                      <w:szCs w:val="22"/>
                      <w:vertAlign w:val="baseline"/>
                      <w:lang w:val="en-US" w:eastAsia="zh-CN"/>
                    </w:rPr>
                    <w:t>相符性</w:t>
                  </w:r>
                </w:p>
              </w:tc>
            </w:tr>
            <w:tr w14:paraId="75C1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47" w:type="dxa"/>
                  <w:shd w:val="clear" w:color="auto" w:fill="auto"/>
                  <w:vAlign w:val="center"/>
                </w:tcPr>
                <w:p w14:paraId="2C52FF47">
                  <w:pPr>
                    <w:autoSpaceDE w:val="0"/>
                    <w:autoSpaceDN w:val="0"/>
                    <w:adjustRightInd w:val="0"/>
                    <w:snapToGrid w:val="0"/>
                    <w:spacing w:line="240" w:lineRule="auto"/>
                    <w:jc w:val="center"/>
                    <w:rPr>
                      <w:rFonts w:hint="eastAsia" w:ascii="Times New Roman" w:hAnsi="Times New Roman" w:eastAsia="宋体" w:cs="Times New Roman"/>
                      <w:kern w:val="2"/>
                      <w:sz w:val="22"/>
                      <w:szCs w:val="22"/>
                      <w:lang w:val="en-US" w:eastAsia="zh-CN" w:bidi="ar-SA"/>
                    </w:rPr>
                  </w:pPr>
                  <w:r>
                    <w:rPr>
                      <w:rFonts w:hint="eastAsia" w:ascii="Times New Roman" w:hAnsi="Times New Roman" w:eastAsia="宋体" w:cs="Times New Roman"/>
                      <w:sz w:val="22"/>
                      <w:szCs w:val="22"/>
                      <w:lang w:val="en-US" w:eastAsia="zh-CN"/>
                    </w:rPr>
                    <w:t>到2025年底前</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推进汽车整车制造、木质家具、汽车零部件、工程机械、钢结构、船舶制造等领域3100余家重点企业</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附件1</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实施低VOCs含量涂料源头替代及工艺改造</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原则上实现“应替尽替”。</w:t>
                  </w:r>
                </w:p>
              </w:tc>
              <w:tc>
                <w:tcPr>
                  <w:tcW w:w="2220" w:type="dxa"/>
                  <w:shd w:val="clear" w:color="auto" w:fill="auto"/>
                  <w:vAlign w:val="center"/>
                </w:tcPr>
                <w:p w14:paraId="6651F246">
                  <w:pPr>
                    <w:autoSpaceDE w:val="0"/>
                    <w:autoSpaceDN w:val="0"/>
                    <w:adjustRightInd w:val="0"/>
                    <w:snapToGrid w:val="0"/>
                    <w:spacing w:line="240" w:lineRule="auto"/>
                    <w:jc w:val="center"/>
                    <w:rPr>
                      <w:rFonts w:hint="eastAsia" w:ascii="Times New Roman" w:hAnsi="Times New Roman" w:eastAsia="宋体" w:cs="Times New Roman"/>
                      <w:kern w:val="2"/>
                      <w:sz w:val="22"/>
                      <w:szCs w:val="22"/>
                      <w:lang w:val="en-US" w:eastAsia="zh-CN" w:bidi="ar-SA"/>
                    </w:rPr>
                  </w:pPr>
                  <w:r>
                    <w:rPr>
                      <w:rFonts w:hint="eastAsia" w:cs="Times New Roman"/>
                      <w:sz w:val="22"/>
                      <w:szCs w:val="22"/>
                      <w:lang w:val="en-US" w:eastAsia="zh-CN"/>
                    </w:rPr>
                    <w:t>建设单位不属于</w:t>
                  </w:r>
                  <w:r>
                    <w:rPr>
                      <w:rFonts w:hint="eastAsia" w:ascii="Times New Roman" w:hAnsi="Times New Roman" w:eastAsia="宋体" w:cs="Times New Roman"/>
                      <w:sz w:val="22"/>
                      <w:szCs w:val="22"/>
                      <w:lang w:val="en-US" w:eastAsia="zh-CN"/>
                    </w:rPr>
                    <w:t>附件1</w:t>
                  </w:r>
                  <w:r>
                    <w:rPr>
                      <w:rFonts w:hint="eastAsia" w:cs="Times New Roman"/>
                      <w:sz w:val="22"/>
                      <w:szCs w:val="22"/>
                      <w:lang w:val="en-US" w:eastAsia="zh-CN"/>
                    </w:rPr>
                    <w:t>内3100余家重点企业。</w:t>
                  </w:r>
                </w:p>
              </w:tc>
              <w:tc>
                <w:tcPr>
                  <w:tcW w:w="720" w:type="dxa"/>
                  <w:shd w:val="clear" w:color="auto" w:fill="auto"/>
                  <w:vAlign w:val="center"/>
                </w:tcPr>
                <w:p w14:paraId="5EE6D67D">
                  <w:pPr>
                    <w:autoSpaceDE w:val="0"/>
                    <w:autoSpaceDN w:val="0"/>
                    <w:adjustRightInd w:val="0"/>
                    <w:snapToGrid w:val="0"/>
                    <w:spacing w:line="240" w:lineRule="auto"/>
                    <w:jc w:val="center"/>
                    <w:rPr>
                      <w:rFonts w:hint="eastAsia" w:ascii="Times New Roman" w:hAnsi="Times New Roman" w:eastAsia="宋体" w:cs="Times New Roman"/>
                      <w:kern w:val="2"/>
                      <w:sz w:val="22"/>
                      <w:szCs w:val="22"/>
                      <w:lang w:val="en-US" w:eastAsia="zh-CN" w:bidi="ar-SA"/>
                    </w:rPr>
                  </w:pPr>
                  <w:r>
                    <w:rPr>
                      <w:rFonts w:hint="eastAsia" w:cs="Times New Roman"/>
                      <w:sz w:val="22"/>
                      <w:szCs w:val="22"/>
                      <w:lang w:val="en-US" w:eastAsia="zh-CN"/>
                    </w:rPr>
                    <w:t>符合</w:t>
                  </w:r>
                </w:p>
              </w:tc>
            </w:tr>
            <w:tr w14:paraId="1F9E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47" w:type="dxa"/>
                  <w:vAlign w:val="center"/>
                </w:tcPr>
                <w:p w14:paraId="480ADFC5">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（一）</w:t>
                  </w:r>
                  <w:r>
                    <w:rPr>
                      <w:rFonts w:hint="eastAsia" w:ascii="Times New Roman" w:hAnsi="Times New Roman" w:eastAsia="宋体" w:cs="Times New Roman"/>
                      <w:sz w:val="22"/>
                      <w:szCs w:val="22"/>
                      <w:lang w:val="en-US" w:eastAsia="zh-CN"/>
                    </w:rPr>
                    <w:t>加强替代管理。工业涂装、包装印刷、竹木加工、家具制造、汽车修理与维护、鞋和皮革制品制造等重点行业企业</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要按照《低挥发性有机物含量原辅材料源头替代技术指引(试行)》(附件3)要求</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开展低VOCs原辅材料和生产方式替代</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优化管控台账及档案管理</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持续提升环境管理水平。各地要根据《关于深入开展挥发性有机物污染治理工作的通知》(皖大气办〔2021〕4号)要求</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在认真梳理2021至2023年度VOCs源头削减治理项目清单基础上</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对涉VOCs重点行业和使用溶剂型涂料、油墨、胶粘剂、清洗剂以及涉及有机化工生产的产业集群进行再排查</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将含VOCs原辅材料使用企业全面纳入源头替代企业排查台账(附件2)</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对具备替代条件的</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加强调度指导</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对无法替代的</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要开展论证核实</w:t>
                  </w:r>
                  <w:r>
                    <w:rPr>
                      <w:rFonts w:hint="eastAsia" w:cs="Times New Roman"/>
                      <w:sz w:val="22"/>
                      <w:szCs w:val="22"/>
                      <w:lang w:val="en-US" w:eastAsia="zh-CN"/>
                    </w:rPr>
                    <w:t>，</w:t>
                  </w:r>
                  <w:r>
                    <w:rPr>
                      <w:rFonts w:hint="eastAsia" w:ascii="Times New Roman" w:hAnsi="Times New Roman" w:eastAsia="宋体" w:cs="Times New Roman"/>
                      <w:sz w:val="22"/>
                      <w:szCs w:val="22"/>
                      <w:lang w:val="en-US" w:eastAsia="zh-CN"/>
                    </w:rPr>
                    <w:t>严格把关并逐一说明。</w:t>
                  </w:r>
                </w:p>
              </w:tc>
              <w:tc>
                <w:tcPr>
                  <w:tcW w:w="2220" w:type="dxa"/>
                  <w:vAlign w:val="center"/>
                </w:tcPr>
                <w:p w14:paraId="1C6C34C1">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建设单位不属于</w:t>
                  </w:r>
                  <w:r>
                    <w:rPr>
                      <w:rFonts w:hint="eastAsia" w:ascii="Times New Roman" w:hAnsi="Times New Roman" w:eastAsia="宋体" w:cs="Times New Roman"/>
                      <w:sz w:val="22"/>
                      <w:szCs w:val="22"/>
                      <w:lang w:val="en-US" w:eastAsia="zh-CN"/>
                    </w:rPr>
                    <w:t>重点行业企业</w:t>
                  </w:r>
                  <w:r>
                    <w:rPr>
                      <w:rFonts w:hint="eastAsia" w:cs="Times New Roman"/>
                      <w:sz w:val="22"/>
                      <w:szCs w:val="22"/>
                      <w:lang w:val="en-US" w:eastAsia="zh-CN"/>
                    </w:rPr>
                    <w:t>，</w:t>
                  </w:r>
                  <w:r>
                    <w:rPr>
                      <w:rFonts w:hint="eastAsia" w:ascii="Times New Roman" w:hAnsi="Times New Roman" w:cs="Times New Roman"/>
                      <w:sz w:val="21"/>
                      <w:szCs w:val="21"/>
                      <w:lang w:val="en-US" w:eastAsia="zh-CN"/>
                    </w:rPr>
                    <w:t>经过建设单位所在协会论证，目前暂时无法使用水性漆等低VOC涂料进行替代。</w:t>
                  </w:r>
                  <w:r>
                    <w:rPr>
                      <w:rFonts w:hint="default" w:ascii="Times New Roman" w:hAnsi="Times New Roman" w:eastAsia="宋体" w:cs="Times New Roman"/>
                      <w:sz w:val="21"/>
                      <w:szCs w:val="21"/>
                      <w:lang w:val="en-US" w:eastAsia="zh-CN"/>
                    </w:rPr>
                    <w:t>本项目使用的</w:t>
                  </w:r>
                  <w:r>
                    <w:rPr>
                      <w:rFonts w:hint="eastAsia" w:ascii="Times New Roman" w:hAnsi="Times New Roman" w:cs="Times New Roman"/>
                      <w:sz w:val="21"/>
                      <w:szCs w:val="21"/>
                      <w:lang w:val="en-US" w:eastAsia="zh-CN"/>
                    </w:rPr>
                    <w:t>油漆</w:t>
                  </w:r>
                  <w:r>
                    <w:rPr>
                      <w:rFonts w:hint="eastAsia" w:cs="Times New Roman"/>
                      <w:sz w:val="21"/>
                      <w:szCs w:val="21"/>
                      <w:lang w:val="en-US" w:eastAsia="zh-CN"/>
                    </w:rPr>
                    <w:t>中VOC含量满足《低挥发性有机化合物含量涂料产品技术要求》（GB/T 38597-2020）表2中限量值，同时</w:t>
                  </w:r>
                  <w:r>
                    <w:rPr>
                      <w:rFonts w:hint="default" w:ascii="Times New Roman" w:hAnsi="Times New Roman" w:eastAsia="宋体" w:cs="Times New Roman"/>
                      <w:sz w:val="21"/>
                      <w:szCs w:val="21"/>
                      <w:lang w:val="en-US" w:eastAsia="zh-CN"/>
                    </w:rPr>
                    <w:t>采取密闭桶装，从源头上减少了VOCs产生</w:t>
                  </w:r>
                  <w:r>
                    <w:rPr>
                      <w:rFonts w:hint="eastAsia" w:cs="Times New Roman"/>
                      <w:sz w:val="22"/>
                      <w:szCs w:val="22"/>
                      <w:lang w:val="en-US" w:eastAsia="zh-CN"/>
                    </w:rPr>
                    <w:t>。</w:t>
                  </w:r>
                </w:p>
              </w:tc>
              <w:tc>
                <w:tcPr>
                  <w:tcW w:w="720" w:type="dxa"/>
                  <w:vAlign w:val="center"/>
                </w:tcPr>
                <w:p w14:paraId="3A1444CF">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67FE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47" w:type="dxa"/>
                  <w:vAlign w:val="center"/>
                </w:tcPr>
                <w:p w14:paraId="528EF5B0">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二</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严格项目准入。根据《低挥发性有机化合物含量涂料产品技术要求》(GB/T38597-2020)要求</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进一步完善VOCs排放管控地方标准建设</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细化相关行业涂料种类及各项污染物指标限值</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编制实施固定源挥发性有机物综合排放标准和制鞋、汽修、木材等行业大气污染物排放标准。禁止建设</w:t>
                  </w:r>
                  <w:r>
                    <w:rPr>
                      <w:rFonts w:hint="eastAsia" w:cs="Times New Roman"/>
                      <w:sz w:val="22"/>
                      <w:szCs w:val="22"/>
                      <w:lang w:val="en-US" w:eastAsia="zh-CN"/>
                    </w:rPr>
                    <w:t>生产</w:t>
                  </w:r>
                  <w:r>
                    <w:rPr>
                      <w:rFonts w:hint="default" w:ascii="Times New Roman" w:hAnsi="Times New Roman" w:eastAsia="宋体" w:cs="Times New Roman"/>
                      <w:sz w:val="22"/>
                      <w:szCs w:val="22"/>
                      <w:lang w:val="en-US" w:eastAsia="zh-CN"/>
                    </w:rPr>
                    <w:t>和</w:t>
                  </w:r>
                  <w:r>
                    <w:rPr>
                      <w:rFonts w:hint="eastAsia" w:cs="Times New Roman"/>
                      <w:sz w:val="22"/>
                      <w:szCs w:val="22"/>
                      <w:lang w:val="en-US" w:eastAsia="zh-CN"/>
                    </w:rPr>
                    <w:t>使用</w:t>
                  </w:r>
                  <w:r>
                    <w:rPr>
                      <w:rFonts w:hint="default" w:ascii="Times New Roman" w:hAnsi="Times New Roman" w:eastAsia="宋体" w:cs="Times New Roman"/>
                      <w:sz w:val="22"/>
                      <w:szCs w:val="22"/>
                      <w:lang w:val="en-US" w:eastAsia="zh-CN"/>
                    </w:rPr>
                    <w:t>高VOCs含量的溶剂型涂料、油墨、胶黏剂等项目</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全省工业涂装、包装印刷等重点行业和涂料、油墨等生产企业的新(改、扩)建项目需满足低(无)VOCs含量限值要求。省内市场上流通的水性涂料等低VOCs含量涂料产品</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执行《低挥发性有机化合物含量涂料产品技术要求》</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应在包装标志或产品说明上标明符合标准的分类、产品类别及产品类型(或施涂方式)。</w:t>
                  </w:r>
                </w:p>
              </w:tc>
              <w:tc>
                <w:tcPr>
                  <w:tcW w:w="2220" w:type="dxa"/>
                  <w:vAlign w:val="center"/>
                </w:tcPr>
                <w:p w14:paraId="6C1B562D">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建设单位不属于</w:t>
                  </w:r>
                  <w:r>
                    <w:rPr>
                      <w:rFonts w:hint="eastAsia" w:ascii="Times New Roman" w:hAnsi="Times New Roman" w:eastAsia="宋体" w:cs="Times New Roman"/>
                      <w:sz w:val="22"/>
                      <w:szCs w:val="22"/>
                      <w:lang w:val="en-US" w:eastAsia="zh-CN"/>
                    </w:rPr>
                    <w:t>重点行业企业</w:t>
                  </w:r>
                  <w:r>
                    <w:rPr>
                      <w:rFonts w:hint="eastAsia" w:cs="Times New Roman"/>
                      <w:sz w:val="22"/>
                      <w:szCs w:val="22"/>
                      <w:lang w:val="en-US" w:eastAsia="zh-CN"/>
                    </w:rPr>
                    <w:t>，</w:t>
                  </w:r>
                  <w:r>
                    <w:rPr>
                      <w:rFonts w:hint="default" w:ascii="Times New Roman" w:hAnsi="Times New Roman" w:eastAsia="宋体" w:cs="Times New Roman"/>
                      <w:sz w:val="21"/>
                      <w:szCs w:val="21"/>
                      <w:lang w:val="en-US" w:eastAsia="zh-CN"/>
                    </w:rPr>
                    <w:t>本项目使用的</w:t>
                  </w:r>
                  <w:r>
                    <w:rPr>
                      <w:rFonts w:hint="eastAsia" w:ascii="Times New Roman" w:hAnsi="Times New Roman" w:cs="Times New Roman"/>
                      <w:sz w:val="21"/>
                      <w:szCs w:val="21"/>
                      <w:lang w:val="en-US" w:eastAsia="zh-CN"/>
                    </w:rPr>
                    <w:t>油漆</w:t>
                  </w:r>
                  <w:r>
                    <w:rPr>
                      <w:rFonts w:hint="eastAsia" w:cs="Times New Roman"/>
                      <w:sz w:val="21"/>
                      <w:szCs w:val="21"/>
                      <w:lang w:val="en-US" w:eastAsia="zh-CN"/>
                    </w:rPr>
                    <w:t>中VOC含量满足《低挥发性有机化合物含量涂料产品技术要求》（GB/T 38597-2020）表2中限量值</w:t>
                  </w:r>
                  <w:r>
                    <w:rPr>
                      <w:rFonts w:hint="eastAsia" w:cs="Times New Roman"/>
                      <w:sz w:val="22"/>
                      <w:szCs w:val="22"/>
                      <w:lang w:val="en-US" w:eastAsia="zh-CN"/>
                    </w:rPr>
                    <w:t>。</w:t>
                  </w:r>
                </w:p>
              </w:tc>
              <w:tc>
                <w:tcPr>
                  <w:tcW w:w="720" w:type="dxa"/>
                  <w:vAlign w:val="center"/>
                </w:tcPr>
                <w:p w14:paraId="3245CDE3">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符合</w:t>
                  </w:r>
                </w:p>
              </w:tc>
            </w:tr>
            <w:tr w14:paraId="3750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47" w:type="dxa"/>
                  <w:vAlign w:val="center"/>
                </w:tcPr>
                <w:p w14:paraId="09378171">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三</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强化示范带动。结合产业特点</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实施工业涂装、包装印刷重点行业低VOCs含量原辅材料源头替代企业豁免末端治理设施试点</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完善建立含VOCs物料生产端和使用端清洁原辅材料替代正面清单。各地要将全部生产水性、粉末、无溶剂、辐射固化涂料以及水性和能量固化油墨、水基和半水基清洗剂、水基型和本体型胶粘剂的生产企业</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以及已经完全实施低VOCs含量清洁原料替代</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排放浓度稳定达标且排放速率、排放绩效等满足相关规定的企业</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纳入正面清单管理</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在重污染天气应对、环境执法检查、政府绿色采购、绿色工厂及清洁生产评价、绿色产品认证、企业信贷融资等方面</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给予政策倾斜。以工业涂装和包装印刷为行业试点</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实施低VOCs原辅材料替代企业豁免挥发性有机物末端治理鼓励政策(附件4)</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规范引导企业积极开展源头替代工作。要充分发挥行业协会作用</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邀请行业协会、专业检测机构等技术专家参与审核抽查工作</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经各市审核确定的符合豁免条件的企业</w:t>
                  </w:r>
                  <w:r>
                    <w:rPr>
                      <w:rFonts w:hint="eastAsia" w:cs="Times New Roman"/>
                      <w:sz w:val="22"/>
                      <w:szCs w:val="22"/>
                      <w:lang w:val="en-US" w:eastAsia="zh-CN"/>
                    </w:rPr>
                    <w:t>，</w:t>
                  </w:r>
                  <w:r>
                    <w:rPr>
                      <w:rFonts w:hint="default" w:ascii="Times New Roman" w:hAnsi="Times New Roman" w:eastAsia="宋体" w:cs="Times New Roman"/>
                      <w:sz w:val="22"/>
                      <w:szCs w:val="22"/>
                      <w:lang w:val="en-US" w:eastAsia="zh-CN"/>
                    </w:rPr>
                    <w:t>相应生产工序可不要求建设末端治理设施或VOCs无组织排放收集处理设施。</w:t>
                  </w:r>
                </w:p>
              </w:tc>
              <w:tc>
                <w:tcPr>
                  <w:tcW w:w="2220" w:type="dxa"/>
                  <w:vAlign w:val="center"/>
                </w:tcPr>
                <w:p w14:paraId="50A738FF">
                  <w:pPr>
                    <w:autoSpaceDE w:val="0"/>
                    <w:autoSpaceDN w:val="0"/>
                    <w:adjustRightInd w:val="0"/>
                    <w:snapToGrid w:val="0"/>
                    <w:spacing w:line="240" w:lineRule="auto"/>
                    <w:jc w:val="center"/>
                    <w:rPr>
                      <w:rFonts w:hint="eastAsia" w:ascii="Times New Roman" w:hAnsi="Times New Roman" w:eastAsia="宋体" w:cs="Times New Roman"/>
                      <w:sz w:val="22"/>
                      <w:szCs w:val="22"/>
                      <w:lang w:val="en-US" w:eastAsia="zh-CN"/>
                    </w:rPr>
                  </w:pPr>
                  <w:r>
                    <w:rPr>
                      <w:rFonts w:hint="eastAsia" w:ascii="Times New Roman" w:hAnsi="Times New Roman" w:cs="Times New Roman"/>
                      <w:sz w:val="21"/>
                      <w:szCs w:val="21"/>
                      <w:lang w:val="en-US" w:eastAsia="zh-CN"/>
                    </w:rPr>
                    <w:t>经过建设单位所在协会论证，目前暂时无法使用水性漆等低VOC涂料进行替代。</w:t>
                  </w:r>
                  <w:r>
                    <w:rPr>
                      <w:rFonts w:hint="default" w:ascii="Times New Roman" w:hAnsi="Times New Roman" w:eastAsia="宋体" w:cs="Times New Roman"/>
                      <w:sz w:val="21"/>
                      <w:szCs w:val="21"/>
                      <w:lang w:val="en-US" w:eastAsia="zh-CN"/>
                    </w:rPr>
                    <w:t>本项目使用的</w:t>
                  </w:r>
                  <w:r>
                    <w:rPr>
                      <w:rFonts w:hint="eastAsia" w:ascii="Times New Roman" w:hAnsi="Times New Roman" w:cs="Times New Roman"/>
                      <w:sz w:val="21"/>
                      <w:szCs w:val="21"/>
                      <w:lang w:val="en-US" w:eastAsia="zh-CN"/>
                    </w:rPr>
                    <w:t>油漆</w:t>
                  </w:r>
                  <w:r>
                    <w:rPr>
                      <w:rFonts w:hint="eastAsia" w:cs="Times New Roman"/>
                      <w:sz w:val="21"/>
                      <w:szCs w:val="21"/>
                      <w:lang w:val="en-US" w:eastAsia="zh-CN"/>
                    </w:rPr>
                    <w:t>中VOC含量满足《低挥发性有机化合物含量涂料产品技术要求》（GB/T 38597-2020）表2中限值要求</w:t>
                  </w:r>
                  <w:r>
                    <w:rPr>
                      <w:rFonts w:hint="eastAsia" w:cs="Times New Roman"/>
                      <w:sz w:val="22"/>
                      <w:szCs w:val="22"/>
                      <w:lang w:val="en-US" w:eastAsia="zh-CN"/>
                    </w:rPr>
                    <w:t>。</w:t>
                  </w:r>
                </w:p>
              </w:tc>
              <w:tc>
                <w:tcPr>
                  <w:tcW w:w="720" w:type="dxa"/>
                  <w:vAlign w:val="center"/>
                </w:tcPr>
                <w:p w14:paraId="46D83E6A">
                  <w:pPr>
                    <w:autoSpaceDE w:val="0"/>
                    <w:autoSpaceDN w:val="0"/>
                    <w:adjustRightInd w:val="0"/>
                    <w:snapToGrid w:val="0"/>
                    <w:spacing w:line="240" w:lineRule="auto"/>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符合</w:t>
                  </w:r>
                </w:p>
              </w:tc>
            </w:tr>
          </w:tbl>
          <w:p w14:paraId="5320DEC8">
            <w:p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color w:val="000000"/>
                <w:sz w:val="21"/>
                <w:szCs w:val="21"/>
                <w:lang w:val="en-US" w:eastAsia="zh-CN"/>
              </w:rPr>
            </w:pPr>
          </w:p>
          <w:p w14:paraId="19BBF139">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lang w:val="en-US" w:eastAsia="zh-CN" w:bidi="ar-SA"/>
              </w:rPr>
            </w:pPr>
            <w:r>
              <w:rPr>
                <w:rFonts w:hint="eastAsia"/>
                <w:color w:val="000000"/>
                <w:kern w:val="0"/>
                <w:sz w:val="24"/>
                <w:lang w:val="en-US" w:eastAsia="zh-CN"/>
              </w:rPr>
              <w:t>（9）与《重点行业挥发性有机物治理环境管理技术规范》（DB34/T4230.1-2022）相符性分析</w:t>
            </w:r>
          </w:p>
          <w:p w14:paraId="0506C24E">
            <w:pPr>
              <w:autoSpaceDE w:val="0"/>
              <w:autoSpaceDN w:val="0"/>
              <w:adjustRightInd w:val="0"/>
              <w:snapToGrid w:val="0"/>
              <w:spacing w:line="360" w:lineRule="auto"/>
              <w:ind w:firstLine="422" w:firstLineChars="20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表1-</w:t>
            </w:r>
            <w:r>
              <w:rPr>
                <w:rFonts w:hint="eastAsia" w:cs="Times New Roman"/>
                <w:b/>
                <w:bCs/>
                <w:color w:val="000000"/>
                <w:sz w:val="21"/>
                <w:szCs w:val="21"/>
                <w:lang w:val="en-US" w:eastAsia="zh-CN"/>
              </w:rPr>
              <w:t>10</w:t>
            </w:r>
            <w:r>
              <w:rPr>
                <w:rFonts w:hint="eastAsia" w:ascii="Times New Roman" w:hAnsi="Times New Roman" w:eastAsia="宋体" w:cs="Times New Roman"/>
                <w:b/>
                <w:bCs/>
                <w:color w:val="000000"/>
                <w:sz w:val="21"/>
                <w:szCs w:val="21"/>
                <w:lang w:val="en-US" w:eastAsia="zh-CN"/>
              </w:rPr>
              <w:t xml:space="preserve">  与DB34/T4230.1-2022文件相符性分析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955"/>
              <w:gridCol w:w="2212"/>
              <w:gridCol w:w="720"/>
            </w:tblGrid>
            <w:tr w14:paraId="4A6B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55" w:type="dxa"/>
                  <w:vAlign w:val="center"/>
                </w:tcPr>
                <w:p w14:paraId="55D8117E">
                  <w:pPr>
                    <w:autoSpaceDE w:val="0"/>
                    <w:autoSpaceDN w:val="0"/>
                    <w:adjustRightInd w:val="0"/>
                    <w:snapToGrid w:val="0"/>
                    <w:spacing w:line="240" w:lineRule="auto"/>
                    <w:jc w:val="center"/>
                    <w:rPr>
                      <w:rFonts w:hint="eastAsia" w:ascii="宋体" w:hAnsi="宋体" w:cs="宋体"/>
                      <w:b/>
                      <w:bCs/>
                      <w:kern w:val="0"/>
                      <w:sz w:val="21"/>
                      <w:szCs w:val="21"/>
                      <w:vertAlign w:val="baseline"/>
                      <w:lang w:eastAsia="zh-CN"/>
                    </w:rPr>
                  </w:pPr>
                  <w:r>
                    <w:rPr>
                      <w:rFonts w:hint="eastAsia" w:ascii="宋体" w:hAnsi="宋体" w:cs="宋体"/>
                      <w:b/>
                      <w:bCs/>
                      <w:kern w:val="0"/>
                      <w:sz w:val="21"/>
                      <w:szCs w:val="21"/>
                      <w:vertAlign w:val="baseline"/>
                      <w:lang w:eastAsia="zh-CN"/>
                    </w:rPr>
                    <w:t>文件相关内容</w:t>
                  </w:r>
                </w:p>
              </w:tc>
              <w:tc>
                <w:tcPr>
                  <w:tcW w:w="2212" w:type="dxa"/>
                  <w:vAlign w:val="center"/>
                </w:tcPr>
                <w:p w14:paraId="51E1F51F">
                  <w:pPr>
                    <w:autoSpaceDE w:val="0"/>
                    <w:autoSpaceDN w:val="0"/>
                    <w:adjustRightInd w:val="0"/>
                    <w:snapToGrid w:val="0"/>
                    <w:spacing w:line="240" w:lineRule="auto"/>
                    <w:jc w:val="center"/>
                    <w:rPr>
                      <w:rFonts w:hint="eastAsia" w:ascii="宋体" w:hAnsi="宋体" w:cs="宋体"/>
                      <w:b/>
                      <w:bCs/>
                      <w:kern w:val="0"/>
                      <w:sz w:val="21"/>
                      <w:szCs w:val="21"/>
                      <w:vertAlign w:val="baseline"/>
                      <w:lang w:eastAsia="zh-CN"/>
                    </w:rPr>
                  </w:pPr>
                  <w:r>
                    <w:rPr>
                      <w:rFonts w:hint="eastAsia" w:ascii="宋体" w:hAnsi="宋体" w:cs="宋体"/>
                      <w:b/>
                      <w:bCs/>
                      <w:kern w:val="0"/>
                      <w:sz w:val="21"/>
                      <w:szCs w:val="21"/>
                      <w:vertAlign w:val="baseline"/>
                      <w:lang w:val="en-US" w:eastAsia="zh-CN"/>
                    </w:rPr>
                    <w:t>本项目情况</w:t>
                  </w:r>
                </w:p>
              </w:tc>
              <w:tc>
                <w:tcPr>
                  <w:tcW w:w="720" w:type="dxa"/>
                  <w:vAlign w:val="center"/>
                </w:tcPr>
                <w:p w14:paraId="69183518">
                  <w:pPr>
                    <w:autoSpaceDE w:val="0"/>
                    <w:autoSpaceDN w:val="0"/>
                    <w:adjustRightInd w:val="0"/>
                    <w:snapToGrid w:val="0"/>
                    <w:spacing w:line="240" w:lineRule="auto"/>
                    <w:jc w:val="center"/>
                    <w:rPr>
                      <w:rFonts w:hint="eastAsia" w:ascii="宋体" w:hAnsi="宋体" w:cs="宋体"/>
                      <w:b/>
                      <w:bCs/>
                      <w:kern w:val="0"/>
                      <w:sz w:val="21"/>
                      <w:szCs w:val="21"/>
                      <w:vertAlign w:val="baseline"/>
                      <w:lang w:eastAsia="zh-CN"/>
                    </w:rPr>
                  </w:pPr>
                  <w:r>
                    <w:rPr>
                      <w:rFonts w:hint="eastAsia" w:ascii="宋体" w:hAnsi="宋体" w:cs="宋体"/>
                      <w:b/>
                      <w:bCs/>
                      <w:kern w:val="0"/>
                      <w:sz w:val="21"/>
                      <w:szCs w:val="21"/>
                      <w:vertAlign w:val="baseline"/>
                      <w:lang w:val="en-US" w:eastAsia="zh-CN"/>
                    </w:rPr>
                    <w:t>相符性</w:t>
                  </w:r>
                </w:p>
              </w:tc>
            </w:tr>
            <w:tr w14:paraId="4086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55" w:type="dxa"/>
                  <w:vAlign w:val="center"/>
                </w:tcPr>
                <w:p w14:paraId="55AE23B6">
                  <w:pPr>
                    <w:autoSpaceDE w:val="0"/>
                    <w:autoSpaceDN w:val="0"/>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VO</w:t>
                  </w:r>
                  <w:r>
                    <w:rPr>
                      <w:rFonts w:hint="eastAsia" w:ascii="Times New Roman" w:hAnsi="Times New Roman" w:eastAsia="宋体" w:cs="Times New Roman"/>
                      <w:sz w:val="21"/>
                      <w:szCs w:val="21"/>
                      <w:lang w:val="en-US" w:eastAsia="zh-CN"/>
                    </w:rPr>
                    <w:t>Cs污染物排放应实施全过程控制</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主要包括源头削减、过程控制和末端治理三个方面。应结合HJ 942及行业特征</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实施不同的控制技术。</w:t>
                  </w:r>
                </w:p>
              </w:tc>
              <w:tc>
                <w:tcPr>
                  <w:tcW w:w="2212" w:type="dxa"/>
                  <w:vMerge w:val="restart"/>
                  <w:vAlign w:val="center"/>
                </w:tcPr>
                <w:p w14:paraId="05A6FE50">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本项目产生的有机废气采用空间密闭+管道负压收集，经过滤棉+吸附脱附催化燃烧设施后达标排放。</w:t>
                  </w:r>
                </w:p>
              </w:tc>
              <w:tc>
                <w:tcPr>
                  <w:tcW w:w="720" w:type="dxa"/>
                  <w:vAlign w:val="center"/>
                </w:tcPr>
                <w:p w14:paraId="5C89CEA5">
                  <w:pPr>
                    <w:autoSpaceDE w:val="0"/>
                    <w:autoSpaceDN w:val="0"/>
                    <w:adjustRightInd w:val="0"/>
                    <w:snapToGrid w:val="0"/>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14:paraId="47B1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55" w:type="dxa"/>
                  <w:vAlign w:val="center"/>
                </w:tcPr>
                <w:p w14:paraId="7AE45F7D">
                  <w:pPr>
                    <w:autoSpaceDE w:val="0"/>
                    <w:autoSpaceDN w:val="0"/>
                    <w:adjustRightInd w:val="0"/>
                    <w:snapToGrid w:val="0"/>
                    <w:spacing w:line="240" w:lineRule="auto"/>
                    <w:jc w:val="center"/>
                    <w:rPr>
                      <w:rFonts w:hint="eastAsia" w:cs="Times New Roman"/>
                      <w:sz w:val="21"/>
                      <w:szCs w:val="21"/>
                      <w:lang w:val="en-US" w:eastAsia="zh-CN"/>
                    </w:rPr>
                  </w:pPr>
                  <w:r>
                    <w:rPr>
                      <w:rFonts w:hint="eastAsia" w:cs="Times New Roman"/>
                      <w:sz w:val="21"/>
                      <w:szCs w:val="21"/>
                      <w:lang w:val="en-US" w:eastAsia="zh-CN"/>
                    </w:rPr>
                    <w:t>涂料、油墨、颜料及类似产品制造业、制鞋工业、家具制造工业、汽车制造业、其他工业涂装行业、包装印刷业、印刷和记录媒介复制业等溶剂使用的，优先采用源头削减替代，且溶剂使用应满足GB 19340、GB/T 30779、GB 30981、GB 33372、GB 38507和GB 38508的要求；石油化学工业、石油炼制</w:t>
                  </w:r>
                </w:p>
                <w:p w14:paraId="55D09410">
                  <w:pPr>
                    <w:autoSpaceDE w:val="0"/>
                    <w:autoSpaceDN w:val="0"/>
                    <w:adjustRightInd w:val="0"/>
                    <w:snapToGrid w:val="0"/>
                    <w:spacing w:line="240" w:lineRule="auto"/>
                    <w:jc w:val="center"/>
                    <w:rPr>
                      <w:rFonts w:hint="eastAsia" w:cs="Times New Roman"/>
                      <w:sz w:val="21"/>
                      <w:szCs w:val="21"/>
                      <w:lang w:val="en-US" w:eastAsia="zh-CN"/>
                    </w:rPr>
                  </w:pPr>
                  <w:r>
                    <w:rPr>
                      <w:rFonts w:hint="eastAsia" w:cs="Times New Roman"/>
                      <w:sz w:val="21"/>
                      <w:szCs w:val="21"/>
                      <w:lang w:val="en-US" w:eastAsia="zh-CN"/>
                    </w:rPr>
                    <w:t>工业、合成树脂工业、炼焦化学工业、专用化学品制造工业、日用化学产品制造工业、橡胶制品工业、医药制造工业、农药制造工业、化学纤维制造业等应强化过程控制；无法实施源头削减和过程控制的，宜采用吸附、焚烧等高效治理技术。</w:t>
                  </w:r>
                </w:p>
              </w:tc>
              <w:tc>
                <w:tcPr>
                  <w:tcW w:w="2212" w:type="dxa"/>
                  <w:vMerge w:val="continue"/>
                  <w:vAlign w:val="center"/>
                </w:tcPr>
                <w:p w14:paraId="0EB0480D">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p>
              </w:tc>
              <w:tc>
                <w:tcPr>
                  <w:tcW w:w="720" w:type="dxa"/>
                  <w:vAlign w:val="center"/>
                </w:tcPr>
                <w:p w14:paraId="68A7F808">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符合</w:t>
                  </w:r>
                </w:p>
              </w:tc>
            </w:tr>
            <w:tr w14:paraId="35EA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55" w:type="dxa"/>
                  <w:vAlign w:val="center"/>
                </w:tcPr>
                <w:p w14:paraId="5397F767">
                  <w:pPr>
                    <w:autoSpaceDE w:val="0"/>
                    <w:autoSpaceDN w:val="0"/>
                    <w:adjustRightInd w:val="0"/>
                    <w:snapToGrid w:val="0"/>
                    <w:spacing w:line="240" w:lineRule="auto"/>
                    <w:jc w:val="center"/>
                    <w:rPr>
                      <w:rFonts w:hint="eastAsia" w:cs="Times New Roman"/>
                      <w:sz w:val="21"/>
                      <w:szCs w:val="21"/>
                      <w:lang w:val="en-US" w:eastAsia="zh-CN"/>
                    </w:rPr>
                  </w:pPr>
                  <w:r>
                    <w:rPr>
                      <w:rFonts w:hint="eastAsia" w:cs="Times New Roman"/>
                      <w:sz w:val="21"/>
                      <w:szCs w:val="21"/>
                      <w:lang w:val="en-US" w:eastAsia="zh-CN"/>
                    </w:rPr>
                    <w:t>含V0Cs物料（包括含VOCs原辅材料、产品、废料等）储存、转移和输送、设备与管线组件泄漏、敞开液面逸散以及工艺过程等五类排放源应实施有效管控。宜使用先进生产工艺，采用全密闭、连续化、自动化等生产技术以及高效工艺与设备等，减少工艺过程无组织排放。</w:t>
                  </w:r>
                </w:p>
              </w:tc>
              <w:tc>
                <w:tcPr>
                  <w:tcW w:w="2212" w:type="dxa"/>
                  <w:vAlign w:val="center"/>
                </w:tcPr>
                <w:p w14:paraId="48D5EBB0">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本项目产生的有机废气采用空间密闭+管道负压收集，含V0Cs物料</w:t>
                  </w:r>
                  <w:r>
                    <w:rPr>
                      <w:rFonts w:hint="default" w:ascii="Times New Roman" w:hAnsi="Times New Roman" w:eastAsia="宋体" w:cs="Times New Roman"/>
                      <w:sz w:val="21"/>
                      <w:szCs w:val="21"/>
                      <w:lang w:val="en-US" w:eastAsia="zh-CN"/>
                    </w:rPr>
                    <w:t>采取密闭桶装，从源头上减少了VOCs产生</w:t>
                  </w:r>
                  <w:r>
                    <w:rPr>
                      <w:rFonts w:hint="eastAsia" w:cs="Times New Roman"/>
                      <w:sz w:val="21"/>
                      <w:szCs w:val="21"/>
                      <w:lang w:val="en-US" w:eastAsia="zh-CN"/>
                    </w:rPr>
                    <w:t>。</w:t>
                  </w:r>
                </w:p>
              </w:tc>
              <w:tc>
                <w:tcPr>
                  <w:tcW w:w="720" w:type="dxa"/>
                  <w:vAlign w:val="center"/>
                </w:tcPr>
                <w:p w14:paraId="715C16C2">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符合</w:t>
                  </w:r>
                </w:p>
              </w:tc>
            </w:tr>
            <w:tr w14:paraId="04E9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55" w:type="dxa"/>
                  <w:vAlign w:val="center"/>
                </w:tcPr>
                <w:p w14:paraId="1E2D4EC4">
                  <w:pPr>
                    <w:autoSpaceDE w:val="0"/>
                    <w:autoSpaceDN w:val="0"/>
                    <w:adjustRightInd w:val="0"/>
                    <w:snapToGrid w:val="0"/>
                    <w:spacing w:line="240" w:lineRule="auto"/>
                    <w:jc w:val="center"/>
                    <w:rPr>
                      <w:rFonts w:hint="eastAsia" w:cs="Times New Roman"/>
                      <w:sz w:val="21"/>
                      <w:szCs w:val="21"/>
                      <w:lang w:val="en-US" w:eastAsia="zh-CN"/>
                    </w:rPr>
                  </w:pPr>
                  <w:r>
                    <w:rPr>
                      <w:rFonts w:hint="eastAsia" w:cs="Times New Roman"/>
                      <w:sz w:val="21"/>
                      <w:szCs w:val="21"/>
                      <w:lang w:val="en-US" w:eastAsia="zh-CN"/>
                    </w:rPr>
                    <w:t>提高VOCs收集效率，科学设计废气收集系统，将无组织排放转变为有组织排放进行控制。</w:t>
                  </w:r>
                </w:p>
              </w:tc>
              <w:tc>
                <w:tcPr>
                  <w:tcW w:w="2212" w:type="dxa"/>
                  <w:vAlign w:val="center"/>
                </w:tcPr>
                <w:p w14:paraId="0B7EC7F5">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本次技改通过空间密闭+管道负压收集提高废气收集效率。</w:t>
                  </w:r>
                </w:p>
              </w:tc>
              <w:tc>
                <w:tcPr>
                  <w:tcW w:w="720" w:type="dxa"/>
                  <w:vAlign w:val="center"/>
                </w:tcPr>
                <w:p w14:paraId="1B7CBA54">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符合</w:t>
                  </w:r>
                </w:p>
              </w:tc>
            </w:tr>
            <w:tr w14:paraId="2E7E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55" w:type="dxa"/>
                  <w:vAlign w:val="center"/>
                </w:tcPr>
                <w:p w14:paraId="34B386AC">
                  <w:pPr>
                    <w:autoSpaceDE w:val="0"/>
                    <w:autoSpaceDN w:val="0"/>
                    <w:adjustRightInd w:val="0"/>
                    <w:snapToGrid w:val="0"/>
                    <w:spacing w:line="240" w:lineRule="auto"/>
                    <w:jc w:val="center"/>
                    <w:rPr>
                      <w:rFonts w:hint="eastAsia" w:cs="Times New Roman"/>
                      <w:sz w:val="21"/>
                      <w:szCs w:val="21"/>
                      <w:lang w:val="en-US" w:eastAsia="zh-CN"/>
                    </w:rPr>
                  </w:pPr>
                  <w:r>
                    <w:rPr>
                      <w:rFonts w:hint="eastAsia" w:cs="Times New Roman"/>
                      <w:sz w:val="21"/>
                      <w:szCs w:val="21"/>
                      <w:lang w:val="en-US" w:eastAsia="zh-CN"/>
                    </w:rPr>
                    <w:t>含尘、含油、含氯等VOCs应优先进行预处理，确保VOCs治理设施能够有效、安全运行。</w:t>
                  </w:r>
                </w:p>
              </w:tc>
              <w:tc>
                <w:tcPr>
                  <w:tcW w:w="2212" w:type="dxa"/>
                  <w:vAlign w:val="center"/>
                </w:tcPr>
                <w:p w14:paraId="7B17A966">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本项目不涉及。</w:t>
                  </w:r>
                </w:p>
              </w:tc>
              <w:tc>
                <w:tcPr>
                  <w:tcW w:w="720" w:type="dxa"/>
                  <w:vAlign w:val="center"/>
                </w:tcPr>
                <w:p w14:paraId="3F3B1692">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符合</w:t>
                  </w:r>
                </w:p>
              </w:tc>
            </w:tr>
            <w:tr w14:paraId="1F6F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4955" w:type="dxa"/>
                  <w:vAlign w:val="center"/>
                </w:tcPr>
                <w:p w14:paraId="66772D52">
                  <w:pPr>
                    <w:autoSpaceDE w:val="0"/>
                    <w:autoSpaceDN w:val="0"/>
                    <w:adjustRightInd w:val="0"/>
                    <w:snapToGrid w:val="0"/>
                    <w:spacing w:line="240" w:lineRule="auto"/>
                    <w:jc w:val="center"/>
                    <w:rPr>
                      <w:rFonts w:hint="eastAsia" w:cs="Times New Roman"/>
                      <w:sz w:val="21"/>
                      <w:szCs w:val="21"/>
                      <w:lang w:val="en-US" w:eastAsia="zh-CN"/>
                    </w:rPr>
                  </w:pPr>
                  <w:r>
                    <w:rPr>
                      <w:rFonts w:hint="eastAsia"/>
                      <w:sz w:val="21"/>
                      <w:szCs w:val="21"/>
                      <w:lang w:val="en-US" w:eastAsia="zh-CN"/>
                    </w:rPr>
                    <w:t>高</w:t>
                  </w:r>
                  <w:r>
                    <w:rPr>
                      <w:rFonts w:hint="eastAsia"/>
                      <w:sz w:val="21"/>
                      <w:szCs w:val="21"/>
                    </w:rPr>
                    <w:t>浓度V</w:t>
                  </w:r>
                  <w:r>
                    <w:rPr>
                      <w:rFonts w:hint="eastAsia"/>
                      <w:sz w:val="21"/>
                      <w:szCs w:val="21"/>
                      <w:lang w:val="en-US" w:eastAsia="zh-CN"/>
                    </w:rPr>
                    <w:t>O</w:t>
                  </w:r>
                  <w:r>
                    <w:rPr>
                      <w:rFonts w:hint="eastAsia"/>
                      <w:sz w:val="21"/>
                      <w:szCs w:val="21"/>
                    </w:rPr>
                    <w:t>Cs优先进行</w:t>
                  </w:r>
                  <w:r>
                    <w:rPr>
                      <w:rFonts w:hint="eastAsia"/>
                      <w:sz w:val="21"/>
                      <w:szCs w:val="21"/>
                      <w:lang w:val="en-US" w:eastAsia="zh-CN"/>
                    </w:rPr>
                    <w:t>溶剂回收，难以回收</w:t>
                  </w:r>
                  <w:r>
                    <w:rPr>
                      <w:rFonts w:hint="eastAsia"/>
                      <w:sz w:val="21"/>
                      <w:szCs w:val="21"/>
                    </w:rPr>
                    <w:t>的</w:t>
                  </w:r>
                  <w:r>
                    <w:rPr>
                      <w:rFonts w:hint="eastAsia"/>
                      <w:sz w:val="21"/>
                      <w:szCs w:val="21"/>
                      <w:lang w:eastAsia="zh-CN"/>
                    </w:rPr>
                    <w:t>，</w:t>
                  </w:r>
                  <w:r>
                    <w:rPr>
                      <w:rFonts w:hint="eastAsia"/>
                      <w:sz w:val="21"/>
                      <w:szCs w:val="21"/>
                    </w:rPr>
                    <w:t>宜采用</w:t>
                  </w:r>
                  <w:r>
                    <w:rPr>
                      <w:rFonts w:hint="eastAsia"/>
                      <w:sz w:val="21"/>
                      <w:szCs w:val="21"/>
                      <w:lang w:val="en-US" w:eastAsia="zh-CN"/>
                    </w:rPr>
                    <w:t>高温焚烧</w:t>
                  </w:r>
                  <w:r>
                    <w:rPr>
                      <w:rFonts w:hint="eastAsia"/>
                      <w:sz w:val="21"/>
                      <w:szCs w:val="21"/>
                    </w:rPr>
                    <w:t>、催化燃烧等技术</w:t>
                  </w:r>
                  <w:r>
                    <w:rPr>
                      <w:rFonts w:hint="eastAsia"/>
                      <w:sz w:val="21"/>
                      <w:szCs w:val="21"/>
                      <w:lang w:eastAsia="zh-CN"/>
                    </w:rPr>
                    <w:t>；</w:t>
                  </w:r>
                  <w:r>
                    <w:rPr>
                      <w:rFonts w:hint="eastAsia"/>
                      <w:sz w:val="21"/>
                      <w:szCs w:val="21"/>
                    </w:rPr>
                    <w:t>低浓度大风量</w:t>
                  </w:r>
                  <w:r>
                    <w:rPr>
                      <w:rFonts w:hint="eastAsia"/>
                      <w:sz w:val="21"/>
                      <w:szCs w:val="21"/>
                      <w:lang w:val="en-US" w:eastAsia="zh-CN"/>
                    </w:rPr>
                    <w:t>VO</w:t>
                  </w:r>
                  <w:r>
                    <w:rPr>
                      <w:rFonts w:hint="eastAsia"/>
                      <w:sz w:val="21"/>
                      <w:szCs w:val="21"/>
                    </w:rPr>
                    <w:t>Cs宜采用沸石转轮吸附、活性</w:t>
                  </w:r>
                  <w:r>
                    <w:rPr>
                      <w:rFonts w:hint="eastAsia"/>
                      <w:sz w:val="21"/>
                      <w:szCs w:val="21"/>
                      <w:lang w:val="en-US" w:eastAsia="zh-CN"/>
                    </w:rPr>
                    <w:t>炭</w:t>
                  </w:r>
                  <w:r>
                    <w:rPr>
                      <w:rFonts w:hint="eastAsia"/>
                      <w:sz w:val="21"/>
                      <w:szCs w:val="21"/>
                    </w:rPr>
                    <w:t>吸附、减风增浓等浓缩技术</w:t>
                  </w:r>
                  <w:r>
                    <w:rPr>
                      <w:rFonts w:hint="eastAsia"/>
                      <w:sz w:val="21"/>
                      <w:szCs w:val="21"/>
                      <w:lang w:eastAsia="zh-CN"/>
                    </w:rPr>
                    <w:t>，</w:t>
                  </w:r>
                  <w:r>
                    <w:rPr>
                      <w:rFonts w:hint="eastAsia"/>
                      <w:sz w:val="21"/>
                      <w:szCs w:val="21"/>
                      <w:lang w:val="en-US" w:eastAsia="zh-CN"/>
                    </w:rPr>
                    <w:t>提</w:t>
                  </w:r>
                  <w:r>
                    <w:rPr>
                      <w:rFonts w:hint="eastAsia"/>
                      <w:sz w:val="21"/>
                      <w:szCs w:val="21"/>
                    </w:rPr>
                    <w:t>高</w:t>
                  </w:r>
                  <w:r>
                    <w:rPr>
                      <w:rFonts w:hint="eastAsia"/>
                      <w:sz w:val="21"/>
                      <w:szCs w:val="21"/>
                      <w:lang w:val="en-US" w:eastAsia="zh-CN"/>
                    </w:rPr>
                    <w:t>VO</w:t>
                  </w:r>
                  <w:r>
                    <w:rPr>
                      <w:rFonts w:hint="eastAsia"/>
                      <w:sz w:val="21"/>
                      <w:szCs w:val="21"/>
                    </w:rPr>
                    <w:t>Cs浓度后再净化处理</w:t>
                  </w:r>
                  <w:r>
                    <w:rPr>
                      <w:rFonts w:hint="eastAsia"/>
                      <w:sz w:val="21"/>
                      <w:szCs w:val="21"/>
                      <w:lang w:eastAsia="zh-CN"/>
                    </w:rPr>
                    <w:t>；</w:t>
                  </w:r>
                  <w:r>
                    <w:rPr>
                      <w:rFonts w:hint="eastAsia"/>
                      <w:sz w:val="21"/>
                      <w:szCs w:val="21"/>
                    </w:rPr>
                    <w:t>油气</w:t>
                  </w:r>
                  <w:r>
                    <w:rPr>
                      <w:rFonts w:hint="eastAsia"/>
                      <w:sz w:val="21"/>
                      <w:szCs w:val="21"/>
                      <w:lang w:eastAsia="zh-CN"/>
                    </w:rPr>
                    <w:t>（</w:t>
                  </w:r>
                  <w:r>
                    <w:rPr>
                      <w:rFonts w:hint="eastAsia"/>
                      <w:sz w:val="21"/>
                      <w:szCs w:val="21"/>
                    </w:rPr>
                    <w:t>溶剂</w:t>
                  </w:r>
                  <w:r>
                    <w:rPr>
                      <w:rFonts w:hint="eastAsia"/>
                      <w:sz w:val="21"/>
                      <w:szCs w:val="21"/>
                      <w:lang w:eastAsia="zh-CN"/>
                    </w:rPr>
                    <w:t>）</w:t>
                  </w:r>
                  <w:r>
                    <w:rPr>
                      <w:rFonts w:hint="eastAsia"/>
                      <w:sz w:val="21"/>
                      <w:szCs w:val="21"/>
                    </w:rPr>
                    <w:t>回收宜采用吸附、冷凝+</w:t>
                  </w:r>
                  <w:r>
                    <w:rPr>
                      <w:rFonts w:hint="eastAsia"/>
                      <w:sz w:val="21"/>
                      <w:szCs w:val="21"/>
                      <w:lang w:val="en-US" w:eastAsia="zh-CN"/>
                    </w:rPr>
                    <w:t>吸附</w:t>
                  </w:r>
                  <w:r>
                    <w:rPr>
                      <w:rFonts w:hint="eastAsia"/>
                      <w:sz w:val="21"/>
                      <w:szCs w:val="21"/>
                    </w:rPr>
                    <w:t>、吸附+吸收、膜分离+吸附等技术。</w:t>
                  </w:r>
                </w:p>
              </w:tc>
              <w:tc>
                <w:tcPr>
                  <w:tcW w:w="2212" w:type="dxa"/>
                  <w:vAlign w:val="center"/>
                </w:tcPr>
                <w:p w14:paraId="1565F9D2">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本项目有机废气通过过滤棉+吸附脱附催化燃烧设施进行处理，为可行技术。</w:t>
                  </w:r>
                </w:p>
              </w:tc>
              <w:tc>
                <w:tcPr>
                  <w:tcW w:w="720" w:type="dxa"/>
                  <w:vAlign w:val="center"/>
                </w:tcPr>
                <w:p w14:paraId="2BD0CBF0">
                  <w:pPr>
                    <w:autoSpaceDE w:val="0"/>
                    <w:autoSpaceDN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符合</w:t>
                  </w:r>
                </w:p>
              </w:tc>
            </w:tr>
          </w:tbl>
          <w:p w14:paraId="163C0204">
            <w:pPr>
              <w:autoSpaceDE w:val="0"/>
              <w:autoSpaceDN w:val="0"/>
              <w:adjustRightInd w:val="0"/>
              <w:snapToGrid w:val="0"/>
              <w:spacing w:line="360" w:lineRule="auto"/>
              <w:jc w:val="both"/>
              <w:rPr>
                <w:rFonts w:hint="default" w:ascii="Times New Roman" w:hAnsi="Times New Roman" w:eastAsia="宋体" w:cs="Times New Roman"/>
                <w:b/>
                <w:bCs/>
                <w:color w:val="000000"/>
                <w:sz w:val="21"/>
                <w:szCs w:val="21"/>
                <w:lang w:val="en-US" w:eastAsia="zh-CN"/>
              </w:rPr>
            </w:pPr>
          </w:p>
          <w:p w14:paraId="0CFEFFD5">
            <w:pPr>
              <w:autoSpaceDE w:val="0"/>
              <w:autoSpaceDN w:val="0"/>
              <w:adjustRightInd w:val="0"/>
              <w:snapToGrid w:val="0"/>
              <w:spacing w:line="360" w:lineRule="auto"/>
              <w:ind w:firstLine="480" w:firstLineChars="200"/>
              <w:jc w:val="both"/>
              <w:rPr>
                <w:rFonts w:hint="default" w:ascii="宋体" w:hAnsi="宋体" w:cs="宋体"/>
                <w:kern w:val="0"/>
                <w:sz w:val="24"/>
                <w:szCs w:val="24"/>
                <w:lang w:val="en-US" w:eastAsia="zh-CN"/>
              </w:rPr>
            </w:pPr>
            <w:r>
              <w:rPr>
                <w:rFonts w:hint="default" w:ascii="Times New Roman" w:hAnsi="Times New Roman" w:eastAsia="宋体" w:cs="Times New Roman"/>
                <w:color w:val="000000"/>
                <w:kern w:val="2"/>
                <w:sz w:val="24"/>
                <w:szCs w:val="24"/>
                <w:lang w:val="en-US" w:eastAsia="zh-CN" w:bidi="ar-SA"/>
              </w:rPr>
              <w:t>（</w:t>
            </w:r>
            <w:r>
              <w:rPr>
                <w:rFonts w:hint="eastAsia" w:cs="Times New Roman"/>
                <w:color w:val="000000"/>
                <w:kern w:val="2"/>
                <w:sz w:val="24"/>
                <w:szCs w:val="24"/>
                <w:lang w:val="en-US" w:eastAsia="zh-CN" w:bidi="ar-SA"/>
              </w:rPr>
              <w:t>10</w:t>
            </w:r>
            <w:r>
              <w:rPr>
                <w:rFonts w:hint="default"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sz w:val="24"/>
                <w:szCs w:val="24"/>
                <w:lang w:val="en-US" w:eastAsia="zh-CN"/>
              </w:rPr>
              <w:t>与</w:t>
            </w:r>
            <w:r>
              <w:rPr>
                <w:rFonts w:hint="eastAsia"/>
                <w:color w:val="000000"/>
                <w:kern w:val="0"/>
                <w:sz w:val="24"/>
                <w:szCs w:val="24"/>
                <w:lang w:val="en-US" w:eastAsia="zh-CN"/>
              </w:rPr>
              <w:t>《重点行业挥发性有机物综合治理方案》（环大气〔2019〕53号）相符性分析</w:t>
            </w:r>
          </w:p>
          <w:p w14:paraId="55084D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表1-</w:t>
            </w:r>
            <w:r>
              <w:rPr>
                <w:rFonts w:hint="eastAsia" w:cs="Times New Roman"/>
                <w:b/>
                <w:bCs/>
                <w:color w:val="000000"/>
                <w:sz w:val="21"/>
                <w:szCs w:val="21"/>
                <w:lang w:val="en-US" w:eastAsia="zh-CN"/>
              </w:rPr>
              <w:t>11</w:t>
            </w:r>
            <w:r>
              <w:rPr>
                <w:rFonts w:hint="eastAsia" w:ascii="Times New Roman" w:hAnsi="Times New Roman" w:eastAsia="宋体" w:cs="Times New Roman"/>
                <w:b/>
                <w:bCs/>
                <w:color w:val="000000"/>
                <w:sz w:val="21"/>
                <w:szCs w:val="21"/>
                <w:lang w:val="en-US" w:eastAsia="zh-CN"/>
              </w:rPr>
              <w:t xml:space="preserve">  与环大气〔2019〕53</w:t>
            </w:r>
            <w:r>
              <w:rPr>
                <w:rFonts w:hint="eastAsia" w:ascii="Times New Roman" w:hAnsi="Times New Roman" w:eastAsia="宋体" w:cs="Times New Roman"/>
                <w:b/>
                <w:bCs/>
                <w:color w:val="000000"/>
                <w:sz w:val="21"/>
                <w:szCs w:val="21"/>
                <w:highlight w:val="none"/>
                <w:lang w:val="en-US" w:eastAsia="zh-CN"/>
              </w:rPr>
              <w:t>号</w:t>
            </w:r>
            <w:r>
              <w:rPr>
                <w:rFonts w:hint="eastAsia" w:ascii="Times New Roman" w:hAnsi="Times New Roman" w:eastAsia="宋体" w:cs="Times New Roman"/>
                <w:b/>
                <w:bCs/>
                <w:color w:val="000000"/>
                <w:sz w:val="21"/>
                <w:szCs w:val="21"/>
                <w:lang w:val="en-US" w:eastAsia="zh-CN"/>
              </w:rPr>
              <w:t>文件相符性分析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7"/>
              <w:gridCol w:w="1800"/>
              <w:gridCol w:w="661"/>
            </w:tblGrid>
            <w:tr w14:paraId="172C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pct"/>
                  <w:noWrap w:val="0"/>
                  <w:vAlign w:val="center"/>
                </w:tcPr>
                <w:p w14:paraId="18588B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c>
                <w:tcPr>
                  <w:tcW w:w="1116" w:type="pct"/>
                  <w:noWrap w:val="0"/>
                  <w:vAlign w:val="center"/>
                </w:tcPr>
                <w:p w14:paraId="38340E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本项目情况</w:t>
                  </w:r>
                </w:p>
              </w:tc>
              <w:tc>
                <w:tcPr>
                  <w:tcW w:w="410" w:type="pct"/>
                  <w:noWrap w:val="0"/>
                  <w:vAlign w:val="center"/>
                </w:tcPr>
                <w:p w14:paraId="044035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符合性</w:t>
                  </w:r>
                </w:p>
              </w:tc>
            </w:tr>
            <w:tr w14:paraId="2837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pct"/>
                  <w:noWrap w:val="0"/>
                  <w:vAlign w:val="center"/>
                </w:tcPr>
                <w:p w14:paraId="65B7B3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加快含 VOCs 产品质量标准制修订工作，2019年年底前，出台低VOCs 含量涂料产品技术要求，制修订建筑用墙面涂料、木器涂料、车辆涂料、工业防护涂料中有害物质限量标准，制订油墨、胶粘剂、清洗剂挥发性有机化合物限量强制性标准。加快涉VOCs行业排放标准制修订工作，2020年6月底前，力争完成农药、汽车涂装、集装箱制造、包装印刷、家具制造、电子工业等行业大气污染物排放标准制订。建立与排放标准相适应的 VOCs 监测分析方法标准、监测仪器技术要求，加快出台固定污染源 VOCs 排放连续监测技术规范、VOCs 便携式监测技术规范。鼓励地方制定更加严格的地方排放标准。</w:t>
                  </w:r>
                </w:p>
              </w:tc>
              <w:tc>
                <w:tcPr>
                  <w:tcW w:w="1116" w:type="pct"/>
                  <w:noWrap w:val="0"/>
                  <w:vAlign w:val="center"/>
                </w:tcPr>
                <w:p w14:paraId="21CA39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本项目使用的</w:t>
                  </w:r>
                  <w:r>
                    <w:rPr>
                      <w:rFonts w:hint="eastAsia" w:ascii="Times New Roman" w:hAnsi="Times New Roman" w:cs="Times New Roman"/>
                      <w:sz w:val="21"/>
                      <w:szCs w:val="21"/>
                      <w:lang w:val="en-US" w:eastAsia="zh-CN"/>
                    </w:rPr>
                    <w:t>油漆</w:t>
                  </w:r>
                  <w:r>
                    <w:rPr>
                      <w:rFonts w:hint="eastAsia" w:cs="Times New Roman"/>
                      <w:sz w:val="21"/>
                      <w:szCs w:val="21"/>
                      <w:lang w:val="en-US" w:eastAsia="zh-CN"/>
                    </w:rPr>
                    <w:t>中VOC含量满足《低挥发性有机化合物含量涂料产品技术要求》（GB/T 38597-2020）表2中限量值</w:t>
                  </w:r>
                  <w:r>
                    <w:rPr>
                      <w:rFonts w:hint="eastAsia" w:ascii="Times New Roman" w:hAnsi="Times New Roman" w:eastAsia="宋体" w:cs="Times New Roman"/>
                      <w:color w:val="000000"/>
                      <w:sz w:val="21"/>
                      <w:szCs w:val="21"/>
                      <w:vertAlign w:val="baseline"/>
                      <w:lang w:val="en-US" w:eastAsia="zh-CN"/>
                    </w:rPr>
                    <w:t>。</w:t>
                  </w:r>
                </w:p>
              </w:tc>
              <w:tc>
                <w:tcPr>
                  <w:tcW w:w="410" w:type="pct"/>
                  <w:noWrap w:val="0"/>
                  <w:vAlign w:val="center"/>
                </w:tcPr>
                <w:p w14:paraId="386FA5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4CDC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pct"/>
                  <w:noWrap w:val="0"/>
                  <w:vAlign w:val="center"/>
                </w:tcPr>
                <w:p w14:paraId="24197F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加强监测监控。加快制定家具、人造板、电子工业、包装印刷、涂料油墨颜料及类似产品、橡胶制品、塑料制品等行业自行监测指南和工业园区监测指南。排污许可管理已有规定的石化、炼焦、原料药、农药、汽车制造、制革、纺织印染等行业，要严格按照相关规定开展自行监测工作。</w:t>
                  </w:r>
                </w:p>
              </w:tc>
              <w:tc>
                <w:tcPr>
                  <w:tcW w:w="1116" w:type="pct"/>
                  <w:noWrap w:val="0"/>
                  <w:vAlign w:val="center"/>
                </w:tcPr>
                <w:p w14:paraId="650A7B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企业按规定要求定期监测，</w:t>
                  </w:r>
                  <w:r>
                    <w:rPr>
                      <w:rFonts w:hint="eastAsia" w:ascii="Times New Roman" w:hAnsi="Times New Roman" w:eastAsia="宋体" w:cs="Times New Roman"/>
                      <w:color w:val="000000"/>
                      <w:sz w:val="21"/>
                      <w:szCs w:val="21"/>
                      <w:highlight w:val="none"/>
                      <w:vertAlign w:val="baseline"/>
                      <w:lang w:val="en-US" w:eastAsia="zh-CN"/>
                    </w:rPr>
                    <w:t>确保废气达标排放。</w:t>
                  </w:r>
                </w:p>
              </w:tc>
              <w:tc>
                <w:tcPr>
                  <w:tcW w:w="410" w:type="pct"/>
                  <w:noWrap w:val="0"/>
                  <w:vAlign w:val="center"/>
                </w:tcPr>
                <w:p w14:paraId="54B14F3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63DB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pct"/>
                  <w:noWrap w:val="0"/>
                  <w:vAlign w:val="center"/>
                </w:tcPr>
                <w:p w14:paraId="7A7919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各地要加大 VOCs 排放监管执法力度，严厉打击违法排污行为，形成有效震慑作用。对无证排污、未按证排污、不能稳定达标排放、不满足措施性控制要求的企业，综合运用按日连续计罚、查封扣押、限产停产等手段，依法依规严格处罚，并定期向社会公开。严肃查处弄虚作假、自停运环保设施等严重违法行为，依法查处并追究相关人员责任。整顿和规范环保服务市场秩序，严厉打击VOCs 治理设施建设运维不规范行为。</w:t>
                  </w:r>
                </w:p>
              </w:tc>
              <w:tc>
                <w:tcPr>
                  <w:tcW w:w="1116" w:type="pct"/>
                  <w:noWrap w:val="0"/>
                  <w:vAlign w:val="center"/>
                </w:tcPr>
                <w:p w14:paraId="17D06F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本项目</w:t>
                  </w:r>
                  <w:r>
                    <w:rPr>
                      <w:rFonts w:hint="default" w:ascii="Times New Roman" w:hAnsi="Times New Roman" w:cs="Times New Roman"/>
                      <w:sz w:val="21"/>
                      <w:szCs w:val="21"/>
                      <w:highlight w:val="none"/>
                      <w:lang w:val="en-US" w:eastAsia="zh-CN"/>
                    </w:rPr>
                    <w:t>喷漆</w:t>
                  </w:r>
                  <w:r>
                    <w:rPr>
                      <w:rFonts w:hint="eastAsia" w:cs="Times New Roman"/>
                      <w:sz w:val="21"/>
                      <w:szCs w:val="21"/>
                      <w:highlight w:val="none"/>
                      <w:lang w:val="en-US" w:eastAsia="zh-CN"/>
                    </w:rPr>
                    <w:t>（含喷枪清洗、调漆</w:t>
                  </w:r>
                  <w:r>
                    <w:rPr>
                      <w:rFonts w:hint="eastAsia" w:cs="Times New Roman"/>
                      <w:b w:val="0"/>
                      <w:bCs/>
                      <w:sz w:val="21"/>
                      <w:szCs w:val="21"/>
                      <w:vertAlign w:val="baseline"/>
                      <w:lang w:val="en-US" w:eastAsia="zh-CN"/>
                    </w:rPr>
                    <w:t>、晾干</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、浇注固化</w:t>
                  </w:r>
                  <w:r>
                    <w:rPr>
                      <w:rFonts w:hint="eastAsia" w:cs="Times New Roman"/>
                      <w:sz w:val="21"/>
                      <w:szCs w:val="21"/>
                      <w:highlight w:val="none"/>
                      <w:lang w:val="en-US" w:eastAsia="zh-CN"/>
                    </w:rPr>
                    <w:t>、烘干</w:t>
                  </w:r>
                  <w:r>
                    <w:rPr>
                      <w:rFonts w:hint="eastAsia" w:ascii="Times New Roman" w:hAnsi="Times New Roman" w:eastAsia="宋体" w:cs="Times New Roman"/>
                      <w:color w:val="000000"/>
                      <w:sz w:val="21"/>
                      <w:szCs w:val="21"/>
                      <w:highlight w:val="none"/>
                      <w:vertAlign w:val="baseline"/>
                      <w:lang w:val="en-US" w:eastAsia="zh-CN"/>
                    </w:rPr>
                    <w:t>工序产生的</w:t>
                  </w:r>
                  <w:r>
                    <w:rPr>
                      <w:rFonts w:hint="eastAsia" w:cs="Times New Roman"/>
                      <w:color w:val="000000"/>
                      <w:sz w:val="21"/>
                      <w:szCs w:val="21"/>
                      <w:highlight w:val="none"/>
                      <w:vertAlign w:val="baseline"/>
                      <w:lang w:val="en-US" w:eastAsia="zh-CN"/>
                    </w:rPr>
                    <w:t>废气</w:t>
                  </w:r>
                  <w:r>
                    <w:rPr>
                      <w:rFonts w:hint="eastAsia" w:ascii="Times New Roman" w:hAnsi="Times New Roman" w:eastAsia="宋体" w:cs="Times New Roman"/>
                      <w:color w:val="000000"/>
                      <w:sz w:val="21"/>
                      <w:szCs w:val="21"/>
                      <w:highlight w:val="none"/>
                      <w:vertAlign w:val="baseline"/>
                      <w:lang w:val="en-US" w:eastAsia="zh-CN"/>
                    </w:rPr>
                    <w:t>采用空间密闭+管道负压收集，经</w:t>
                  </w:r>
                  <w:r>
                    <w:rPr>
                      <w:rFonts w:hint="eastAsia" w:cs="Times New Roman"/>
                      <w:color w:val="000000"/>
                      <w:sz w:val="21"/>
                      <w:szCs w:val="21"/>
                      <w:highlight w:val="none"/>
                      <w:vertAlign w:val="baseline"/>
                      <w:lang w:val="en-US" w:eastAsia="zh-CN"/>
                    </w:rPr>
                    <w:t>过滤棉+吸附脱附催化燃烧设施</w:t>
                  </w:r>
                  <w:r>
                    <w:rPr>
                      <w:rFonts w:hint="eastAsia" w:ascii="Times New Roman" w:hAnsi="Times New Roman" w:eastAsia="宋体" w:cs="Times New Roman"/>
                      <w:color w:val="000000"/>
                      <w:sz w:val="21"/>
                      <w:szCs w:val="21"/>
                      <w:highlight w:val="none"/>
                      <w:vertAlign w:val="baseline"/>
                      <w:lang w:val="en-US" w:eastAsia="zh-CN"/>
                    </w:rPr>
                    <w:t>处理后，最终通过2</w:t>
                  </w:r>
                  <w:r>
                    <w:rPr>
                      <w:rFonts w:hint="eastAsia" w:cs="Times New Roman"/>
                      <w:color w:val="000000"/>
                      <w:sz w:val="21"/>
                      <w:szCs w:val="21"/>
                      <w:highlight w:val="none"/>
                      <w:vertAlign w:val="baseline"/>
                      <w:lang w:val="en-US" w:eastAsia="zh-CN"/>
                    </w:rPr>
                    <w:t>4</w:t>
                  </w:r>
                  <w:r>
                    <w:rPr>
                      <w:rFonts w:hint="eastAsia" w:ascii="Times New Roman" w:hAnsi="Times New Roman" w:eastAsia="宋体" w:cs="Times New Roman"/>
                      <w:color w:val="000000"/>
                      <w:sz w:val="21"/>
                      <w:szCs w:val="21"/>
                      <w:highlight w:val="none"/>
                      <w:vertAlign w:val="baseline"/>
                      <w:lang w:val="en-US" w:eastAsia="zh-CN"/>
                    </w:rPr>
                    <w:t>米高排气筒</w:t>
                  </w:r>
                  <w:r>
                    <w:rPr>
                      <w:rFonts w:hint="eastAsia" w:cs="Times New Roman"/>
                      <w:sz w:val="21"/>
                      <w:szCs w:val="21"/>
                      <w:lang w:val="en-US" w:eastAsia="zh-CN"/>
                    </w:rPr>
                    <w:t>（DA001）</w:t>
                  </w:r>
                  <w:r>
                    <w:rPr>
                      <w:rFonts w:hint="eastAsia" w:ascii="Times New Roman" w:hAnsi="Times New Roman" w:eastAsia="宋体" w:cs="Times New Roman"/>
                      <w:color w:val="000000"/>
                      <w:sz w:val="21"/>
                      <w:szCs w:val="21"/>
                      <w:highlight w:val="none"/>
                      <w:vertAlign w:val="baseline"/>
                      <w:lang w:val="en-US" w:eastAsia="zh-CN"/>
                    </w:rPr>
                    <w:t>达标排放。</w:t>
                  </w:r>
                </w:p>
              </w:tc>
              <w:tc>
                <w:tcPr>
                  <w:tcW w:w="410" w:type="pct"/>
                  <w:noWrap w:val="0"/>
                  <w:vAlign w:val="center"/>
                </w:tcPr>
                <w:p w14:paraId="71FDE4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r w14:paraId="2B1C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pct"/>
                  <w:noWrap w:val="0"/>
                  <w:vAlign w:val="center"/>
                </w:tcPr>
                <w:p w14:paraId="2E90D27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全面实施排污许可。按照固定污染源排污许可分类管理名录要求，加快家具等行业排污许可证核发工作。对已核发的涉VOCs 行业，强化排污许可执法监管，确保排污单位落实持证排污、按证排污的环境管理主体责任。定期公布未按证排污单位名单</w:t>
                  </w:r>
                  <w:r>
                    <w:rPr>
                      <w:rFonts w:hint="eastAsia" w:ascii="Times New Roman" w:hAnsi="Times New Roman" w:eastAsia="宋体" w:cs="Times New Roman"/>
                      <w:color w:val="000000"/>
                      <w:sz w:val="21"/>
                      <w:szCs w:val="21"/>
                      <w:vertAlign w:val="baseline"/>
                      <w:lang w:val="en-US" w:eastAsia="zh-CN"/>
                    </w:rPr>
                    <w:t>。</w:t>
                  </w:r>
                </w:p>
              </w:tc>
              <w:tc>
                <w:tcPr>
                  <w:tcW w:w="1116" w:type="pct"/>
                  <w:noWrap w:val="0"/>
                  <w:vAlign w:val="center"/>
                </w:tcPr>
                <w:p w14:paraId="2E7F7D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企业于202</w:t>
                  </w:r>
                  <w:r>
                    <w:rPr>
                      <w:rFonts w:hint="eastAsia" w:cs="Times New Roman"/>
                      <w:color w:val="000000"/>
                      <w:sz w:val="21"/>
                      <w:szCs w:val="21"/>
                      <w:vertAlign w:val="baseline"/>
                      <w:lang w:val="en-US" w:eastAsia="zh-CN"/>
                    </w:rPr>
                    <w:t>5</w:t>
                  </w:r>
                  <w:r>
                    <w:rPr>
                      <w:rFonts w:hint="eastAsia" w:ascii="Times New Roman" w:hAnsi="Times New Roman" w:eastAsia="宋体" w:cs="Times New Roman"/>
                      <w:color w:val="000000"/>
                      <w:sz w:val="21"/>
                      <w:szCs w:val="21"/>
                      <w:vertAlign w:val="baseline"/>
                      <w:lang w:val="en-US" w:eastAsia="zh-CN"/>
                    </w:rPr>
                    <w:t>年11月03日完成排污登记手续。</w:t>
                  </w:r>
                </w:p>
              </w:tc>
              <w:tc>
                <w:tcPr>
                  <w:tcW w:w="410" w:type="pct"/>
                  <w:noWrap w:val="0"/>
                  <w:vAlign w:val="center"/>
                </w:tcPr>
                <w:p w14:paraId="172175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符合</w:t>
                  </w:r>
                </w:p>
              </w:tc>
            </w:tr>
          </w:tbl>
          <w:p w14:paraId="665FAEE6">
            <w:pPr>
              <w:bidi w:val="0"/>
              <w:rPr>
                <w:rFonts w:hint="default"/>
                <w:lang w:val="en-US" w:eastAsia="zh-CN"/>
              </w:rPr>
            </w:pPr>
          </w:p>
          <w:p w14:paraId="578FE847">
            <w:pPr>
              <w:autoSpaceDE w:val="0"/>
              <w:autoSpaceDN w:val="0"/>
              <w:adjustRightInd w:val="0"/>
              <w:snapToGrid w:val="0"/>
              <w:spacing w:line="360" w:lineRule="auto"/>
              <w:ind w:firstLine="480" w:firstLineChars="200"/>
              <w:jc w:val="both"/>
              <w:rPr>
                <w:rFonts w:hint="default" w:ascii="宋体" w:hAnsi="宋体" w:cs="宋体"/>
                <w:kern w:val="0"/>
                <w:sz w:val="24"/>
                <w:szCs w:val="24"/>
                <w:lang w:val="en-US" w:eastAsia="zh-CN"/>
              </w:rPr>
            </w:pPr>
            <w:r>
              <w:rPr>
                <w:rFonts w:hint="default" w:ascii="Times New Roman" w:hAnsi="Times New Roman" w:eastAsia="宋体" w:cs="Times New Roman"/>
                <w:color w:val="000000"/>
                <w:kern w:val="2"/>
                <w:sz w:val="24"/>
                <w:szCs w:val="24"/>
                <w:lang w:val="en-US" w:eastAsia="zh-CN" w:bidi="ar-SA"/>
              </w:rPr>
              <w:t>（</w:t>
            </w:r>
            <w:r>
              <w:rPr>
                <w:rFonts w:hint="eastAsia" w:cs="Times New Roman"/>
                <w:color w:val="000000"/>
                <w:kern w:val="2"/>
                <w:sz w:val="24"/>
                <w:szCs w:val="24"/>
                <w:lang w:val="en-US" w:eastAsia="zh-CN" w:bidi="ar-SA"/>
              </w:rPr>
              <w:t>11</w:t>
            </w:r>
            <w:r>
              <w:rPr>
                <w:rFonts w:hint="default"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sz w:val="24"/>
                <w:szCs w:val="24"/>
                <w:lang w:val="en-US" w:eastAsia="zh-CN"/>
              </w:rPr>
              <w:t>与</w:t>
            </w:r>
            <w:r>
              <w:rPr>
                <w:rFonts w:hint="eastAsia"/>
                <w:color w:val="000000"/>
                <w:kern w:val="0"/>
                <w:sz w:val="24"/>
                <w:szCs w:val="24"/>
                <w:lang w:val="en-US" w:eastAsia="zh-CN"/>
              </w:rPr>
              <w:t>《低挥发性有机化合物含量涂料产品技术要求》（GB/T 38597-2020）相符性分析</w:t>
            </w:r>
          </w:p>
          <w:p w14:paraId="76ABB8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表1-</w:t>
            </w:r>
            <w:r>
              <w:rPr>
                <w:rFonts w:hint="eastAsia" w:cs="Times New Roman"/>
                <w:b/>
                <w:bCs/>
                <w:color w:val="000000"/>
                <w:sz w:val="21"/>
                <w:szCs w:val="21"/>
                <w:lang w:val="en-US" w:eastAsia="zh-CN"/>
              </w:rPr>
              <w:t>12</w:t>
            </w:r>
            <w:r>
              <w:rPr>
                <w:rFonts w:hint="eastAsia" w:ascii="Times New Roman" w:hAnsi="Times New Roman" w:eastAsia="宋体" w:cs="Times New Roman"/>
                <w:b/>
                <w:bCs/>
                <w:color w:val="000000"/>
                <w:sz w:val="21"/>
                <w:szCs w:val="21"/>
                <w:lang w:val="en-US" w:eastAsia="zh-CN"/>
              </w:rPr>
              <w:t xml:space="preserve">  与GB/T 38597-2020文件相符性分析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2"/>
              <w:gridCol w:w="3155"/>
              <w:gridCol w:w="661"/>
            </w:tblGrid>
            <w:tr w14:paraId="2E82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2" w:type="pct"/>
                  <w:noWrap w:val="0"/>
                  <w:vAlign w:val="center"/>
                </w:tcPr>
                <w:p w14:paraId="0D29D0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c>
                <w:tcPr>
                  <w:tcW w:w="1957" w:type="pct"/>
                  <w:noWrap w:val="0"/>
                  <w:vAlign w:val="center"/>
                </w:tcPr>
                <w:p w14:paraId="6467B5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本项目情况</w:t>
                  </w:r>
                </w:p>
              </w:tc>
              <w:tc>
                <w:tcPr>
                  <w:tcW w:w="410" w:type="pct"/>
                  <w:noWrap w:val="0"/>
                  <w:vAlign w:val="center"/>
                </w:tcPr>
                <w:p w14:paraId="76CC02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符合性</w:t>
                  </w:r>
                </w:p>
              </w:tc>
            </w:tr>
            <w:tr w14:paraId="6433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2" w:type="pct"/>
                  <w:noWrap w:val="0"/>
                  <w:vAlign w:val="center"/>
                </w:tcPr>
                <w:p w14:paraId="154A04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溶剂型涂料中VOC含量的要求</w:t>
                  </w:r>
                  <w:r>
                    <w:rPr>
                      <w:rFonts w:hint="eastAsia" w:cs="Times New Roman"/>
                      <w:color w:val="000000"/>
                      <w:sz w:val="21"/>
                      <w:szCs w:val="21"/>
                      <w:vertAlign w:val="baseline"/>
                      <w:lang w:val="en-US" w:eastAsia="zh-CN"/>
                    </w:rPr>
                    <w:t>：工业防护涂料中工程机械和农业机械涂料（含零部件涂料），底漆和面漆（双组份）VOC限量值均为≤420g/L。</w:t>
                  </w:r>
                </w:p>
              </w:tc>
              <w:tc>
                <w:tcPr>
                  <w:tcW w:w="1957" w:type="pct"/>
                  <w:noWrap w:val="0"/>
                  <w:vAlign w:val="center"/>
                </w:tcPr>
                <w:p w14:paraId="7FFADB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油漆</w:t>
                  </w:r>
                  <w:r>
                    <w:rPr>
                      <w:rFonts w:hint="default" w:ascii="Times New Roman" w:hAnsi="Times New Roman" w:eastAsia="宋体" w:cs="Times New Roman"/>
                      <w:color w:val="000000"/>
                      <w:sz w:val="21"/>
                      <w:szCs w:val="21"/>
                      <w:vertAlign w:val="baseline"/>
                      <w:lang w:val="en-US" w:eastAsia="zh-CN"/>
                    </w:rPr>
                    <w:t>混合后工作状态下</w:t>
                  </w:r>
                  <w:r>
                    <w:rPr>
                      <w:rFonts w:hint="eastAsia" w:cs="Times New Roman"/>
                      <w:color w:val="000000"/>
                      <w:sz w:val="21"/>
                      <w:szCs w:val="21"/>
                      <w:vertAlign w:val="baseline"/>
                      <w:lang w:val="en-US" w:eastAsia="zh-CN"/>
                    </w:rPr>
                    <w:t>：</w:t>
                  </w:r>
                  <w:r>
                    <w:rPr>
                      <w:rFonts w:hint="default" w:ascii="Times New Roman" w:hAnsi="Times New Roman" w:eastAsia="宋体" w:cs="Times New Roman"/>
                      <w:color w:val="000000"/>
                      <w:sz w:val="21"/>
                      <w:szCs w:val="21"/>
                      <w:vertAlign w:val="baseline"/>
                      <w:lang w:val="en-US" w:eastAsia="zh-CN"/>
                    </w:rPr>
                    <w:t>底漆VOC含量为244.75g/L</w:t>
                  </w:r>
                  <w:r>
                    <w:rPr>
                      <w:rFonts w:hint="eastAsia" w:cs="Times New Roman"/>
                      <w:color w:val="000000"/>
                      <w:sz w:val="21"/>
                      <w:szCs w:val="21"/>
                      <w:vertAlign w:val="baseline"/>
                      <w:lang w:val="en-US" w:eastAsia="zh-CN"/>
                    </w:rPr>
                    <w:t>，炉体面漆VOC含量为378.91g/L，柜体面漆VOC含量为221.41g/L。均满足GB/T 38597-2020文件要求。</w:t>
                  </w:r>
                </w:p>
              </w:tc>
              <w:tc>
                <w:tcPr>
                  <w:tcW w:w="410" w:type="pct"/>
                  <w:noWrap w:val="0"/>
                  <w:vAlign w:val="center"/>
                </w:tcPr>
                <w:p w14:paraId="10FD6A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符合</w:t>
                  </w:r>
                </w:p>
              </w:tc>
            </w:tr>
          </w:tbl>
          <w:p w14:paraId="28575E68">
            <w:pPr>
              <w:autoSpaceDE w:val="0"/>
              <w:autoSpaceDN w:val="0"/>
              <w:adjustRightInd w:val="0"/>
              <w:snapToGrid w:val="0"/>
              <w:spacing w:line="360" w:lineRule="auto"/>
              <w:jc w:val="both"/>
              <w:rPr>
                <w:rFonts w:ascii="宋体" w:hAnsi="宋体" w:cs="宋体"/>
                <w:kern w:val="0"/>
                <w:sz w:val="24"/>
                <w:szCs w:val="24"/>
              </w:rPr>
            </w:pPr>
          </w:p>
        </w:tc>
      </w:tr>
    </w:tbl>
    <w:p w14:paraId="22A9ACA0">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both"/>
        <w:textAlignment w:val="auto"/>
        <w:rPr>
          <w:rFonts w:hint="eastAsia"/>
          <w:b w:val="0"/>
          <w:bCs w:val="0"/>
          <w:snapToGrid w:val="0"/>
          <w:sz w:val="30"/>
        </w:rPr>
        <w:sectPr>
          <w:headerReference r:id="rId7" w:type="default"/>
          <w:footerReference r:id="rId8" w:type="default"/>
          <w:pgSz w:w="11906" w:h="16838"/>
          <w:pgMar w:top="1440" w:right="1800" w:bottom="1440" w:left="1800"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6E6D633D">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0"/>
        </w:rPr>
      </w:pPr>
      <w:r>
        <w:rPr>
          <w:rFonts w:hint="eastAsia"/>
          <w:b w:val="0"/>
          <w:bCs w:val="0"/>
          <w:snapToGrid w:val="0"/>
          <w:sz w:val="30"/>
        </w:rPr>
        <w:t>二、建设项目工程分析</w:t>
      </w:r>
    </w:p>
    <w:tbl>
      <w:tblPr>
        <w:tblStyle w:val="24"/>
        <w:tblW w:w="87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57" w:type="dxa"/>
          <w:right w:w="57" w:type="dxa"/>
        </w:tblCellMar>
      </w:tblPr>
      <w:tblGrid>
        <w:gridCol w:w="526"/>
        <w:gridCol w:w="8272"/>
      </w:tblGrid>
      <w:tr w14:paraId="3557A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946" w:hRule="atLeast"/>
          <w:jc w:val="center"/>
        </w:trPr>
        <w:tc>
          <w:tcPr>
            <w:tcW w:w="526" w:type="dxa"/>
            <w:noWrap w:val="0"/>
            <w:vAlign w:val="center"/>
          </w:tcPr>
          <w:p w14:paraId="177F17AE">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建设内容</w:t>
            </w:r>
          </w:p>
        </w:tc>
        <w:tc>
          <w:tcPr>
            <w:tcW w:w="8272" w:type="dxa"/>
            <w:noWrap w:val="0"/>
            <w:vAlign w:val="top"/>
          </w:tcPr>
          <w:p w14:paraId="386F425D">
            <w:pPr>
              <w:autoSpaceDE w:val="0"/>
              <w:autoSpaceDN w:val="0"/>
              <w:adjustRightInd w:val="0"/>
              <w:spacing w:line="360" w:lineRule="auto"/>
              <w:rPr>
                <w:rFonts w:hint="eastAsia" w:eastAsia="宋体"/>
                <w:b/>
                <w:bCs/>
                <w:kern w:val="0"/>
                <w:sz w:val="24"/>
                <w:lang w:val="en-US" w:eastAsia="zh-CN"/>
              </w:rPr>
            </w:pPr>
            <w:r>
              <w:rPr>
                <w:b/>
                <w:bCs/>
                <w:kern w:val="0"/>
                <w:sz w:val="24"/>
              </w:rPr>
              <w:t>1、项目</w:t>
            </w:r>
            <w:r>
              <w:rPr>
                <w:rFonts w:hint="eastAsia"/>
                <w:b/>
                <w:bCs/>
                <w:kern w:val="0"/>
                <w:sz w:val="24"/>
                <w:lang w:val="en-US" w:eastAsia="zh-CN"/>
              </w:rPr>
              <w:t>概况</w:t>
            </w:r>
          </w:p>
          <w:p w14:paraId="0E3A8283">
            <w:pPr>
              <w:autoSpaceDE w:val="0"/>
              <w:autoSpaceDN w:val="0"/>
              <w:adjustRightInd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kern w:val="0"/>
                <w:sz w:val="24"/>
                <w:lang w:val="en-US" w:eastAsia="zh-CN"/>
              </w:rPr>
              <w:t>淮北市平祥感应炉有限公司</w:t>
            </w:r>
            <w:r>
              <w:rPr>
                <w:rFonts w:hint="eastAsia"/>
                <w:kern w:val="0"/>
                <w:sz w:val="24"/>
              </w:rPr>
              <w:t>，始建于</w:t>
            </w:r>
            <w:r>
              <w:rPr>
                <w:rFonts w:hint="eastAsia"/>
                <w:kern w:val="0"/>
                <w:sz w:val="24"/>
                <w:lang w:val="en-US" w:eastAsia="zh-CN"/>
              </w:rPr>
              <w:t>2002年</w:t>
            </w:r>
            <w:r>
              <w:rPr>
                <w:rFonts w:hint="eastAsia"/>
                <w:kern w:val="0"/>
                <w:sz w:val="24"/>
              </w:rPr>
              <w:t>，</w:t>
            </w:r>
            <w:r>
              <w:rPr>
                <w:rFonts w:hint="eastAsia"/>
                <w:lang w:val="en-US" w:eastAsia="zh-CN"/>
              </w:rPr>
              <w:t>建设单位委托</w:t>
            </w:r>
            <w:r>
              <w:rPr>
                <w:rFonts w:hint="eastAsia"/>
                <w:kern w:val="0"/>
                <w:sz w:val="24"/>
                <w:lang w:val="en-US" w:eastAsia="zh-CN"/>
              </w:rPr>
              <w:t>淮北市环境科学研究所于二零零四年七月编制了《淮北市平祥感应炉有限公司无芯变频感应电炉项目环境影响报告表》，</w:t>
            </w:r>
            <w:r>
              <w:rPr>
                <w:rFonts w:hint="eastAsia"/>
                <w:lang w:val="en-US" w:eastAsia="zh-CN"/>
              </w:rPr>
              <w:t>于2004年8月18日取得原淮北市环境保护局的审批意见</w:t>
            </w:r>
            <w:r>
              <w:rPr>
                <w:rFonts w:hint="eastAsia"/>
                <w:color w:val="auto"/>
                <w:sz w:val="24"/>
                <w:szCs w:val="24"/>
                <w:lang w:val="en-US" w:eastAsia="zh-CN"/>
              </w:rPr>
              <w:t>，2011年4月15日取得淮北市杜集区环境保护局《关于同意淮北市平祥感应炉有限公司无芯变频感应炉项目试运行的通知》（淮杜环行函</w:t>
            </w:r>
            <w:r>
              <w:rPr>
                <w:rFonts w:hint="eastAsia"/>
                <w:kern w:val="0"/>
                <w:sz w:val="24"/>
              </w:rPr>
              <w:t>〔20</w:t>
            </w:r>
            <w:r>
              <w:rPr>
                <w:rFonts w:hint="eastAsia"/>
                <w:kern w:val="0"/>
                <w:sz w:val="24"/>
                <w:lang w:val="en-US" w:eastAsia="zh-CN"/>
              </w:rPr>
              <w:t>11</w:t>
            </w:r>
            <w:r>
              <w:rPr>
                <w:rFonts w:hint="eastAsia"/>
                <w:kern w:val="0"/>
                <w:sz w:val="24"/>
              </w:rPr>
              <w:t>〕</w:t>
            </w:r>
            <w:r>
              <w:rPr>
                <w:rFonts w:hint="eastAsia"/>
                <w:kern w:val="0"/>
                <w:sz w:val="24"/>
                <w:lang w:val="en-US" w:eastAsia="zh-CN"/>
              </w:rPr>
              <w:t>2号</w:t>
            </w:r>
            <w:r>
              <w:rPr>
                <w:rFonts w:hint="eastAsia"/>
                <w:color w:val="auto"/>
                <w:sz w:val="24"/>
                <w:szCs w:val="24"/>
                <w:lang w:val="en-US" w:eastAsia="zh-CN"/>
              </w:rPr>
              <w:t>），原淮北市环境保护局于2013年2月5日对该项目进行了竣工环境保护验收现场检查，并于2013年2月7日出具验收审批意见。企业建设地点位于</w:t>
            </w:r>
            <w:r>
              <w:rPr>
                <w:rFonts w:hint="eastAsia" w:cs="Times New Roman"/>
                <w:sz w:val="24"/>
                <w:szCs w:val="24"/>
                <w:highlight w:val="none"/>
                <w:u w:val="none"/>
                <w:lang w:eastAsia="zh-CN"/>
              </w:rPr>
              <w:t>安徽省淮北市杜集区杜集经济开发区萧淮路16号</w:t>
            </w:r>
            <w:r>
              <w:rPr>
                <w:rFonts w:hint="eastAsia"/>
                <w:kern w:val="0"/>
                <w:sz w:val="24"/>
              </w:rPr>
              <w:t>，核定生产能力</w:t>
            </w:r>
            <w:r>
              <w:rPr>
                <w:rFonts w:hint="eastAsia"/>
                <w:kern w:val="0"/>
                <w:sz w:val="24"/>
                <w:lang w:val="en-US" w:eastAsia="zh-CN"/>
              </w:rPr>
              <w:t>为年生产无芯变频感应炉200台</w:t>
            </w:r>
            <w:r>
              <w:rPr>
                <w:rFonts w:hint="eastAsia"/>
                <w:kern w:val="0"/>
                <w:sz w:val="24"/>
                <w:lang w:eastAsia="zh-CN"/>
              </w:rPr>
              <w:t>，</w:t>
            </w:r>
            <w:r>
              <w:rPr>
                <w:rFonts w:hint="eastAsia"/>
                <w:color w:val="auto"/>
                <w:sz w:val="24"/>
                <w:szCs w:val="24"/>
                <w:lang w:val="en-US" w:eastAsia="zh-CN"/>
              </w:rPr>
              <w:t>生产工艺为：配件（外协）</w:t>
            </w:r>
            <w:r>
              <w:rPr>
                <w:rFonts w:hint="eastAsia" w:cs="Times New Roman"/>
                <w:color w:val="000000" w:themeColor="text1"/>
                <w:sz w:val="24"/>
                <w:szCs w:val="24"/>
                <w:lang w:val="en-US" w:eastAsia="zh-CN"/>
                <w14:textFill>
                  <w14:solidFill>
                    <w14:schemeClr w14:val="tx1"/>
                  </w14:solidFill>
                </w14:textFill>
              </w:rPr>
              <w:t>→检验→装配→空载试验→入库。</w:t>
            </w:r>
          </w:p>
          <w:p w14:paraId="0ACDDC55">
            <w:pPr>
              <w:autoSpaceDE w:val="0"/>
              <w:autoSpaceDN w:val="0"/>
              <w:adjustRightInd w:val="0"/>
              <w:spacing w:line="360" w:lineRule="auto"/>
              <w:ind w:firstLine="480" w:firstLineChars="200"/>
              <w:rPr>
                <w:rFonts w:hint="default"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后因产品升级和增加生产能力，建设单位再次委托</w:t>
            </w:r>
            <w:r>
              <w:rPr>
                <w:rFonts w:hint="eastAsia"/>
                <w:kern w:val="0"/>
                <w:sz w:val="24"/>
                <w:lang w:val="en-US" w:eastAsia="zh-CN"/>
              </w:rPr>
              <w:t>淮北市环境科学研究所于2014年4月编制《淮北市平祥感应炉有限公司260套低谐波多供电变频感应炉项目环境影响报告表》，并于2014年6月取得原淮北市环境保护局审批意见。</w:t>
            </w:r>
            <w:r>
              <w:rPr>
                <w:rFonts w:hint="eastAsia"/>
                <w:color w:val="auto"/>
                <w:sz w:val="24"/>
                <w:szCs w:val="24"/>
                <w:lang w:val="en-US" w:eastAsia="zh-CN"/>
              </w:rPr>
              <w:t>企业建设地点位于</w:t>
            </w:r>
            <w:r>
              <w:rPr>
                <w:rFonts w:hint="eastAsia"/>
                <w:kern w:val="0"/>
                <w:sz w:val="24"/>
                <w:lang w:val="en-US" w:eastAsia="zh-CN"/>
              </w:rPr>
              <w:t>淮北市平祥感应炉有限公司老厂区南侧，</w:t>
            </w:r>
            <w:r>
              <w:rPr>
                <w:rFonts w:hint="eastAsia"/>
                <w:kern w:val="0"/>
                <w:sz w:val="24"/>
              </w:rPr>
              <w:t>核定生产能力</w:t>
            </w:r>
            <w:r>
              <w:rPr>
                <w:rFonts w:hint="eastAsia"/>
                <w:kern w:val="0"/>
                <w:sz w:val="24"/>
                <w:lang w:val="en-US" w:eastAsia="zh-CN"/>
              </w:rPr>
              <w:t>为年生产低谐波多供电变频感应炉260台，生产工艺为：</w:t>
            </w:r>
            <w:r>
              <w:rPr>
                <w:rFonts w:hint="eastAsia"/>
                <w:color w:val="auto"/>
                <w:sz w:val="24"/>
                <w:szCs w:val="24"/>
                <w:lang w:val="en-US" w:eastAsia="zh-CN"/>
              </w:rPr>
              <w:t>机械加工</w:t>
            </w:r>
            <w:r>
              <w:rPr>
                <w:rFonts w:hint="eastAsia" w:cs="Times New Roman"/>
                <w:color w:val="000000" w:themeColor="text1"/>
                <w:sz w:val="24"/>
                <w:szCs w:val="24"/>
                <w:lang w:val="en-US" w:eastAsia="zh-CN"/>
                <w14:textFill>
                  <w14:solidFill>
                    <w14:schemeClr w14:val="tx1"/>
                  </w14:solidFill>
                </w14:textFill>
              </w:rPr>
              <w:t>→焊接→组装→总装→调试→包装。该项目于2026年2月通过了建设单位的自主验</w:t>
            </w:r>
            <w:r>
              <w:rPr>
                <w:rFonts w:hint="eastAsia" w:cs="Times New Roman"/>
                <w:color w:val="000000" w:themeColor="text1"/>
                <w:sz w:val="24"/>
                <w:szCs w:val="24"/>
                <w:highlight w:val="none"/>
                <w:lang w:val="en-US" w:eastAsia="zh-CN"/>
                <w14:textFill>
                  <w14:solidFill>
                    <w14:schemeClr w14:val="tx1"/>
                  </w14:solidFill>
                </w14:textFill>
              </w:rPr>
              <w:t>收</w:t>
            </w:r>
            <w:r>
              <w:rPr>
                <w:rFonts w:hint="eastAsia" w:ascii="宋体" w:hAnsi="宋体" w:cs="宋体"/>
                <w:sz w:val="24"/>
                <w:szCs w:val="24"/>
                <w:highlight w:val="none"/>
                <w:lang w:val="en-US" w:eastAsia="zh-CN"/>
              </w:rPr>
              <w:t>。</w:t>
            </w:r>
          </w:p>
          <w:p w14:paraId="73641814">
            <w:pPr>
              <w:autoSpaceDE w:val="0"/>
              <w:autoSpaceDN w:val="0"/>
              <w:adjustRightIn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根据《排污许可管理条例》（国务院736号令），建设单位于2020年5月20日完成首次登记，2025年10月27日进行了延续登记。</w:t>
            </w:r>
          </w:p>
          <w:p w14:paraId="26D1226F">
            <w:pPr>
              <w:autoSpaceDE w:val="0"/>
              <w:autoSpaceDN w:val="0"/>
              <w:adjustRightInd w:val="0"/>
              <w:spacing w:line="360" w:lineRule="auto"/>
              <w:ind w:firstLine="480" w:firstLineChars="200"/>
              <w:rPr>
                <w:rFonts w:hint="default"/>
                <w:sz w:val="24"/>
                <w:szCs w:val="24"/>
                <w:vertAlign w:val="baseline"/>
                <w:lang w:val="en-US" w:eastAsia="zh-CN"/>
              </w:rPr>
            </w:pPr>
            <w:r>
              <w:rPr>
                <w:rFonts w:hint="eastAsia"/>
                <w:lang w:val="en-US" w:eastAsia="zh-CN"/>
              </w:rPr>
              <w:t>现建设单位因顺应发展需求，降本增效</w:t>
            </w:r>
            <w:r>
              <w:rPr>
                <w:rFonts w:hint="eastAsia"/>
                <w:color w:val="auto"/>
                <w:sz w:val="24"/>
                <w:szCs w:val="24"/>
                <w:lang w:val="en-US" w:eastAsia="zh-CN"/>
              </w:rPr>
              <w:t>提升产品质量，</w:t>
            </w:r>
            <w:r>
              <w:rPr>
                <w:rFonts w:hint="eastAsia"/>
                <w:lang w:val="en-US" w:eastAsia="zh-CN"/>
              </w:rPr>
              <w:t>拟对部分工序</w:t>
            </w:r>
            <w:r>
              <w:rPr>
                <w:rFonts w:hint="eastAsia" w:cs="Times New Roman"/>
                <w:color w:val="auto"/>
                <w:sz w:val="24"/>
                <w:szCs w:val="24"/>
                <w:highlight w:val="none"/>
                <w:lang w:val="en-US" w:eastAsia="zh-CN"/>
              </w:rPr>
              <w:t>进行技术改造，新增喷砂、喷漆（含调漆、晾干、喷枪清洗）、喷塑、封装料浇注固化、烘干等工序，在C车间内北侧新建相应的喷漆房、喷塑房、喷砂房等。本次技改完成后产能不变，产品方案变</w:t>
            </w:r>
            <w:r>
              <w:rPr>
                <w:rFonts w:hint="eastAsia"/>
                <w:kern w:val="0"/>
                <w:sz w:val="24"/>
                <w:highlight w:val="none"/>
                <w:lang w:val="en-US" w:eastAsia="zh-CN"/>
              </w:rPr>
              <w:t>为</w:t>
            </w:r>
            <w:r>
              <w:rPr>
                <w:rFonts w:hint="default" w:ascii="Times New Roman" w:hAnsi="Times New Roman" w:cs="Times New Roman"/>
                <w:sz w:val="24"/>
                <w:szCs w:val="24"/>
                <w:highlight w:val="none"/>
              </w:rPr>
              <w:t>年产260套</w:t>
            </w:r>
            <w:r>
              <w:rPr>
                <w:rFonts w:hint="eastAsia" w:cs="Times New Roman"/>
                <w:sz w:val="24"/>
                <w:szCs w:val="24"/>
                <w:highlight w:val="none"/>
                <w:lang w:val="en-US" w:eastAsia="zh-CN"/>
              </w:rPr>
              <w:t>工业电炉，其中包含变频感应炉230套/年、真空炉20套/年和保护气氛电渣炉10套/年</w:t>
            </w:r>
            <w:r>
              <w:rPr>
                <w:rFonts w:hint="eastAsia" w:cs="Times New Roman"/>
                <w:color w:val="auto"/>
                <w:sz w:val="24"/>
                <w:szCs w:val="24"/>
                <w:highlight w:val="none"/>
                <w:lang w:val="en-US" w:eastAsia="zh-CN"/>
              </w:rPr>
              <w:t>。</w:t>
            </w:r>
          </w:p>
          <w:p w14:paraId="19A6466B">
            <w:pPr>
              <w:autoSpaceDE w:val="0"/>
              <w:autoSpaceDN w:val="0"/>
              <w:adjustRightInd w:val="0"/>
              <w:spacing w:line="360" w:lineRule="auto"/>
              <w:ind w:firstLine="482" w:firstLineChars="200"/>
              <w:rPr>
                <w:rFonts w:hint="eastAsia"/>
                <w:lang w:val="en-US" w:eastAsia="zh-CN"/>
              </w:rPr>
            </w:pPr>
            <w:r>
              <w:rPr>
                <w:rFonts w:hint="eastAsia"/>
                <w:b/>
                <w:bCs/>
                <w:lang w:val="en-US" w:eastAsia="zh-CN"/>
              </w:rPr>
              <w:t>建设项目行业类别判定</w:t>
            </w:r>
            <w:r>
              <w:rPr>
                <w:rFonts w:hint="eastAsia"/>
                <w:lang w:val="en-US" w:eastAsia="zh-CN"/>
              </w:rPr>
              <w:t>：根据《国民经济行业分类》（GB/T 4754-2017），本项目属于C3461烘炉、熔炉及电炉制造，对照《建设项目环境影响评价分类管理名录》（2021版），属名录中：“三十一、通用设备制造业 34”之下的“烘炉、风机、包装等设备制造 346”行中的“其他（仅分割、焊接、组装的除外；年用非溶剂型低 VOCs含量涂料10吨以下的除外）”，需要做环境影响报告表。</w:t>
            </w:r>
          </w:p>
          <w:p w14:paraId="1AF65D9D">
            <w:pPr>
              <w:numPr>
                <w:ilvl w:val="0"/>
                <w:numId w:val="2"/>
              </w:numPr>
              <w:spacing w:line="240" w:lineRule="auto"/>
              <w:jc w:val="center"/>
              <w:rPr>
                <w:rFonts w:ascii="Times New Roman" w:hAnsi="Times New Roman" w:cs="Times New Roman"/>
                <w:b/>
                <w:bCs/>
                <w:sz w:val="22"/>
                <w:szCs w:val="22"/>
              </w:rPr>
            </w:pPr>
            <w:r>
              <w:rPr>
                <w:rFonts w:ascii="Times New Roman" w:hAnsi="Times New Roman" w:cs="Times New Roman"/>
                <w:b/>
                <w:bCs/>
                <w:sz w:val="22"/>
                <w:szCs w:val="22"/>
              </w:rPr>
              <w:t>建设项目环境影响评价分类管理名录（摘录）</w:t>
            </w:r>
          </w:p>
          <w:tbl>
            <w:tblPr>
              <w:tblStyle w:val="25"/>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975"/>
              <w:gridCol w:w="1512"/>
              <w:gridCol w:w="1896"/>
              <w:gridCol w:w="1101"/>
            </w:tblGrid>
            <w:tr w14:paraId="79F2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2" w:hRule="atLeast"/>
                <w:jc w:val="center"/>
              </w:trPr>
              <w:tc>
                <w:tcPr>
                  <w:tcW w:w="3649" w:type="dxa"/>
                  <w:gridSpan w:val="2"/>
                  <w:tcBorders>
                    <w:tl2br w:val="single" w:color="auto" w:sz="4" w:space="0"/>
                  </w:tcBorders>
                </w:tcPr>
                <w:p w14:paraId="7BEEF13D">
                  <w:pPr>
                    <w:pStyle w:val="5"/>
                    <w:jc w:val="right"/>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环评类别</w:t>
                  </w:r>
                </w:p>
                <w:p w14:paraId="7979C6E0">
                  <w:pPr>
                    <w:bidi w:val="0"/>
                    <w:jc w:val="left"/>
                    <w:rPr>
                      <w:rFonts w:hint="default" w:ascii="Times New Roman" w:hAnsi="Times New Roman" w:cs="Times New Roman"/>
                      <w:sz w:val="21"/>
                      <w:szCs w:val="21"/>
                      <w:lang w:val="en-US" w:eastAsia="zh-CN"/>
                    </w:rPr>
                  </w:pPr>
                  <w:r>
                    <w:rPr>
                      <w:rFonts w:hint="default" w:ascii="Times New Roman" w:hAnsi="Times New Roman" w:eastAsia="宋体" w:cs="Times New Roman"/>
                      <w:b/>
                      <w:bCs/>
                      <w:kern w:val="2"/>
                      <w:sz w:val="21"/>
                      <w:szCs w:val="21"/>
                      <w:vertAlign w:val="baseline"/>
                      <w:lang w:val="en-US" w:eastAsia="zh-CN" w:bidi="ar-SA"/>
                    </w:rPr>
                    <w:t>项目类别</w:t>
                  </w:r>
                </w:p>
              </w:tc>
              <w:tc>
                <w:tcPr>
                  <w:tcW w:w="1512" w:type="dxa"/>
                  <w:shd w:val="clear" w:color="auto" w:fill="auto"/>
                  <w:vAlign w:val="center"/>
                </w:tcPr>
                <w:p w14:paraId="2F7FE4DD">
                  <w:pPr>
                    <w:pStyle w:val="4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sz w:val="21"/>
                      <w:szCs w:val="21"/>
                    </w:rPr>
                    <w:t>报告书</w:t>
                  </w:r>
                </w:p>
              </w:tc>
              <w:tc>
                <w:tcPr>
                  <w:tcW w:w="1896" w:type="dxa"/>
                  <w:shd w:val="clear" w:color="auto" w:fill="auto"/>
                  <w:vAlign w:val="center"/>
                </w:tcPr>
                <w:p w14:paraId="4C0CC19B">
                  <w:pPr>
                    <w:pStyle w:val="4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sz w:val="21"/>
                      <w:szCs w:val="21"/>
                    </w:rPr>
                    <w:t>报告表</w:t>
                  </w:r>
                </w:p>
              </w:tc>
              <w:tc>
                <w:tcPr>
                  <w:tcW w:w="1101" w:type="dxa"/>
                  <w:shd w:val="clear" w:color="auto" w:fill="auto"/>
                  <w:vAlign w:val="center"/>
                </w:tcPr>
                <w:p w14:paraId="40B570CF">
                  <w:pPr>
                    <w:pStyle w:val="4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sz w:val="21"/>
                      <w:szCs w:val="21"/>
                    </w:rPr>
                    <w:t>登记表</w:t>
                  </w:r>
                </w:p>
              </w:tc>
            </w:tr>
            <w:tr w14:paraId="6159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8" w:type="dxa"/>
                  <w:gridSpan w:val="5"/>
                  <w:vAlign w:val="center"/>
                </w:tcPr>
                <w:p w14:paraId="0E2F7E2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vertAlign w:val="baseline"/>
                    </w:rPr>
                  </w:pPr>
                  <w:r>
                    <w:rPr>
                      <w:rFonts w:hint="default" w:ascii="Times New Roman" w:hAnsi="Times New Roman" w:eastAsia="榛戜綋" w:cs="Times New Roman"/>
                      <w:color w:val="000000"/>
                      <w:kern w:val="0"/>
                      <w:sz w:val="21"/>
                      <w:szCs w:val="21"/>
                      <w:lang w:val="en-US" w:eastAsia="zh-CN" w:bidi="ar"/>
                    </w:rPr>
                    <w:t>三十一、通用设备制造业 34</w:t>
                  </w:r>
                </w:p>
              </w:tc>
            </w:tr>
            <w:tr w14:paraId="2744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71FCC269">
                  <w:pPr>
                    <w:pStyle w:val="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69</w:t>
                  </w:r>
                </w:p>
              </w:tc>
              <w:tc>
                <w:tcPr>
                  <w:tcW w:w="2975" w:type="dxa"/>
                  <w:vAlign w:val="center"/>
                </w:tcPr>
                <w:p w14:paraId="5872664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vertAlign w:val="baseline"/>
                    </w:rPr>
                  </w:pPr>
                  <w:r>
                    <w:rPr>
                      <w:rFonts w:hint="default" w:ascii="Times New Roman" w:hAnsi="Times New Roman" w:eastAsia="瀹嬩綋" w:cs="Times New Roman"/>
                      <w:color w:val="000000"/>
                      <w:kern w:val="0"/>
                      <w:sz w:val="21"/>
                      <w:szCs w:val="21"/>
                      <w:lang w:val="en-US" w:eastAsia="zh-CN" w:bidi="ar"/>
                    </w:rPr>
                    <w:t>锅炉及原动设备制造 341；金属加工机械制造 342；物料搬运设备制造 343；泵、阀门、压缩机及类似机械制造 344；轴承、齿轮和传动部件制造 345；烘炉、风机、包装等设备制造 346；文化、办公用机械制造 347；通用零部件制造 348；其他通用设备制造业 349</w:t>
                  </w:r>
                </w:p>
              </w:tc>
              <w:tc>
                <w:tcPr>
                  <w:tcW w:w="1512" w:type="dxa"/>
                  <w:vAlign w:val="center"/>
                </w:tcPr>
                <w:p w14:paraId="10C1392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瀹嬩綋" w:cs="Times New Roman"/>
                      <w:color w:val="000000"/>
                      <w:kern w:val="0"/>
                      <w:sz w:val="21"/>
                      <w:szCs w:val="21"/>
                      <w:lang w:val="en-US" w:eastAsia="zh-CN" w:bidi="ar"/>
                    </w:rPr>
                    <w:t>有电镀工艺的；年用溶剂型涂料（含稀释剂）10吨及以上的</w:t>
                  </w:r>
                </w:p>
                <w:p w14:paraId="1A7A6FEA">
                  <w:pPr>
                    <w:pStyle w:val="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1"/>
                      <w:szCs w:val="21"/>
                      <w:vertAlign w:val="baseline"/>
                    </w:rPr>
                  </w:pPr>
                </w:p>
              </w:tc>
              <w:tc>
                <w:tcPr>
                  <w:tcW w:w="1896" w:type="dxa"/>
                  <w:vAlign w:val="center"/>
                </w:tcPr>
                <w:p w14:paraId="39A2667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瀹嬩綋" w:cs="Times New Roman"/>
                      <w:color w:val="000000"/>
                      <w:kern w:val="0"/>
                      <w:sz w:val="21"/>
                      <w:szCs w:val="21"/>
                      <w:lang w:val="en-US" w:eastAsia="zh-CN" w:bidi="ar"/>
                    </w:rPr>
                    <w:t>其他（仅分割、焊接、组装的除外；年用非溶剂型低VOCs含量涂料10吨以下的除外）</w:t>
                  </w:r>
                </w:p>
                <w:p w14:paraId="57502850">
                  <w:pPr>
                    <w:pStyle w:val="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sz w:val="21"/>
                      <w:szCs w:val="21"/>
                      <w:vertAlign w:val="baseline"/>
                    </w:rPr>
                  </w:pPr>
                </w:p>
              </w:tc>
              <w:tc>
                <w:tcPr>
                  <w:tcW w:w="1101" w:type="dxa"/>
                  <w:vAlign w:val="center"/>
                </w:tcPr>
                <w:p w14:paraId="756E697F">
                  <w:pPr>
                    <w:pStyle w:val="5"/>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bl>
          <w:p w14:paraId="3303C224">
            <w:pPr>
              <w:bidi w:val="0"/>
              <w:rPr>
                <w:rFonts w:hint="eastAsia"/>
                <w:lang w:val="en-US" w:eastAsia="zh-CN"/>
              </w:rPr>
            </w:pPr>
          </w:p>
          <w:p w14:paraId="0E5C115B">
            <w:pPr>
              <w:autoSpaceDE w:val="0"/>
              <w:autoSpaceDN w:val="0"/>
              <w:adjustRightInd w:val="0"/>
              <w:spacing w:line="360" w:lineRule="auto"/>
              <w:ind w:firstLine="482" w:firstLineChars="200"/>
              <w:rPr>
                <w:rFonts w:hint="eastAsia" w:ascii="Times New Roman" w:hAnsi="Times New Roman" w:eastAsia="宋体" w:cs="Times New Roman"/>
                <w:kern w:val="0"/>
                <w:sz w:val="24"/>
                <w:szCs w:val="24"/>
                <w:lang w:val="en-US" w:eastAsia="zh-CN" w:bidi="ar-SA"/>
              </w:rPr>
            </w:pPr>
            <w:r>
              <w:rPr>
                <w:rFonts w:hint="eastAsia"/>
                <w:b/>
                <w:bCs/>
                <w:lang w:val="en-US" w:eastAsia="zh-CN"/>
              </w:rPr>
              <w:t>排污许可类别判定</w:t>
            </w:r>
            <w:r>
              <w:rPr>
                <w:rFonts w:hint="eastAsia"/>
                <w:lang w:val="en-US" w:eastAsia="zh-CN"/>
              </w:rPr>
              <w:t>：对照《固定污染源排污许可分类管理名录》（2019年版），相关内容如下：</w:t>
            </w:r>
          </w:p>
          <w:p w14:paraId="225A894C">
            <w:pPr>
              <w:numPr>
                <w:ilvl w:val="0"/>
                <w:numId w:val="2"/>
              </w:numPr>
              <w:spacing w:line="240" w:lineRule="auto"/>
              <w:jc w:val="center"/>
              <w:rPr>
                <w:rFonts w:ascii="Times New Roman" w:hAnsi="Times New Roman" w:cs="Times New Roman"/>
                <w:b/>
                <w:bCs/>
                <w:sz w:val="22"/>
                <w:szCs w:val="22"/>
              </w:rPr>
            </w:pPr>
            <w:r>
              <w:rPr>
                <w:rFonts w:ascii="Times New Roman" w:hAnsi="Times New Roman" w:cs="Times New Roman"/>
                <w:b/>
                <w:bCs/>
                <w:sz w:val="22"/>
                <w:szCs w:val="22"/>
              </w:rPr>
              <w:t>固定污染源排污许可证分类管理名录（2019版）对照表（摘录）</w:t>
            </w:r>
          </w:p>
          <w:tbl>
            <w:tblPr>
              <w:tblStyle w:val="25"/>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987"/>
              <w:gridCol w:w="1212"/>
              <w:gridCol w:w="2172"/>
              <w:gridCol w:w="1113"/>
            </w:tblGrid>
            <w:tr w14:paraId="7B6F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shd w:val="clear" w:color="auto" w:fill="auto"/>
                  <w:vAlign w:val="center"/>
                </w:tcPr>
                <w:p w14:paraId="40C80A85">
                  <w:pPr>
                    <w:pStyle w:val="4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序号</w:t>
                  </w:r>
                </w:p>
              </w:tc>
              <w:tc>
                <w:tcPr>
                  <w:tcW w:w="2987" w:type="dxa"/>
                  <w:shd w:val="clear" w:color="auto" w:fill="auto"/>
                  <w:vAlign w:val="center"/>
                </w:tcPr>
                <w:p w14:paraId="5897E0DF">
                  <w:pPr>
                    <w:pStyle w:val="4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行业类别</w:t>
                  </w:r>
                </w:p>
              </w:tc>
              <w:tc>
                <w:tcPr>
                  <w:tcW w:w="1212" w:type="dxa"/>
                  <w:shd w:val="clear" w:color="auto" w:fill="auto"/>
                  <w:vAlign w:val="center"/>
                </w:tcPr>
                <w:p w14:paraId="6D1BDB92">
                  <w:pPr>
                    <w:pStyle w:val="4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重点管理</w:t>
                  </w:r>
                </w:p>
              </w:tc>
              <w:tc>
                <w:tcPr>
                  <w:tcW w:w="2172" w:type="dxa"/>
                  <w:shd w:val="clear" w:color="auto" w:fill="auto"/>
                  <w:vAlign w:val="center"/>
                </w:tcPr>
                <w:p w14:paraId="56EE5AAE">
                  <w:pPr>
                    <w:pStyle w:val="4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简化管理</w:t>
                  </w:r>
                </w:p>
              </w:tc>
              <w:tc>
                <w:tcPr>
                  <w:tcW w:w="1113" w:type="dxa"/>
                  <w:shd w:val="clear" w:color="auto" w:fill="auto"/>
                  <w:vAlign w:val="center"/>
                </w:tcPr>
                <w:p w14:paraId="0C283439">
                  <w:pPr>
                    <w:pStyle w:val="48"/>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登记管理</w:t>
                  </w:r>
                </w:p>
              </w:tc>
            </w:tr>
            <w:tr w14:paraId="16AF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8" w:type="dxa"/>
                  <w:gridSpan w:val="5"/>
                  <w:vAlign w:val="center"/>
                </w:tcPr>
                <w:p w14:paraId="77C0819A">
                  <w:pPr>
                    <w:pStyle w:val="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b/>
                      <w:bCs/>
                      <w:kern w:val="0"/>
                      <w:sz w:val="21"/>
                      <w:szCs w:val="21"/>
                      <w:lang w:val="en-US" w:eastAsia="zh-CN" w:bidi="ar-SA"/>
                    </w:rPr>
                    <w:t>二十九、通用设备制造业 34</w:t>
                  </w:r>
                </w:p>
              </w:tc>
            </w:tr>
            <w:tr w14:paraId="4195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1B5F5C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83</w:t>
                  </w:r>
                </w:p>
              </w:tc>
              <w:tc>
                <w:tcPr>
                  <w:tcW w:w="2987" w:type="dxa"/>
                  <w:vAlign w:val="center"/>
                </w:tcPr>
                <w:p w14:paraId="4F4DC2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锅炉及原动设备制造 341，金属加工机械制造 342，物料搬运设备制造 343，泵、阀门、压缩机及类似机械制造 344，轴承、齿轮和传动部件制造 345，烘炉、风机、包装等设备制造 346，文化、办公用机械制造 347，通用零部件制造 348，其他通用设备制造业 349</w:t>
                  </w:r>
                </w:p>
              </w:tc>
              <w:tc>
                <w:tcPr>
                  <w:tcW w:w="1212" w:type="dxa"/>
                  <w:vAlign w:val="center"/>
                </w:tcPr>
                <w:p w14:paraId="3B08DE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涉及通用工序重点管理的</w:t>
                  </w:r>
                </w:p>
              </w:tc>
              <w:tc>
                <w:tcPr>
                  <w:tcW w:w="2172" w:type="dxa"/>
                  <w:vAlign w:val="center"/>
                </w:tcPr>
                <w:p w14:paraId="2C8802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涉及通用工序简化管理的</w:t>
                  </w:r>
                </w:p>
              </w:tc>
              <w:tc>
                <w:tcPr>
                  <w:tcW w:w="1113" w:type="dxa"/>
                  <w:vAlign w:val="center"/>
                </w:tcPr>
                <w:p w14:paraId="37D73087">
                  <w:pPr>
                    <w:pStyle w:val="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其他</w:t>
                  </w:r>
                </w:p>
              </w:tc>
            </w:tr>
            <w:tr w14:paraId="4F4E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8" w:type="dxa"/>
                  <w:gridSpan w:val="5"/>
                  <w:vAlign w:val="center"/>
                </w:tcPr>
                <w:p w14:paraId="303D403A">
                  <w:pPr>
                    <w:pStyle w:val="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bCs/>
                      <w:color w:val="000000"/>
                      <w:sz w:val="21"/>
                      <w:szCs w:val="21"/>
                    </w:rPr>
                    <w:t>五十一、通用工序</w:t>
                  </w:r>
                </w:p>
              </w:tc>
            </w:tr>
            <w:tr w14:paraId="77AD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3F6F05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111</w:t>
                  </w:r>
                </w:p>
              </w:tc>
              <w:tc>
                <w:tcPr>
                  <w:tcW w:w="2987" w:type="dxa"/>
                  <w:vAlign w:val="center"/>
                </w:tcPr>
                <w:p w14:paraId="7CD00C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color w:val="000000"/>
                      <w:sz w:val="21"/>
                      <w:szCs w:val="21"/>
                    </w:rPr>
                    <w:t>表面处理</w:t>
                  </w:r>
                </w:p>
              </w:tc>
              <w:tc>
                <w:tcPr>
                  <w:tcW w:w="1212" w:type="dxa"/>
                  <w:vAlign w:val="center"/>
                </w:tcPr>
                <w:p w14:paraId="1240A3C8">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rPr>
                    <w:t>纳入重点排污单位名录的</w:t>
                  </w:r>
                </w:p>
              </w:tc>
              <w:tc>
                <w:tcPr>
                  <w:tcW w:w="2172" w:type="dxa"/>
                  <w:vAlign w:val="center"/>
                </w:tcPr>
                <w:p w14:paraId="0A03E824">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sz w:val="21"/>
                      <w:szCs w:val="21"/>
                    </w:rPr>
                    <w:t>除纳入重点排污单位名录的，有电镀工序、酸洗、抛光（电解抛光和化学抛 光）、热浸镀（溶剂法）、淬火或者钝化等工序的、年使用10 吨及以上有机溶剂的</w:t>
                  </w:r>
                </w:p>
              </w:tc>
              <w:tc>
                <w:tcPr>
                  <w:tcW w:w="1113" w:type="dxa"/>
                  <w:vAlign w:val="center"/>
                </w:tcPr>
                <w:p w14:paraId="5A0C3AAE">
                  <w:pPr>
                    <w:pStyle w:val="5"/>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其他</w:t>
                  </w:r>
                </w:p>
              </w:tc>
            </w:tr>
          </w:tbl>
          <w:p w14:paraId="7E41D79D">
            <w:pPr>
              <w:bidi w:val="0"/>
              <w:rPr>
                <w:rFonts w:hint="default"/>
                <w:lang w:val="en-US" w:eastAsia="zh-CN"/>
              </w:rPr>
            </w:pPr>
          </w:p>
          <w:p w14:paraId="01E4462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对照上表内容，本项目属于排污许可中</w:t>
            </w:r>
            <w:r>
              <w:rPr>
                <w:rFonts w:hint="eastAsia"/>
                <w:sz w:val="24"/>
                <w:szCs w:val="24"/>
                <w:lang w:val="en-US" w:eastAsia="zh-CN"/>
              </w:rPr>
              <w:t>“</w:t>
            </w:r>
            <w:r>
              <w:rPr>
                <w:rFonts w:hint="default"/>
                <w:sz w:val="24"/>
                <w:szCs w:val="24"/>
                <w:lang w:val="en-US" w:eastAsia="zh-CN"/>
              </w:rPr>
              <w:t>登记管理</w:t>
            </w:r>
            <w:r>
              <w:rPr>
                <w:rFonts w:hint="eastAsia"/>
                <w:sz w:val="24"/>
                <w:szCs w:val="24"/>
                <w:lang w:val="en-US" w:eastAsia="zh-CN"/>
              </w:rPr>
              <w:t>”</w:t>
            </w:r>
            <w:r>
              <w:rPr>
                <w:rFonts w:hint="default"/>
                <w:sz w:val="24"/>
                <w:szCs w:val="24"/>
                <w:lang w:val="en-US" w:eastAsia="zh-CN"/>
              </w:rPr>
              <w:t>，根据安徽省生态环境厅《关于统筹做好固定污染源排污许可日常监管工作的通知》(皖环发[2021]7号)属于现行《固定污染源排污许可分类管理名录》内重点管理和简化管理的行业建设单位在组织编制建设项目环境影响报告书(表)时，可结合相应行业排污许可证申请与核发技术规范</w:t>
            </w:r>
            <w:r>
              <w:rPr>
                <w:rFonts w:hint="eastAsia"/>
                <w:sz w:val="24"/>
                <w:szCs w:val="24"/>
                <w:lang w:val="en-US" w:eastAsia="zh-CN"/>
              </w:rPr>
              <w:t>，</w:t>
            </w:r>
            <w:r>
              <w:rPr>
                <w:rFonts w:hint="default"/>
                <w:sz w:val="24"/>
                <w:szCs w:val="24"/>
                <w:lang w:val="en-US" w:eastAsia="zh-CN"/>
              </w:rPr>
              <w:t>在环评文件中一并明确</w:t>
            </w:r>
            <w:r>
              <w:rPr>
                <w:rFonts w:hint="eastAsia"/>
                <w:sz w:val="24"/>
                <w:szCs w:val="24"/>
                <w:lang w:val="en-US" w:eastAsia="zh-CN"/>
              </w:rPr>
              <w:t>“</w:t>
            </w:r>
            <w:r>
              <w:rPr>
                <w:rFonts w:hint="default"/>
                <w:sz w:val="24"/>
                <w:szCs w:val="24"/>
                <w:lang w:val="en-US" w:eastAsia="zh-CN"/>
              </w:rPr>
              <w:t>建设项目环境影响评价与排污许可联动内容</w:t>
            </w:r>
            <w:r>
              <w:rPr>
                <w:rFonts w:hint="eastAsia"/>
                <w:sz w:val="24"/>
                <w:szCs w:val="24"/>
                <w:lang w:val="en-US" w:eastAsia="zh-CN"/>
              </w:rPr>
              <w:t>”</w:t>
            </w:r>
            <w:r>
              <w:rPr>
                <w:rFonts w:hint="default"/>
                <w:sz w:val="24"/>
                <w:szCs w:val="24"/>
                <w:lang w:val="en-US" w:eastAsia="zh-CN"/>
              </w:rPr>
              <w:t>和《建设项目排污许可申请与填报信息表》。由于本项目属于现行《固定污染源排污许可分类管理名录》</w:t>
            </w:r>
            <w:r>
              <w:rPr>
                <w:rFonts w:hint="eastAsia"/>
                <w:sz w:val="24"/>
                <w:szCs w:val="24"/>
                <w:lang w:val="en-US" w:eastAsia="zh-CN"/>
              </w:rPr>
              <w:t>中“登</w:t>
            </w:r>
            <w:r>
              <w:rPr>
                <w:rFonts w:hint="default"/>
                <w:sz w:val="24"/>
                <w:szCs w:val="24"/>
                <w:lang w:val="en-US" w:eastAsia="zh-CN"/>
              </w:rPr>
              <w:t>记管理</w:t>
            </w:r>
            <w:r>
              <w:rPr>
                <w:rFonts w:hint="eastAsia"/>
                <w:sz w:val="24"/>
                <w:szCs w:val="24"/>
                <w:lang w:val="en-US" w:eastAsia="zh-CN"/>
              </w:rPr>
              <w:t>”</w:t>
            </w:r>
            <w:r>
              <w:rPr>
                <w:rFonts w:hint="default"/>
                <w:sz w:val="24"/>
                <w:szCs w:val="24"/>
                <w:lang w:val="en-US" w:eastAsia="zh-CN"/>
              </w:rPr>
              <w:t>，无需填报</w:t>
            </w:r>
            <w:r>
              <w:rPr>
                <w:rFonts w:hint="eastAsia"/>
                <w:sz w:val="24"/>
                <w:szCs w:val="24"/>
                <w:lang w:val="en-US" w:eastAsia="zh-CN"/>
              </w:rPr>
              <w:t>“</w:t>
            </w:r>
            <w:r>
              <w:rPr>
                <w:rFonts w:hint="default"/>
                <w:sz w:val="24"/>
                <w:szCs w:val="24"/>
                <w:lang w:val="en-US" w:eastAsia="zh-CN"/>
              </w:rPr>
              <w:t>建设项目环境影响评价与排污许可联动内容</w:t>
            </w:r>
            <w:r>
              <w:rPr>
                <w:rFonts w:hint="eastAsia"/>
                <w:sz w:val="24"/>
                <w:szCs w:val="24"/>
                <w:lang w:val="en-US" w:eastAsia="zh-CN"/>
              </w:rPr>
              <w:t>”</w:t>
            </w:r>
            <w:r>
              <w:rPr>
                <w:rFonts w:hint="default"/>
                <w:sz w:val="24"/>
                <w:szCs w:val="24"/>
                <w:lang w:val="en-US" w:eastAsia="zh-CN"/>
              </w:rPr>
              <w:t>和《建设项目排污许可申请与填报信息表》</w:t>
            </w:r>
            <w:r>
              <w:rPr>
                <w:rFonts w:hint="eastAsia"/>
                <w:sz w:val="24"/>
                <w:szCs w:val="24"/>
                <w:lang w:val="en-US" w:eastAsia="zh-CN"/>
              </w:rPr>
              <w:t>。</w:t>
            </w:r>
          </w:p>
          <w:p w14:paraId="321C2DC8">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textAlignment w:val="auto"/>
              <w:rPr>
                <w:b/>
                <w:bCs/>
                <w:kern w:val="0"/>
                <w:sz w:val="24"/>
              </w:rPr>
            </w:pPr>
            <w:r>
              <w:rPr>
                <w:rFonts w:hint="eastAsia"/>
                <w:b/>
                <w:bCs/>
                <w:kern w:val="0"/>
                <w:sz w:val="24"/>
                <w:lang w:val="en-US" w:eastAsia="zh-CN"/>
              </w:rPr>
              <w:t>2</w:t>
            </w:r>
            <w:r>
              <w:rPr>
                <w:b/>
                <w:bCs/>
                <w:kern w:val="0"/>
                <w:sz w:val="24"/>
              </w:rPr>
              <w:t>、项目基本情况</w:t>
            </w:r>
          </w:p>
          <w:p w14:paraId="2B9DD69D">
            <w:pPr>
              <w:autoSpaceDE w:val="0"/>
              <w:autoSpaceDN w:val="0"/>
              <w:adjustRightInd w:val="0"/>
              <w:spacing w:line="360" w:lineRule="auto"/>
              <w:ind w:firstLine="480" w:firstLineChars="200"/>
              <w:rPr>
                <w:rFonts w:hint="eastAsia" w:eastAsia="宋体"/>
                <w:kern w:val="0"/>
                <w:sz w:val="24"/>
                <w:lang w:eastAsia="zh-CN"/>
              </w:rPr>
            </w:pPr>
            <w:r>
              <w:rPr>
                <w:kern w:val="0"/>
                <w:sz w:val="24"/>
              </w:rPr>
              <w:t>项目名称：</w:t>
            </w:r>
            <w:r>
              <w:rPr>
                <w:rFonts w:hint="eastAsia" w:cs="Times New Roman"/>
                <w:sz w:val="24"/>
                <w:szCs w:val="24"/>
                <w:lang w:eastAsia="zh-CN"/>
              </w:rPr>
              <w:t>年产260套工业电炉项目</w:t>
            </w:r>
          </w:p>
          <w:p w14:paraId="66DE1C28">
            <w:pPr>
              <w:autoSpaceDE w:val="0"/>
              <w:autoSpaceDN w:val="0"/>
              <w:adjustRightInd w:val="0"/>
              <w:spacing w:line="360" w:lineRule="auto"/>
              <w:ind w:firstLine="480" w:firstLineChars="200"/>
              <w:rPr>
                <w:sz w:val="24"/>
              </w:rPr>
            </w:pPr>
            <w:r>
              <w:rPr>
                <w:kern w:val="0"/>
                <w:sz w:val="24"/>
              </w:rPr>
              <w:t>建设单位：</w:t>
            </w:r>
            <w:r>
              <w:rPr>
                <w:rFonts w:hint="eastAsia"/>
                <w:kern w:val="0"/>
                <w:sz w:val="24"/>
                <w:lang w:val="en-US" w:eastAsia="zh-CN"/>
              </w:rPr>
              <w:t>淮北市平祥感应炉有限公司</w:t>
            </w:r>
          </w:p>
          <w:p w14:paraId="1EBD8415">
            <w:pPr>
              <w:autoSpaceDE w:val="0"/>
              <w:autoSpaceDN w:val="0"/>
              <w:adjustRightInd w:val="0"/>
              <w:spacing w:line="360" w:lineRule="auto"/>
              <w:ind w:firstLine="480" w:firstLineChars="200"/>
              <w:rPr>
                <w:rFonts w:hint="eastAsia" w:eastAsia="宋体"/>
                <w:kern w:val="0"/>
                <w:sz w:val="24"/>
                <w:lang w:eastAsia="zh-CN"/>
              </w:rPr>
            </w:pPr>
            <w:r>
              <w:rPr>
                <w:kern w:val="0"/>
                <w:sz w:val="24"/>
              </w:rPr>
              <w:t>项目性质：</w:t>
            </w:r>
            <w:r>
              <w:rPr>
                <w:rFonts w:hint="eastAsia"/>
                <w:kern w:val="0"/>
                <w:sz w:val="24"/>
                <w:lang w:val="en-US" w:eastAsia="zh-CN"/>
              </w:rPr>
              <w:t>技术改造</w:t>
            </w:r>
          </w:p>
          <w:p w14:paraId="4B1F6A56">
            <w:pPr>
              <w:autoSpaceDE w:val="0"/>
              <w:autoSpaceDN w:val="0"/>
              <w:adjustRightInd w:val="0"/>
              <w:spacing w:line="360" w:lineRule="auto"/>
              <w:ind w:firstLine="480" w:firstLineChars="200"/>
              <w:rPr>
                <w:sz w:val="24"/>
              </w:rPr>
            </w:pPr>
            <w:r>
              <w:rPr>
                <w:kern w:val="0"/>
                <w:sz w:val="24"/>
              </w:rPr>
              <w:t>建设地点及状况</w:t>
            </w:r>
            <w:r>
              <w:rPr>
                <w:sz w:val="24"/>
              </w:rPr>
              <w:t>：本项目位于</w:t>
            </w:r>
            <w:r>
              <w:rPr>
                <w:rFonts w:hint="eastAsia"/>
                <w:sz w:val="24"/>
                <w:lang w:eastAsia="zh-CN"/>
              </w:rPr>
              <w:t>安徽省淮北市杜集区杜集经济开发区萧淮路16号，</w:t>
            </w:r>
            <w:r>
              <w:rPr>
                <w:sz w:val="24"/>
              </w:rPr>
              <w:t>地理位置详见附图1，</w:t>
            </w:r>
            <w:r>
              <w:rPr>
                <w:rFonts w:hint="eastAsia"/>
                <w:sz w:val="24"/>
                <w:lang w:val="en-US" w:eastAsia="zh-CN"/>
              </w:rPr>
              <w:t>与周边关系详见附图2，厂区整体平面布置</w:t>
            </w:r>
            <w:r>
              <w:rPr>
                <w:sz w:val="24"/>
              </w:rPr>
              <w:t>详见附图</w:t>
            </w:r>
            <w:r>
              <w:rPr>
                <w:rFonts w:hint="eastAsia"/>
                <w:sz w:val="24"/>
                <w:lang w:val="en-US" w:eastAsia="zh-CN"/>
              </w:rPr>
              <w:t>4</w:t>
            </w:r>
            <w:r>
              <w:rPr>
                <w:sz w:val="24"/>
              </w:rPr>
              <w:t>。</w:t>
            </w:r>
          </w:p>
          <w:p w14:paraId="2EA4E0FE">
            <w:pPr>
              <w:spacing w:line="360" w:lineRule="auto"/>
              <w:ind w:firstLine="480" w:firstLineChars="200"/>
              <w:jc w:val="left"/>
              <w:rPr>
                <w:bCs/>
                <w:sz w:val="24"/>
                <w:highlight w:val="none"/>
              </w:rPr>
            </w:pPr>
            <w:r>
              <w:rPr>
                <w:bCs/>
                <w:sz w:val="24"/>
              </w:rPr>
              <w:t>总投资：</w:t>
            </w:r>
            <w:r>
              <w:rPr>
                <w:bCs/>
                <w:sz w:val="24"/>
                <w:highlight w:val="none"/>
              </w:rPr>
              <w:t>项目总投资</w:t>
            </w:r>
            <w:r>
              <w:rPr>
                <w:rFonts w:hint="eastAsia"/>
                <w:bCs/>
                <w:sz w:val="24"/>
                <w:highlight w:val="none"/>
                <w:lang w:val="en-US" w:eastAsia="zh-CN"/>
              </w:rPr>
              <w:t>6158</w:t>
            </w:r>
            <w:r>
              <w:rPr>
                <w:bCs/>
                <w:sz w:val="24"/>
                <w:highlight w:val="none"/>
              </w:rPr>
              <w:t>万元，其中环保投资</w:t>
            </w:r>
            <w:r>
              <w:rPr>
                <w:rFonts w:hint="eastAsia"/>
                <w:bCs/>
                <w:sz w:val="24"/>
                <w:highlight w:val="none"/>
                <w:lang w:val="en-US" w:eastAsia="zh-CN"/>
              </w:rPr>
              <w:t>50</w:t>
            </w:r>
            <w:r>
              <w:rPr>
                <w:bCs/>
                <w:sz w:val="24"/>
                <w:highlight w:val="none"/>
              </w:rPr>
              <w:t>万元，占总投资</w:t>
            </w:r>
            <w:r>
              <w:rPr>
                <w:rFonts w:hint="eastAsia"/>
                <w:bCs/>
                <w:sz w:val="24"/>
                <w:highlight w:val="none"/>
                <w:lang w:val="en-US" w:eastAsia="zh-CN"/>
              </w:rPr>
              <w:t>0.81</w:t>
            </w:r>
            <w:r>
              <w:rPr>
                <w:bCs/>
                <w:sz w:val="24"/>
                <w:highlight w:val="none"/>
              </w:rPr>
              <w:t>%。</w:t>
            </w:r>
          </w:p>
          <w:p w14:paraId="49EA459E">
            <w:pPr>
              <w:spacing w:line="360" w:lineRule="auto"/>
              <w:jc w:val="left"/>
              <w:rPr>
                <w:b/>
                <w:bCs w:val="0"/>
                <w:sz w:val="24"/>
              </w:rPr>
            </w:pPr>
            <w:r>
              <w:rPr>
                <w:rFonts w:hint="eastAsia"/>
                <w:b/>
                <w:bCs w:val="0"/>
                <w:sz w:val="24"/>
                <w:lang w:val="en-US" w:eastAsia="zh-CN"/>
              </w:rPr>
              <w:t>3</w:t>
            </w:r>
            <w:r>
              <w:rPr>
                <w:b/>
                <w:bCs w:val="0"/>
                <w:sz w:val="24"/>
              </w:rPr>
              <w:t>、项目</w:t>
            </w:r>
            <w:r>
              <w:rPr>
                <w:rFonts w:hint="eastAsia"/>
                <w:b/>
                <w:bCs w:val="0"/>
                <w:sz w:val="24"/>
                <w:lang w:val="en-US" w:eastAsia="zh-CN"/>
              </w:rPr>
              <w:t>主要</w:t>
            </w:r>
            <w:r>
              <w:rPr>
                <w:b/>
                <w:bCs w:val="0"/>
                <w:sz w:val="24"/>
              </w:rPr>
              <w:t>建设内容</w:t>
            </w:r>
          </w:p>
          <w:p w14:paraId="2E9548F0">
            <w:pPr>
              <w:spacing w:line="360" w:lineRule="auto"/>
              <w:ind w:firstLine="480" w:firstLineChars="200"/>
              <w:jc w:val="left"/>
              <w:rPr>
                <w:bCs/>
                <w:sz w:val="24"/>
                <w:highlight w:val="green"/>
              </w:rPr>
            </w:pPr>
            <w:r>
              <w:rPr>
                <w:rFonts w:hint="eastAsia"/>
                <w:bCs/>
                <w:sz w:val="24"/>
                <w:lang w:val="en-US" w:eastAsia="zh-CN"/>
              </w:rPr>
              <w:t>本</w:t>
            </w:r>
            <w:r>
              <w:rPr>
                <w:bCs/>
                <w:sz w:val="24"/>
              </w:rPr>
              <w:t>项目</w:t>
            </w:r>
            <w:r>
              <w:rPr>
                <w:rFonts w:hint="eastAsia"/>
                <w:bCs/>
                <w:sz w:val="24"/>
                <w:lang w:val="en-US" w:eastAsia="zh-CN"/>
              </w:rPr>
              <w:t>位于</w:t>
            </w:r>
            <w:r>
              <w:rPr>
                <w:rFonts w:hint="eastAsia"/>
                <w:kern w:val="0"/>
                <w:sz w:val="24"/>
                <w:lang w:val="en-US" w:eastAsia="zh-CN"/>
              </w:rPr>
              <w:t>淮北市平祥感应炉有限公司厂区</w:t>
            </w:r>
            <w:r>
              <w:rPr>
                <w:rFonts w:hint="eastAsia"/>
                <w:bCs/>
                <w:sz w:val="24"/>
                <w:lang w:val="en-US" w:eastAsia="zh-CN"/>
              </w:rPr>
              <w:t>内，本次建设主要利用已建成的A、B、C生产车间，优化调整进行重新布局，其中A、B生产车间主要用于员工装配及暂存原辅材料和成品，机加工、焊接工序转移至C车间，同时在C车间内</w:t>
            </w:r>
            <w:r>
              <w:rPr>
                <w:rFonts w:hint="eastAsia"/>
                <w:bCs/>
                <w:sz w:val="24"/>
                <w:highlight w:val="none"/>
                <w:shd w:val="clear"/>
                <w:lang w:val="en-US" w:eastAsia="zh-CN"/>
              </w:rPr>
              <w:t>新建喷塑房、喷砂房、喷漆房及相应的环保设施，新增喷砂、喷塑、喷漆、浇注固化、烘干等生产工序</w:t>
            </w:r>
            <w:r>
              <w:rPr>
                <w:bCs/>
                <w:sz w:val="24"/>
                <w:highlight w:val="none"/>
                <w:shd w:val="clear"/>
              </w:rPr>
              <w:t>。</w:t>
            </w:r>
          </w:p>
          <w:p w14:paraId="05EA7D1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rPr>
            </w:pPr>
            <w:r>
              <w:rPr>
                <w:rFonts w:hint="eastAsia"/>
                <w:sz w:val="24"/>
                <w:lang w:val="en-US" w:eastAsia="zh-CN"/>
              </w:rPr>
              <w:t>具体建设内容</w:t>
            </w:r>
            <w:r>
              <w:rPr>
                <w:sz w:val="24"/>
              </w:rPr>
              <w:t>见下表</w:t>
            </w:r>
            <w:r>
              <w:rPr>
                <w:rFonts w:hint="eastAsia"/>
                <w:sz w:val="24"/>
                <w:lang w:val="en-US" w:eastAsia="zh-CN"/>
              </w:rPr>
              <w:t>。</w:t>
            </w:r>
          </w:p>
          <w:p w14:paraId="626D3BDF">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b/>
                <w:kern w:val="0"/>
              </w:rPr>
            </w:pPr>
            <w:r>
              <w:rPr>
                <w:b/>
                <w:kern w:val="0"/>
                <w:sz w:val="22"/>
                <w:szCs w:val="22"/>
              </w:rPr>
              <w:t>表2-</w:t>
            </w:r>
            <w:r>
              <w:rPr>
                <w:rFonts w:hint="eastAsia"/>
                <w:b/>
                <w:kern w:val="0"/>
                <w:sz w:val="22"/>
                <w:szCs w:val="22"/>
                <w:lang w:val="en-US" w:eastAsia="zh-CN"/>
              </w:rPr>
              <w:t>3 项目主要建设工程内容及规模一览表</w:t>
            </w:r>
          </w:p>
          <w:tbl>
            <w:tblPr>
              <w:tblStyle w:val="24"/>
              <w:tblW w:w="7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63"/>
              <w:gridCol w:w="351"/>
              <w:gridCol w:w="398"/>
              <w:gridCol w:w="1860"/>
              <w:gridCol w:w="2017"/>
              <w:gridCol w:w="2043"/>
              <w:gridCol w:w="855"/>
            </w:tblGrid>
            <w:tr w14:paraId="5456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212" w:type="dxa"/>
                  <w:gridSpan w:val="3"/>
                  <w:noWrap w:val="0"/>
                  <w:vAlign w:val="center"/>
                </w:tcPr>
                <w:p w14:paraId="0708CACF">
                  <w:pPr>
                    <w:jc w:val="center"/>
                    <w:rPr>
                      <w:rFonts w:hint="default" w:ascii="Times New Roman" w:hAnsi="Times New Roman" w:cs="Times New Roman"/>
                      <w:b/>
                      <w:sz w:val="21"/>
                      <w:szCs w:val="21"/>
                    </w:rPr>
                  </w:pPr>
                  <w:r>
                    <w:rPr>
                      <w:rFonts w:hint="default" w:ascii="Times New Roman" w:hAnsi="Times New Roman" w:cs="Times New Roman"/>
                      <w:b/>
                      <w:sz w:val="21"/>
                      <w:szCs w:val="21"/>
                    </w:rPr>
                    <w:t>工程</w:t>
                  </w:r>
                </w:p>
                <w:p w14:paraId="25CBADE0">
                  <w:pPr>
                    <w:jc w:val="center"/>
                    <w:rPr>
                      <w:rFonts w:hint="default" w:ascii="Times New Roman" w:hAnsi="Times New Roman" w:cs="Times New Roman"/>
                      <w:b/>
                      <w:sz w:val="21"/>
                      <w:szCs w:val="21"/>
                    </w:rPr>
                  </w:pPr>
                  <w:r>
                    <w:rPr>
                      <w:rFonts w:hint="default" w:ascii="Times New Roman" w:hAnsi="Times New Roman" w:cs="Times New Roman"/>
                      <w:b/>
                      <w:sz w:val="21"/>
                      <w:szCs w:val="21"/>
                    </w:rPr>
                    <w:t>类别</w:t>
                  </w:r>
                </w:p>
              </w:tc>
              <w:tc>
                <w:tcPr>
                  <w:tcW w:w="1860" w:type="dxa"/>
                  <w:noWrap w:val="0"/>
                  <w:vAlign w:val="center"/>
                </w:tcPr>
                <w:p w14:paraId="53DC05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sz w:val="21"/>
                      <w:szCs w:val="21"/>
                    </w:rPr>
                  </w:pPr>
                  <w:r>
                    <w:rPr>
                      <w:b/>
                      <w:snapToGrid w:val="0"/>
                      <w:color w:val="000000" w:themeColor="text1"/>
                      <w:spacing w:val="-6"/>
                      <w:sz w:val="21"/>
                      <w:szCs w:val="21"/>
                      <w14:textFill>
                        <w14:solidFill>
                          <w14:schemeClr w14:val="tx1"/>
                        </w14:solidFill>
                      </w14:textFill>
                    </w:rPr>
                    <w:t>现有工程内容及规模</w:t>
                  </w:r>
                </w:p>
              </w:tc>
              <w:tc>
                <w:tcPr>
                  <w:tcW w:w="2017" w:type="dxa"/>
                  <w:noWrap w:val="0"/>
                  <w:vAlign w:val="center"/>
                </w:tcPr>
                <w:p w14:paraId="4C168F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sz w:val="21"/>
                      <w:szCs w:val="21"/>
                      <w:highlight w:val="none"/>
                      <w:lang w:val="en-US" w:eastAsia="zh-CN"/>
                    </w:rPr>
                  </w:pPr>
                  <w:r>
                    <w:rPr>
                      <w:b/>
                      <w:snapToGrid w:val="0"/>
                      <w:color w:val="000000" w:themeColor="text1"/>
                      <w:spacing w:val="-6"/>
                      <w:sz w:val="21"/>
                      <w:szCs w:val="21"/>
                      <w:highlight w:val="none"/>
                      <w14:textFill>
                        <w14:solidFill>
                          <w14:schemeClr w14:val="tx1"/>
                        </w14:solidFill>
                      </w14:textFill>
                    </w:rPr>
                    <w:t>本次</w:t>
                  </w:r>
                  <w:r>
                    <w:rPr>
                      <w:rFonts w:hint="eastAsia"/>
                      <w:b/>
                      <w:snapToGrid w:val="0"/>
                      <w:color w:val="000000" w:themeColor="text1"/>
                      <w:spacing w:val="-6"/>
                      <w:sz w:val="21"/>
                      <w:szCs w:val="21"/>
                      <w:highlight w:val="none"/>
                      <w:lang w:val="en-US" w:eastAsia="zh-CN"/>
                      <w14:textFill>
                        <w14:solidFill>
                          <w14:schemeClr w14:val="tx1"/>
                        </w14:solidFill>
                      </w14:textFill>
                    </w:rPr>
                    <w:t>技改</w:t>
                  </w:r>
                  <w:r>
                    <w:rPr>
                      <w:b/>
                      <w:snapToGrid w:val="0"/>
                      <w:color w:val="000000" w:themeColor="text1"/>
                      <w:spacing w:val="-6"/>
                      <w:sz w:val="21"/>
                      <w:szCs w:val="21"/>
                      <w:highlight w:val="none"/>
                      <w14:textFill>
                        <w14:solidFill>
                          <w14:schemeClr w14:val="tx1"/>
                        </w14:solidFill>
                      </w14:textFill>
                    </w:rPr>
                    <w:t>内容及规模</w:t>
                  </w:r>
                </w:p>
              </w:tc>
              <w:tc>
                <w:tcPr>
                  <w:tcW w:w="2043" w:type="dxa"/>
                  <w:noWrap w:val="0"/>
                  <w:vAlign w:val="center"/>
                </w:tcPr>
                <w:p w14:paraId="706F36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sz w:val="21"/>
                      <w:szCs w:val="21"/>
                      <w:highlight w:val="none"/>
                      <w:lang w:val="en-US" w:eastAsia="zh-CN"/>
                    </w:rPr>
                  </w:pPr>
                  <w:r>
                    <w:rPr>
                      <w:rFonts w:hint="eastAsia"/>
                      <w:b/>
                      <w:snapToGrid w:val="0"/>
                      <w:color w:val="000000" w:themeColor="text1"/>
                      <w:spacing w:val="-6"/>
                      <w:sz w:val="21"/>
                      <w:szCs w:val="21"/>
                      <w:highlight w:val="none"/>
                      <w:lang w:val="en-US" w:eastAsia="zh-CN"/>
                      <w14:textFill>
                        <w14:solidFill>
                          <w14:schemeClr w14:val="tx1"/>
                        </w14:solidFill>
                      </w14:textFill>
                    </w:rPr>
                    <w:t>技改</w:t>
                  </w:r>
                  <w:r>
                    <w:rPr>
                      <w:b/>
                      <w:snapToGrid w:val="0"/>
                      <w:color w:val="000000" w:themeColor="text1"/>
                      <w:spacing w:val="-6"/>
                      <w:sz w:val="21"/>
                      <w:szCs w:val="21"/>
                      <w:highlight w:val="none"/>
                      <w14:textFill>
                        <w14:solidFill>
                          <w14:schemeClr w14:val="tx1"/>
                        </w14:solidFill>
                      </w14:textFill>
                    </w:rPr>
                    <w:t>后全厂工程内容及规模</w:t>
                  </w:r>
                </w:p>
              </w:tc>
              <w:tc>
                <w:tcPr>
                  <w:tcW w:w="855" w:type="dxa"/>
                  <w:noWrap w:val="0"/>
                  <w:vAlign w:val="center"/>
                </w:tcPr>
                <w:p w14:paraId="36C7951D">
                  <w:pPr>
                    <w:jc w:val="center"/>
                    <w:rPr>
                      <w:rFonts w:hint="default" w:ascii="Times New Roman" w:hAnsi="Times New Roman" w:cs="Times New Roman"/>
                      <w:b/>
                      <w:sz w:val="21"/>
                      <w:szCs w:val="21"/>
                    </w:rPr>
                  </w:pPr>
                  <w:r>
                    <w:rPr>
                      <w:rFonts w:hint="default" w:ascii="Times New Roman" w:hAnsi="Times New Roman" w:cs="Times New Roman"/>
                      <w:b/>
                      <w:sz w:val="21"/>
                      <w:szCs w:val="21"/>
                    </w:rPr>
                    <w:t>备注</w:t>
                  </w:r>
                </w:p>
              </w:tc>
            </w:tr>
            <w:tr w14:paraId="6BB0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9" w:hRule="atLeast"/>
                <w:jc w:val="center"/>
              </w:trPr>
              <w:tc>
                <w:tcPr>
                  <w:tcW w:w="463" w:type="dxa"/>
                  <w:vMerge w:val="restart"/>
                  <w:noWrap w:val="0"/>
                  <w:vAlign w:val="center"/>
                </w:tcPr>
                <w:p w14:paraId="6B2985BA">
                  <w:pPr>
                    <w:jc w:val="center"/>
                    <w:rPr>
                      <w:rFonts w:hint="default" w:ascii="Times New Roman" w:hAnsi="Times New Roman" w:cs="Times New Roman"/>
                      <w:sz w:val="21"/>
                      <w:szCs w:val="21"/>
                    </w:rPr>
                  </w:pPr>
                  <w:r>
                    <w:rPr>
                      <w:rFonts w:hint="default" w:ascii="Times New Roman" w:hAnsi="Times New Roman" w:cs="Times New Roman"/>
                      <w:sz w:val="21"/>
                      <w:szCs w:val="21"/>
                    </w:rPr>
                    <w:t>主体工程</w:t>
                  </w:r>
                </w:p>
              </w:tc>
              <w:tc>
                <w:tcPr>
                  <w:tcW w:w="749" w:type="dxa"/>
                  <w:gridSpan w:val="2"/>
                  <w:shd w:val="clear" w:color="auto" w:fill="auto"/>
                  <w:noWrap w:val="0"/>
                  <w:vAlign w:val="center"/>
                </w:tcPr>
                <w:p w14:paraId="6AFCBC8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A车间</w:t>
                  </w:r>
                </w:p>
              </w:tc>
              <w:tc>
                <w:tcPr>
                  <w:tcW w:w="1860" w:type="dxa"/>
                  <w:shd w:val="clear" w:color="auto" w:fill="auto"/>
                  <w:noWrap w:val="0"/>
                  <w:vAlign w:val="center"/>
                </w:tcPr>
                <w:p w14:paraId="28B356B7">
                  <w:pPr>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钢结构厂房，1</w:t>
                  </w:r>
                  <w:r>
                    <w:rPr>
                      <w:rFonts w:hint="eastAsia" w:cs="Times New Roman"/>
                      <w:bCs/>
                      <w:sz w:val="21"/>
                      <w:szCs w:val="21"/>
                      <w:lang w:val="en-US" w:eastAsia="zh-CN"/>
                    </w:rPr>
                    <w:t>F</w:t>
                  </w:r>
                  <w:r>
                    <w:rPr>
                      <w:rFonts w:hint="default" w:ascii="Times New Roman" w:hAnsi="Times New Roman" w:cs="Times New Roman"/>
                      <w:bCs/>
                      <w:sz w:val="21"/>
                      <w:szCs w:val="21"/>
                      <w:lang w:val="en-US" w:eastAsia="zh-CN"/>
                    </w:rPr>
                    <w:t>，60</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48</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12</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，位于厂区中间位置，</w:t>
                  </w:r>
                  <w:r>
                    <w:rPr>
                      <w:rFonts w:hint="eastAsia" w:cs="Times New Roman"/>
                      <w:color w:val="000000"/>
                      <w:kern w:val="0"/>
                      <w:sz w:val="21"/>
                      <w:szCs w:val="21"/>
                      <w:lang w:val="en-US" w:eastAsia="zh-CN" w:bidi="ar"/>
                    </w:rPr>
                    <w:t>布设装配区、成品暂存区各500m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color w:val="000000"/>
                      <w:kern w:val="0"/>
                      <w:sz w:val="21"/>
                      <w:szCs w:val="21"/>
                      <w:lang w:eastAsia="zh-CN" w:bidi="ar"/>
                    </w:rPr>
                    <w:t>，</w:t>
                  </w:r>
                  <w:r>
                    <w:rPr>
                      <w:rFonts w:hint="eastAsia" w:cs="Times New Roman"/>
                      <w:color w:val="000000"/>
                      <w:kern w:val="0"/>
                      <w:sz w:val="21"/>
                      <w:szCs w:val="21"/>
                      <w:lang w:val="en-US" w:eastAsia="zh-CN" w:bidi="ar"/>
                    </w:rPr>
                    <w:t>原料暂存区300m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color w:val="000000"/>
                      <w:kern w:val="0"/>
                      <w:sz w:val="21"/>
                      <w:szCs w:val="21"/>
                      <w:lang w:eastAsia="zh-CN" w:bidi="ar"/>
                    </w:rPr>
                    <w:t>，</w:t>
                  </w:r>
                  <w:r>
                    <w:rPr>
                      <w:rFonts w:hint="eastAsia" w:cs="Times New Roman"/>
                      <w:color w:val="000000"/>
                      <w:kern w:val="0"/>
                      <w:sz w:val="21"/>
                      <w:szCs w:val="21"/>
                      <w:lang w:val="en-US" w:eastAsia="zh-CN" w:bidi="ar"/>
                    </w:rPr>
                    <w:t>焊接区400m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color w:val="000000"/>
                      <w:kern w:val="0"/>
                      <w:sz w:val="21"/>
                      <w:szCs w:val="21"/>
                      <w:lang w:eastAsia="zh-CN" w:bidi="ar"/>
                    </w:rPr>
                    <w:t>，</w:t>
                  </w:r>
                  <w:r>
                    <w:rPr>
                      <w:rFonts w:hint="default" w:ascii="Times New Roman" w:hAnsi="Times New Roman" w:cs="Times New Roman"/>
                      <w:color w:val="000000"/>
                      <w:kern w:val="0"/>
                      <w:sz w:val="21"/>
                      <w:szCs w:val="21"/>
                      <w:lang w:val="en-US" w:eastAsia="zh-CN" w:bidi="ar"/>
                    </w:rPr>
                    <w:t>主要用于装配</w:t>
                  </w:r>
                  <w:r>
                    <w:rPr>
                      <w:rFonts w:hint="eastAsia" w:cs="Times New Roman"/>
                      <w:color w:val="000000"/>
                      <w:kern w:val="0"/>
                      <w:sz w:val="21"/>
                      <w:szCs w:val="21"/>
                      <w:lang w:val="en-US" w:eastAsia="zh-CN" w:bidi="ar"/>
                    </w:rPr>
                    <w:t>、焊接等</w:t>
                  </w:r>
                  <w:r>
                    <w:rPr>
                      <w:rFonts w:hint="default" w:ascii="Times New Roman" w:hAnsi="Times New Roman" w:cs="Times New Roman"/>
                      <w:bCs/>
                      <w:sz w:val="21"/>
                      <w:szCs w:val="21"/>
                      <w:lang w:eastAsia="zh-CN"/>
                    </w:rPr>
                    <w:t>。</w:t>
                  </w:r>
                </w:p>
              </w:tc>
              <w:tc>
                <w:tcPr>
                  <w:tcW w:w="2017" w:type="dxa"/>
                  <w:shd w:val="clear" w:color="auto" w:fill="auto"/>
                  <w:noWrap w:val="0"/>
                  <w:vAlign w:val="center"/>
                </w:tcPr>
                <w:p w14:paraId="322DD938">
                  <w:pPr>
                    <w:jc w:val="center"/>
                    <w:rPr>
                      <w:rFonts w:hint="default" w:ascii="Times New Roman" w:hAnsi="Times New Roman" w:cs="Times New Roman"/>
                      <w:bCs/>
                      <w:sz w:val="21"/>
                      <w:szCs w:val="21"/>
                      <w:lang w:val="en-US" w:eastAsia="zh-CN"/>
                    </w:rPr>
                  </w:pPr>
                  <w:r>
                    <w:rPr>
                      <w:rFonts w:hint="eastAsia" w:cs="Times New Roman"/>
                      <w:color w:val="000000"/>
                      <w:kern w:val="0"/>
                      <w:sz w:val="21"/>
                      <w:szCs w:val="21"/>
                      <w:lang w:val="en-US" w:eastAsia="zh-CN" w:bidi="ar"/>
                    </w:rPr>
                    <w:t>依托已建成车间重新布局，布设1#装配区800m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、1#原料暂存区（钢材、铜材</w:t>
                  </w:r>
                  <w:r>
                    <w:rPr>
                      <w:rFonts w:hint="eastAsia" w:cs="Times New Roman"/>
                      <w:sz w:val="21"/>
                      <w:szCs w:val="21"/>
                      <w:lang w:val="en-US" w:eastAsia="zh-CN"/>
                    </w:rPr>
                    <w:t>、配件</w:t>
                  </w:r>
                  <w:r>
                    <w:rPr>
                      <w:rFonts w:hint="default" w:ascii="Times New Roman" w:hAnsi="Times New Roman" w:cs="Times New Roman"/>
                      <w:sz w:val="21"/>
                      <w:szCs w:val="21"/>
                    </w:rPr>
                    <w:t>等</w:t>
                  </w:r>
                  <w:r>
                    <w:rPr>
                      <w:rFonts w:hint="eastAsia" w:cs="Times New Roman"/>
                      <w:color w:val="000000"/>
                      <w:kern w:val="0"/>
                      <w:sz w:val="21"/>
                      <w:szCs w:val="21"/>
                      <w:lang w:val="en-US" w:eastAsia="zh-CN" w:bidi="ar"/>
                    </w:rPr>
                    <w:t>）800m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、1#成品暂存区（柜体、炉体）1000m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及一般固废暂存处100m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w:t>
                  </w:r>
                </w:p>
              </w:tc>
              <w:tc>
                <w:tcPr>
                  <w:tcW w:w="2043" w:type="dxa"/>
                  <w:shd w:val="clear" w:color="auto" w:fill="auto"/>
                  <w:noWrap w:val="0"/>
                  <w:vAlign w:val="center"/>
                </w:tcPr>
                <w:p w14:paraId="13C900F9">
                  <w:pPr>
                    <w:jc w:val="center"/>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钢结构厂房，1</w:t>
                  </w:r>
                  <w:r>
                    <w:rPr>
                      <w:rFonts w:hint="eastAsia" w:cs="Times New Roman"/>
                      <w:bCs/>
                      <w:sz w:val="21"/>
                      <w:szCs w:val="21"/>
                      <w:lang w:val="en-US" w:eastAsia="zh-CN"/>
                    </w:rPr>
                    <w:t>F</w:t>
                  </w:r>
                  <w:r>
                    <w:rPr>
                      <w:rFonts w:hint="default" w:ascii="Times New Roman" w:hAnsi="Times New Roman" w:cs="Times New Roman"/>
                      <w:bCs/>
                      <w:sz w:val="21"/>
                      <w:szCs w:val="21"/>
                      <w:lang w:val="en-US" w:eastAsia="zh-CN"/>
                    </w:rPr>
                    <w:t>，60</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48</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12</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，位于厂区中间位置，</w:t>
                  </w:r>
                  <w:r>
                    <w:rPr>
                      <w:rFonts w:hint="eastAsia" w:cs="Times New Roman"/>
                      <w:color w:val="000000"/>
                      <w:kern w:val="0"/>
                      <w:sz w:val="21"/>
                      <w:szCs w:val="21"/>
                      <w:lang w:val="en-US" w:eastAsia="zh-CN" w:bidi="ar"/>
                    </w:rPr>
                    <w:t>布设1#装配区800m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、1#原料暂存区（钢材、铜材</w:t>
                  </w:r>
                  <w:r>
                    <w:rPr>
                      <w:rFonts w:hint="eastAsia" w:cs="Times New Roman"/>
                      <w:sz w:val="21"/>
                      <w:szCs w:val="21"/>
                      <w:lang w:val="en-US" w:eastAsia="zh-CN"/>
                    </w:rPr>
                    <w:t>、配件</w:t>
                  </w:r>
                  <w:r>
                    <w:rPr>
                      <w:rFonts w:hint="default" w:ascii="Times New Roman" w:hAnsi="Times New Roman" w:cs="Times New Roman"/>
                      <w:sz w:val="21"/>
                      <w:szCs w:val="21"/>
                    </w:rPr>
                    <w:t>等</w:t>
                  </w:r>
                  <w:r>
                    <w:rPr>
                      <w:rFonts w:hint="eastAsia" w:cs="Times New Roman"/>
                      <w:color w:val="000000"/>
                      <w:kern w:val="0"/>
                      <w:sz w:val="21"/>
                      <w:szCs w:val="21"/>
                      <w:lang w:val="en-US" w:eastAsia="zh-CN" w:bidi="ar"/>
                    </w:rPr>
                    <w:t>）800m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、1#成品暂存区（柜体、炉体）1000m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及一般固废暂存处100m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w:t>
                  </w:r>
                </w:p>
              </w:tc>
              <w:tc>
                <w:tcPr>
                  <w:tcW w:w="855" w:type="dxa"/>
                  <w:shd w:val="clear" w:color="auto" w:fill="auto"/>
                  <w:noWrap w:val="0"/>
                  <w:vAlign w:val="center"/>
                </w:tcPr>
                <w:p w14:paraId="7F5EB885">
                  <w:pPr>
                    <w:jc w:val="center"/>
                    <w:rPr>
                      <w:rFonts w:hint="default" w:ascii="Times New Roman" w:hAnsi="Times New Roman" w:eastAsia="宋体" w:cs="Times New Roman"/>
                      <w:bCs/>
                      <w:kern w:val="2"/>
                      <w:sz w:val="21"/>
                      <w:szCs w:val="21"/>
                      <w:lang w:val="en-US" w:eastAsia="zh-CN" w:bidi="ar-SA"/>
                    </w:rPr>
                  </w:pPr>
                  <w:r>
                    <w:rPr>
                      <w:rFonts w:hint="eastAsia" w:cs="Times New Roman"/>
                      <w:bCs/>
                      <w:color w:val="000000" w:themeColor="text1"/>
                      <w:sz w:val="21"/>
                      <w:szCs w:val="21"/>
                      <w:lang w:val="en-US" w:eastAsia="zh-CN"/>
                      <w14:textFill>
                        <w14:solidFill>
                          <w14:schemeClr w14:val="tx1"/>
                        </w14:solidFill>
                      </w14:textFill>
                    </w:rPr>
                    <w:t>依托现有生产车间，重新优化布局</w:t>
                  </w:r>
                </w:p>
              </w:tc>
            </w:tr>
            <w:tr w14:paraId="4285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9" w:hRule="atLeast"/>
                <w:jc w:val="center"/>
              </w:trPr>
              <w:tc>
                <w:tcPr>
                  <w:tcW w:w="463" w:type="dxa"/>
                  <w:vMerge w:val="continue"/>
                  <w:noWrap w:val="0"/>
                  <w:vAlign w:val="center"/>
                </w:tcPr>
                <w:p w14:paraId="168945AB">
                  <w:pPr>
                    <w:jc w:val="center"/>
                    <w:rPr>
                      <w:rFonts w:hint="default" w:ascii="Times New Roman" w:hAnsi="Times New Roman" w:cs="Times New Roman"/>
                      <w:sz w:val="21"/>
                      <w:szCs w:val="21"/>
                    </w:rPr>
                  </w:pPr>
                </w:p>
              </w:tc>
              <w:tc>
                <w:tcPr>
                  <w:tcW w:w="749" w:type="dxa"/>
                  <w:gridSpan w:val="2"/>
                  <w:shd w:val="clear" w:color="auto" w:fill="auto"/>
                  <w:noWrap w:val="0"/>
                  <w:vAlign w:val="center"/>
                </w:tcPr>
                <w:p w14:paraId="7E6CE468">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B车间</w:t>
                  </w:r>
                </w:p>
              </w:tc>
              <w:tc>
                <w:tcPr>
                  <w:tcW w:w="1860" w:type="dxa"/>
                  <w:shd w:val="clear" w:color="auto" w:fill="auto"/>
                  <w:noWrap w:val="0"/>
                  <w:vAlign w:val="center"/>
                </w:tcPr>
                <w:p w14:paraId="4CE95DEB">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钢结构厂房，1</w:t>
                  </w:r>
                  <w:r>
                    <w:rPr>
                      <w:rFonts w:hint="eastAsia" w:cs="Times New Roman"/>
                      <w:bCs/>
                      <w:sz w:val="21"/>
                      <w:szCs w:val="21"/>
                      <w:lang w:val="en-US" w:eastAsia="zh-CN"/>
                    </w:rPr>
                    <w:t>F</w:t>
                  </w:r>
                  <w:r>
                    <w:rPr>
                      <w:rFonts w:hint="default" w:ascii="Times New Roman" w:hAnsi="Times New Roman" w:cs="Times New Roman"/>
                      <w:bCs/>
                      <w:sz w:val="21"/>
                      <w:szCs w:val="21"/>
                      <w:lang w:val="en-US" w:eastAsia="zh-CN"/>
                    </w:rPr>
                    <w:t>，60</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48</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12</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，位于厂区南侧，</w:t>
                  </w:r>
                  <w:r>
                    <w:rPr>
                      <w:rFonts w:hint="eastAsia" w:cs="Times New Roman"/>
                      <w:color w:val="000000"/>
                      <w:kern w:val="0"/>
                      <w:sz w:val="21"/>
                      <w:szCs w:val="21"/>
                      <w:lang w:val="en-US" w:eastAsia="zh-CN" w:bidi="ar"/>
                    </w:rPr>
                    <w:t>布设原料区800m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color w:val="000000"/>
                      <w:kern w:val="0"/>
                      <w:sz w:val="21"/>
                      <w:szCs w:val="21"/>
                      <w:lang w:eastAsia="zh-CN" w:bidi="ar"/>
                    </w:rPr>
                    <w:t>，</w:t>
                  </w:r>
                  <w:r>
                    <w:rPr>
                      <w:rFonts w:hint="eastAsia" w:cs="Times New Roman"/>
                      <w:color w:val="000000"/>
                      <w:kern w:val="0"/>
                      <w:sz w:val="21"/>
                      <w:szCs w:val="21"/>
                      <w:lang w:val="en-US" w:eastAsia="zh-CN" w:bidi="ar"/>
                    </w:rPr>
                    <w:t>成品区500m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color w:val="000000"/>
                      <w:kern w:val="0"/>
                      <w:sz w:val="21"/>
                      <w:szCs w:val="21"/>
                      <w:lang w:eastAsia="zh-CN" w:bidi="ar"/>
                    </w:rPr>
                    <w:t>，</w:t>
                  </w:r>
                  <w:r>
                    <w:rPr>
                      <w:rFonts w:hint="eastAsia" w:cs="Times New Roman"/>
                      <w:color w:val="000000"/>
                      <w:kern w:val="0"/>
                      <w:sz w:val="21"/>
                      <w:szCs w:val="21"/>
                      <w:lang w:val="en-US" w:eastAsia="zh-CN" w:bidi="ar"/>
                    </w:rPr>
                    <w:t>装配区500m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color w:val="000000"/>
                      <w:kern w:val="0"/>
                      <w:sz w:val="21"/>
                      <w:szCs w:val="21"/>
                      <w:lang w:eastAsia="zh-CN" w:bidi="ar"/>
                    </w:rPr>
                    <w:t>，</w:t>
                  </w:r>
                  <w:r>
                    <w:rPr>
                      <w:rFonts w:hint="default" w:ascii="Times New Roman" w:hAnsi="Times New Roman" w:cs="Times New Roman"/>
                      <w:color w:val="000000"/>
                      <w:kern w:val="0"/>
                      <w:sz w:val="21"/>
                      <w:szCs w:val="21"/>
                      <w:lang w:val="en-US" w:eastAsia="zh-CN" w:bidi="ar"/>
                    </w:rPr>
                    <w:t>主要用于装配</w:t>
                  </w:r>
                  <w:r>
                    <w:rPr>
                      <w:rFonts w:hint="eastAsia" w:cs="Times New Roman"/>
                      <w:color w:val="000000"/>
                      <w:kern w:val="0"/>
                      <w:sz w:val="21"/>
                      <w:szCs w:val="21"/>
                      <w:lang w:val="en-US" w:eastAsia="zh-CN" w:bidi="ar"/>
                    </w:rPr>
                    <w:t>等</w:t>
                  </w:r>
                  <w:r>
                    <w:rPr>
                      <w:rFonts w:hint="default" w:ascii="Times New Roman" w:hAnsi="Times New Roman" w:cs="Times New Roman"/>
                      <w:bCs/>
                      <w:sz w:val="21"/>
                      <w:szCs w:val="21"/>
                      <w:lang w:eastAsia="zh-CN"/>
                    </w:rPr>
                    <w:t>。</w:t>
                  </w:r>
                </w:p>
              </w:tc>
              <w:tc>
                <w:tcPr>
                  <w:tcW w:w="2017" w:type="dxa"/>
                  <w:shd w:val="clear" w:color="auto" w:fill="auto"/>
                  <w:noWrap w:val="0"/>
                  <w:vAlign w:val="center"/>
                </w:tcPr>
                <w:p w14:paraId="34178D6E">
                  <w:pPr>
                    <w:jc w:val="center"/>
                    <w:rPr>
                      <w:rFonts w:hint="default" w:ascii="Times New Roman" w:hAnsi="Times New Roman" w:cs="Times New Roman"/>
                      <w:bCs/>
                      <w:sz w:val="21"/>
                      <w:szCs w:val="21"/>
                      <w:lang w:val="en-US" w:eastAsia="zh-CN"/>
                    </w:rPr>
                  </w:pPr>
                  <w:r>
                    <w:rPr>
                      <w:rFonts w:hint="eastAsia" w:cs="Times New Roman"/>
                      <w:color w:val="000000"/>
                      <w:kern w:val="0"/>
                      <w:sz w:val="21"/>
                      <w:szCs w:val="21"/>
                      <w:lang w:val="en-US" w:eastAsia="zh-CN" w:bidi="ar"/>
                    </w:rPr>
                    <w:t>依托已建成车间重新布局，布设2#装配区1000m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、2#原料暂存区（钢材、铜材、</w:t>
                  </w:r>
                  <w:r>
                    <w:rPr>
                      <w:rFonts w:hint="eastAsia" w:cs="Times New Roman"/>
                      <w:sz w:val="21"/>
                      <w:szCs w:val="21"/>
                      <w:lang w:val="en-US" w:eastAsia="zh-CN"/>
                    </w:rPr>
                    <w:t>绝缘布等</w:t>
                  </w:r>
                  <w:r>
                    <w:rPr>
                      <w:rFonts w:hint="eastAsia" w:cs="Times New Roman"/>
                      <w:color w:val="000000"/>
                      <w:kern w:val="0"/>
                      <w:sz w:val="21"/>
                      <w:szCs w:val="21"/>
                      <w:lang w:val="en-US" w:eastAsia="zh-CN" w:bidi="ar"/>
                    </w:rPr>
                    <w:t>）800m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、2#成品暂存区（柜体、炉体）900m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w:t>
                  </w:r>
                </w:p>
              </w:tc>
              <w:tc>
                <w:tcPr>
                  <w:tcW w:w="2043" w:type="dxa"/>
                  <w:shd w:val="clear" w:color="auto" w:fill="auto"/>
                  <w:noWrap w:val="0"/>
                  <w:vAlign w:val="center"/>
                </w:tcPr>
                <w:p w14:paraId="72E8DBD4">
                  <w:pPr>
                    <w:jc w:val="center"/>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钢结构厂房，1</w:t>
                  </w:r>
                  <w:r>
                    <w:rPr>
                      <w:rFonts w:hint="eastAsia" w:cs="Times New Roman"/>
                      <w:bCs/>
                      <w:sz w:val="21"/>
                      <w:szCs w:val="21"/>
                      <w:lang w:val="en-US" w:eastAsia="zh-CN"/>
                    </w:rPr>
                    <w:t>F</w:t>
                  </w:r>
                  <w:r>
                    <w:rPr>
                      <w:rFonts w:hint="default" w:ascii="Times New Roman" w:hAnsi="Times New Roman" w:cs="Times New Roman"/>
                      <w:bCs/>
                      <w:sz w:val="21"/>
                      <w:szCs w:val="21"/>
                      <w:lang w:val="en-US" w:eastAsia="zh-CN"/>
                    </w:rPr>
                    <w:t>，60</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48</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12</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，位于厂区南侧，</w:t>
                  </w:r>
                  <w:r>
                    <w:rPr>
                      <w:rFonts w:hint="eastAsia" w:cs="Times New Roman"/>
                      <w:color w:val="000000"/>
                      <w:kern w:val="0"/>
                      <w:sz w:val="21"/>
                      <w:szCs w:val="21"/>
                      <w:lang w:val="en-US" w:eastAsia="zh-CN" w:bidi="ar"/>
                    </w:rPr>
                    <w:t>布设2#装配区1000m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、2#原料暂存区（钢材、铜材、</w:t>
                  </w:r>
                  <w:r>
                    <w:rPr>
                      <w:rFonts w:hint="eastAsia" w:cs="Times New Roman"/>
                      <w:sz w:val="21"/>
                      <w:szCs w:val="21"/>
                      <w:lang w:val="en-US" w:eastAsia="zh-CN"/>
                    </w:rPr>
                    <w:t>绝缘布等</w:t>
                  </w:r>
                  <w:r>
                    <w:rPr>
                      <w:rFonts w:hint="eastAsia" w:cs="Times New Roman"/>
                      <w:color w:val="000000"/>
                      <w:kern w:val="0"/>
                      <w:sz w:val="21"/>
                      <w:szCs w:val="21"/>
                      <w:lang w:val="en-US" w:eastAsia="zh-CN" w:bidi="ar"/>
                    </w:rPr>
                    <w:t>）800m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、2#成品暂存区（柜体、炉体）900m</w:t>
                  </w:r>
                  <w:r>
                    <w:rPr>
                      <w:rFonts w:hint="eastAsia" w:cs="Times New Roman"/>
                      <w:color w:val="000000"/>
                      <w:kern w:val="0"/>
                      <w:sz w:val="21"/>
                      <w:szCs w:val="21"/>
                      <w:vertAlign w:val="superscript"/>
                      <w:lang w:val="en-US" w:eastAsia="zh-CN" w:bidi="ar"/>
                    </w:rPr>
                    <w:t>2</w:t>
                  </w:r>
                  <w:r>
                    <w:rPr>
                      <w:rFonts w:hint="eastAsia" w:cs="Times New Roman"/>
                      <w:color w:val="000000"/>
                      <w:kern w:val="0"/>
                      <w:sz w:val="21"/>
                      <w:szCs w:val="21"/>
                      <w:lang w:val="en-US" w:eastAsia="zh-CN" w:bidi="ar"/>
                    </w:rPr>
                    <w:t>。</w:t>
                  </w:r>
                </w:p>
              </w:tc>
              <w:tc>
                <w:tcPr>
                  <w:tcW w:w="855" w:type="dxa"/>
                  <w:shd w:val="clear" w:color="auto" w:fill="auto"/>
                  <w:noWrap w:val="0"/>
                  <w:vAlign w:val="center"/>
                </w:tcPr>
                <w:p w14:paraId="777D8C27">
                  <w:pPr>
                    <w:jc w:val="center"/>
                    <w:rPr>
                      <w:rFonts w:hint="default" w:ascii="Times New Roman" w:hAnsi="Times New Roman" w:eastAsia="宋体" w:cs="Times New Roman"/>
                      <w:bCs/>
                      <w:kern w:val="2"/>
                      <w:sz w:val="21"/>
                      <w:szCs w:val="21"/>
                      <w:lang w:val="en-US" w:eastAsia="zh-CN" w:bidi="ar-SA"/>
                    </w:rPr>
                  </w:pPr>
                  <w:r>
                    <w:rPr>
                      <w:rFonts w:hint="eastAsia" w:cs="Times New Roman"/>
                      <w:bCs/>
                      <w:color w:val="000000" w:themeColor="text1"/>
                      <w:sz w:val="21"/>
                      <w:szCs w:val="21"/>
                      <w:lang w:val="en-US" w:eastAsia="zh-CN"/>
                      <w14:textFill>
                        <w14:solidFill>
                          <w14:schemeClr w14:val="tx1"/>
                        </w14:solidFill>
                      </w14:textFill>
                    </w:rPr>
                    <w:t>依托现有生产车间，重新优化布局</w:t>
                  </w:r>
                </w:p>
              </w:tc>
            </w:tr>
            <w:tr w14:paraId="64BE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9" w:hRule="atLeast"/>
                <w:jc w:val="center"/>
              </w:trPr>
              <w:tc>
                <w:tcPr>
                  <w:tcW w:w="463" w:type="dxa"/>
                  <w:vMerge w:val="continue"/>
                  <w:noWrap w:val="0"/>
                  <w:vAlign w:val="center"/>
                </w:tcPr>
                <w:p w14:paraId="19A9024B">
                  <w:pPr>
                    <w:jc w:val="center"/>
                    <w:rPr>
                      <w:rFonts w:hint="default" w:ascii="Times New Roman" w:hAnsi="Times New Roman" w:cs="Times New Roman"/>
                      <w:kern w:val="2"/>
                      <w:sz w:val="21"/>
                      <w:szCs w:val="21"/>
                      <w:lang w:val="en-US" w:eastAsia="zh-CN" w:bidi="ar-SA"/>
                    </w:rPr>
                  </w:pPr>
                </w:p>
              </w:tc>
              <w:tc>
                <w:tcPr>
                  <w:tcW w:w="749" w:type="dxa"/>
                  <w:gridSpan w:val="2"/>
                  <w:shd w:val="clear" w:color="auto" w:fill="auto"/>
                  <w:noWrap w:val="0"/>
                  <w:vAlign w:val="center"/>
                </w:tcPr>
                <w:p w14:paraId="04392D04">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2"/>
                      <w:sz w:val="21"/>
                      <w:szCs w:val="21"/>
                      <w:lang w:val="en-US" w:eastAsia="zh-CN" w:bidi="ar-SA"/>
                    </w:rPr>
                    <w:t>C车间</w:t>
                  </w:r>
                </w:p>
              </w:tc>
              <w:tc>
                <w:tcPr>
                  <w:tcW w:w="1860" w:type="dxa"/>
                  <w:shd w:val="clear" w:color="auto" w:fill="auto"/>
                  <w:noWrap w:val="0"/>
                  <w:vAlign w:val="center"/>
                </w:tcPr>
                <w:p w14:paraId="7130A8DD">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bCs/>
                      <w:sz w:val="21"/>
                      <w:szCs w:val="21"/>
                      <w:lang w:val="en-US" w:eastAsia="zh-CN"/>
                    </w:rPr>
                    <w:t>钢结构厂房，1</w:t>
                  </w:r>
                  <w:r>
                    <w:rPr>
                      <w:rFonts w:hint="eastAsia" w:cs="Times New Roman"/>
                      <w:bCs/>
                      <w:sz w:val="21"/>
                      <w:szCs w:val="21"/>
                      <w:lang w:val="en-US" w:eastAsia="zh-CN"/>
                    </w:rPr>
                    <w:t>F</w:t>
                  </w:r>
                  <w:r>
                    <w:rPr>
                      <w:rFonts w:hint="default" w:ascii="Times New Roman" w:hAnsi="Times New Roman" w:cs="Times New Roman"/>
                      <w:bCs/>
                      <w:sz w:val="21"/>
                      <w:szCs w:val="21"/>
                      <w:lang w:val="en-US" w:eastAsia="zh-CN"/>
                    </w:rPr>
                    <w:t>，</w:t>
                  </w:r>
                  <w:r>
                    <w:rPr>
                      <w:rFonts w:hint="eastAsia" w:cs="Times New Roman"/>
                      <w:bCs/>
                      <w:sz w:val="21"/>
                      <w:szCs w:val="21"/>
                      <w:lang w:val="en-US" w:eastAsia="zh-CN"/>
                    </w:rPr>
                    <w:t>15</w:t>
                  </w:r>
                  <w:r>
                    <w:rPr>
                      <w:rFonts w:hint="default" w:ascii="Times New Roman" w:hAnsi="Times New Roman" w:cs="Times New Roman"/>
                      <w:bCs/>
                      <w:sz w:val="21"/>
                      <w:szCs w:val="21"/>
                      <w:lang w:val="en-US" w:eastAsia="zh-CN"/>
                    </w:rPr>
                    <w:t>0</w:t>
                  </w:r>
                  <w:r>
                    <w:rPr>
                      <w:rFonts w:hint="eastAsia" w:cs="Times New Roman"/>
                      <w:bCs/>
                      <w:sz w:val="21"/>
                      <w:szCs w:val="21"/>
                      <w:lang w:val="en-US" w:eastAsia="zh-CN"/>
                    </w:rPr>
                    <w:t>m*30m*</w:t>
                  </w:r>
                  <w:r>
                    <w:rPr>
                      <w:rFonts w:hint="default" w:ascii="Times New Roman" w:hAnsi="Times New Roman" w:cs="Times New Roman"/>
                      <w:bCs/>
                      <w:sz w:val="21"/>
                      <w:szCs w:val="21"/>
                      <w:lang w:val="en-US" w:eastAsia="zh-CN"/>
                    </w:rPr>
                    <w:t>1</w:t>
                  </w:r>
                  <w:r>
                    <w:rPr>
                      <w:rFonts w:hint="eastAsia" w:cs="Times New Roman"/>
                      <w:bCs/>
                      <w:sz w:val="21"/>
                      <w:szCs w:val="21"/>
                      <w:lang w:val="en-US" w:eastAsia="zh-CN"/>
                    </w:rPr>
                    <w:t>9m</w:t>
                  </w:r>
                  <w:r>
                    <w:rPr>
                      <w:rFonts w:hint="default" w:ascii="Times New Roman" w:hAnsi="Times New Roman" w:cs="Times New Roman"/>
                      <w:bCs/>
                      <w:sz w:val="21"/>
                      <w:szCs w:val="21"/>
                      <w:lang w:val="en-US" w:eastAsia="zh-CN"/>
                    </w:rPr>
                    <w:t>，位于厂区西侧</w:t>
                  </w:r>
                  <w:r>
                    <w:rPr>
                      <w:rFonts w:hint="default" w:ascii="Times New Roman" w:hAnsi="Times New Roman" w:cs="Times New Roman"/>
                      <w:color w:val="000000"/>
                      <w:kern w:val="0"/>
                      <w:sz w:val="21"/>
                      <w:szCs w:val="21"/>
                      <w:lang w:eastAsia="zh-CN" w:bidi="ar"/>
                    </w:rPr>
                    <w:t>，</w:t>
                  </w:r>
                  <w:r>
                    <w:rPr>
                      <w:rFonts w:hint="eastAsia" w:cs="Times New Roman"/>
                      <w:color w:val="000000"/>
                      <w:kern w:val="0"/>
                      <w:sz w:val="21"/>
                      <w:szCs w:val="21"/>
                      <w:lang w:val="en-US" w:eastAsia="zh-CN" w:bidi="ar"/>
                    </w:rPr>
                    <w:t>建设后一直空闲未使用。</w:t>
                  </w:r>
                </w:p>
              </w:tc>
              <w:tc>
                <w:tcPr>
                  <w:tcW w:w="2017" w:type="dxa"/>
                  <w:shd w:val="clear" w:color="auto" w:fill="auto"/>
                  <w:noWrap w:val="0"/>
                  <w:vAlign w:val="center"/>
                </w:tcPr>
                <w:p w14:paraId="21E13CD8">
                  <w:pPr>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依托已建成厂房</w:t>
                  </w:r>
                  <w:r>
                    <w:rPr>
                      <w:rFonts w:hint="default" w:ascii="Times New Roman" w:hAnsi="Times New Roman" w:cs="Times New Roman"/>
                      <w:bCs/>
                      <w:sz w:val="21"/>
                      <w:szCs w:val="21"/>
                      <w:lang w:val="en-US" w:eastAsia="zh-CN"/>
                    </w:rPr>
                    <w:t>，</w:t>
                  </w:r>
                  <w:r>
                    <w:rPr>
                      <w:rFonts w:hint="eastAsia" w:cs="Times New Roman"/>
                      <w:bCs/>
                      <w:sz w:val="21"/>
                      <w:szCs w:val="21"/>
                      <w:lang w:val="en-US" w:eastAsia="zh-CN"/>
                    </w:rPr>
                    <w:t>在C车间北侧区域</w:t>
                  </w:r>
                  <w:r>
                    <w:rPr>
                      <w:rFonts w:hint="eastAsia" w:cs="Times New Roman"/>
                      <w:color w:val="000000"/>
                      <w:kern w:val="0"/>
                      <w:sz w:val="21"/>
                      <w:szCs w:val="21"/>
                      <w:lang w:val="en-US" w:eastAsia="zh-CN" w:bidi="ar"/>
                    </w:rPr>
                    <w:t>新建</w:t>
                  </w:r>
                  <w:r>
                    <w:rPr>
                      <w:rFonts w:hint="default" w:ascii="Times New Roman" w:hAnsi="Times New Roman" w:cs="Times New Roman"/>
                      <w:color w:val="000000"/>
                      <w:kern w:val="0"/>
                      <w:sz w:val="21"/>
                      <w:szCs w:val="21"/>
                      <w:lang w:val="en-US" w:eastAsia="zh-CN" w:bidi="ar"/>
                    </w:rPr>
                    <w:t>喷漆房</w:t>
                  </w:r>
                  <w:r>
                    <w:rPr>
                      <w:rFonts w:hint="eastAsia" w:cs="Times New Roman"/>
                      <w:color w:val="000000"/>
                      <w:kern w:val="0"/>
                      <w:sz w:val="21"/>
                      <w:szCs w:val="21"/>
                      <w:lang w:val="en-US" w:eastAsia="zh-CN" w:bidi="ar"/>
                    </w:rPr>
                    <w:t>（10m*8m*6m）</w:t>
                  </w:r>
                  <w:r>
                    <w:rPr>
                      <w:rFonts w:hint="default" w:ascii="Times New Roman" w:hAnsi="Times New Roman" w:cs="Times New Roman"/>
                      <w:color w:val="000000"/>
                      <w:kern w:val="0"/>
                      <w:sz w:val="21"/>
                      <w:szCs w:val="21"/>
                      <w:lang w:val="en-US" w:eastAsia="zh-CN" w:bidi="ar"/>
                    </w:rPr>
                    <w:t>、</w:t>
                  </w:r>
                  <w:r>
                    <w:rPr>
                      <w:rFonts w:hint="eastAsia" w:cs="Times New Roman"/>
                      <w:color w:val="000000"/>
                      <w:kern w:val="0"/>
                      <w:sz w:val="21"/>
                      <w:szCs w:val="21"/>
                      <w:lang w:val="en-US" w:eastAsia="zh-CN" w:bidi="ar"/>
                    </w:rPr>
                    <w:t>喷砂</w:t>
                  </w:r>
                  <w:r>
                    <w:rPr>
                      <w:rFonts w:hint="default" w:ascii="Times New Roman" w:hAnsi="Times New Roman" w:cs="Times New Roman"/>
                      <w:color w:val="000000"/>
                      <w:kern w:val="0"/>
                      <w:sz w:val="21"/>
                      <w:szCs w:val="21"/>
                      <w:lang w:val="en-US" w:eastAsia="zh-CN" w:bidi="ar"/>
                    </w:rPr>
                    <w:t>房</w:t>
                  </w:r>
                  <w:r>
                    <w:rPr>
                      <w:rFonts w:hint="eastAsia" w:cs="Times New Roman"/>
                      <w:color w:val="000000"/>
                      <w:kern w:val="0"/>
                      <w:sz w:val="21"/>
                      <w:szCs w:val="21"/>
                      <w:lang w:val="en-US" w:eastAsia="zh-CN" w:bidi="ar"/>
                    </w:rPr>
                    <w:t>（10m*8m*6m）</w:t>
                  </w:r>
                  <w:r>
                    <w:rPr>
                      <w:rFonts w:hint="default" w:ascii="Times New Roman" w:hAnsi="Times New Roman" w:cs="Times New Roman"/>
                      <w:color w:val="000000"/>
                      <w:kern w:val="0"/>
                      <w:sz w:val="21"/>
                      <w:szCs w:val="21"/>
                      <w:lang w:val="en-US" w:eastAsia="zh-CN" w:bidi="ar"/>
                    </w:rPr>
                    <w:t>、</w:t>
                  </w:r>
                  <w:r>
                    <w:rPr>
                      <w:rFonts w:hint="eastAsia" w:cs="Times New Roman"/>
                      <w:color w:val="000000"/>
                      <w:kern w:val="0"/>
                      <w:sz w:val="21"/>
                      <w:szCs w:val="21"/>
                      <w:lang w:val="en-US" w:eastAsia="zh-CN" w:bidi="ar"/>
                    </w:rPr>
                    <w:t>喷塑房（6m*4m*5m），布设铆焊区、精加工区等区域，新增喷砂、喷塑、喷漆、浇注固化、烘干等生产工序，购置安装相关</w:t>
                  </w:r>
                  <w:r>
                    <w:rPr>
                      <w:rFonts w:hint="default" w:ascii="Times New Roman" w:hAnsi="Times New Roman" w:cs="Times New Roman"/>
                      <w:color w:val="000000"/>
                      <w:kern w:val="0"/>
                      <w:sz w:val="21"/>
                      <w:szCs w:val="21"/>
                      <w:lang w:val="en-US" w:eastAsia="zh-CN" w:bidi="ar"/>
                    </w:rPr>
                    <w:t>设备</w:t>
                  </w:r>
                  <w:r>
                    <w:rPr>
                      <w:rFonts w:hint="eastAsia" w:cs="Times New Roman"/>
                      <w:color w:val="000000"/>
                      <w:kern w:val="0"/>
                      <w:sz w:val="21"/>
                      <w:szCs w:val="21"/>
                      <w:lang w:val="en-US" w:eastAsia="zh-CN" w:bidi="ar"/>
                    </w:rPr>
                    <w:t>。</w:t>
                  </w:r>
                </w:p>
              </w:tc>
              <w:tc>
                <w:tcPr>
                  <w:tcW w:w="2043" w:type="dxa"/>
                  <w:shd w:val="clear" w:color="auto" w:fill="auto"/>
                  <w:noWrap w:val="0"/>
                  <w:vAlign w:val="center"/>
                </w:tcPr>
                <w:p w14:paraId="5D5088AD">
                  <w:pPr>
                    <w:jc w:val="center"/>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钢结构厂房，1</w:t>
                  </w:r>
                  <w:r>
                    <w:rPr>
                      <w:rFonts w:hint="eastAsia" w:cs="Times New Roman"/>
                      <w:bCs/>
                      <w:sz w:val="21"/>
                      <w:szCs w:val="21"/>
                      <w:lang w:val="en-US" w:eastAsia="zh-CN"/>
                    </w:rPr>
                    <w:t>F</w:t>
                  </w:r>
                  <w:r>
                    <w:rPr>
                      <w:rFonts w:hint="default" w:ascii="Times New Roman" w:hAnsi="Times New Roman" w:cs="Times New Roman"/>
                      <w:bCs/>
                      <w:sz w:val="21"/>
                      <w:szCs w:val="21"/>
                      <w:lang w:val="en-US" w:eastAsia="zh-CN"/>
                    </w:rPr>
                    <w:t>，</w:t>
                  </w:r>
                  <w:r>
                    <w:rPr>
                      <w:rFonts w:hint="eastAsia" w:cs="Times New Roman"/>
                      <w:bCs/>
                      <w:sz w:val="21"/>
                      <w:szCs w:val="21"/>
                      <w:lang w:val="en-US" w:eastAsia="zh-CN"/>
                    </w:rPr>
                    <w:t>15</w:t>
                  </w:r>
                  <w:r>
                    <w:rPr>
                      <w:rFonts w:hint="default" w:ascii="Times New Roman" w:hAnsi="Times New Roman" w:cs="Times New Roman"/>
                      <w:bCs/>
                      <w:sz w:val="21"/>
                      <w:szCs w:val="21"/>
                      <w:lang w:val="en-US" w:eastAsia="zh-CN"/>
                    </w:rPr>
                    <w:t>0</w:t>
                  </w:r>
                  <w:r>
                    <w:rPr>
                      <w:rFonts w:hint="eastAsia" w:cs="Times New Roman"/>
                      <w:bCs/>
                      <w:sz w:val="21"/>
                      <w:szCs w:val="21"/>
                      <w:lang w:val="en-US" w:eastAsia="zh-CN"/>
                    </w:rPr>
                    <w:t>m*30m*</w:t>
                  </w:r>
                  <w:r>
                    <w:rPr>
                      <w:rFonts w:hint="default" w:ascii="Times New Roman" w:hAnsi="Times New Roman" w:cs="Times New Roman"/>
                      <w:bCs/>
                      <w:sz w:val="21"/>
                      <w:szCs w:val="21"/>
                      <w:lang w:val="en-US" w:eastAsia="zh-CN"/>
                    </w:rPr>
                    <w:t>1</w:t>
                  </w:r>
                  <w:r>
                    <w:rPr>
                      <w:rFonts w:hint="eastAsia" w:cs="Times New Roman"/>
                      <w:bCs/>
                      <w:sz w:val="21"/>
                      <w:szCs w:val="21"/>
                      <w:lang w:val="en-US" w:eastAsia="zh-CN"/>
                    </w:rPr>
                    <w:t>9m</w:t>
                  </w:r>
                  <w:r>
                    <w:rPr>
                      <w:rFonts w:hint="default" w:ascii="Times New Roman" w:hAnsi="Times New Roman" w:cs="Times New Roman"/>
                      <w:bCs/>
                      <w:sz w:val="21"/>
                      <w:szCs w:val="21"/>
                      <w:lang w:val="en-US" w:eastAsia="zh-CN"/>
                    </w:rPr>
                    <w:t>，位于厂区西侧</w:t>
                  </w:r>
                  <w:r>
                    <w:rPr>
                      <w:rFonts w:hint="default" w:ascii="Times New Roman" w:hAnsi="Times New Roman" w:cs="Times New Roman"/>
                      <w:color w:val="000000"/>
                      <w:kern w:val="0"/>
                      <w:sz w:val="21"/>
                      <w:szCs w:val="21"/>
                      <w:lang w:eastAsia="zh-CN" w:bidi="ar"/>
                    </w:rPr>
                    <w:t>，</w:t>
                  </w:r>
                  <w:r>
                    <w:rPr>
                      <w:rFonts w:hint="eastAsia" w:cs="Times New Roman"/>
                      <w:color w:val="000000"/>
                      <w:kern w:val="0"/>
                      <w:sz w:val="21"/>
                      <w:szCs w:val="21"/>
                      <w:lang w:val="en-US" w:eastAsia="zh-CN" w:bidi="ar"/>
                    </w:rPr>
                    <w:t>建设</w:t>
                  </w:r>
                  <w:r>
                    <w:rPr>
                      <w:rFonts w:hint="default" w:ascii="Times New Roman" w:hAnsi="Times New Roman" w:cs="Times New Roman"/>
                      <w:color w:val="000000"/>
                      <w:kern w:val="0"/>
                      <w:sz w:val="21"/>
                      <w:szCs w:val="21"/>
                      <w:lang w:val="en-US" w:eastAsia="zh-CN" w:bidi="ar"/>
                    </w:rPr>
                    <w:t>喷漆房</w:t>
                  </w:r>
                  <w:r>
                    <w:rPr>
                      <w:rFonts w:hint="eastAsia" w:cs="Times New Roman"/>
                      <w:color w:val="000000"/>
                      <w:kern w:val="0"/>
                      <w:sz w:val="21"/>
                      <w:szCs w:val="21"/>
                      <w:lang w:val="en-US" w:eastAsia="zh-CN" w:bidi="ar"/>
                    </w:rPr>
                    <w:t>（10m*8m*6m）</w:t>
                  </w:r>
                  <w:r>
                    <w:rPr>
                      <w:rFonts w:hint="default" w:ascii="Times New Roman" w:hAnsi="Times New Roman" w:cs="Times New Roman"/>
                      <w:color w:val="000000"/>
                      <w:kern w:val="0"/>
                      <w:sz w:val="21"/>
                      <w:szCs w:val="21"/>
                      <w:lang w:val="en-US" w:eastAsia="zh-CN" w:bidi="ar"/>
                    </w:rPr>
                    <w:t>、</w:t>
                  </w:r>
                  <w:r>
                    <w:rPr>
                      <w:rFonts w:hint="eastAsia" w:cs="Times New Roman"/>
                      <w:color w:val="000000"/>
                      <w:kern w:val="0"/>
                      <w:sz w:val="21"/>
                      <w:szCs w:val="21"/>
                      <w:lang w:val="en-US" w:eastAsia="zh-CN" w:bidi="ar"/>
                    </w:rPr>
                    <w:t>喷砂</w:t>
                  </w:r>
                  <w:r>
                    <w:rPr>
                      <w:rFonts w:hint="default" w:ascii="Times New Roman" w:hAnsi="Times New Roman" w:cs="Times New Roman"/>
                      <w:color w:val="000000"/>
                      <w:kern w:val="0"/>
                      <w:sz w:val="21"/>
                      <w:szCs w:val="21"/>
                      <w:lang w:val="en-US" w:eastAsia="zh-CN" w:bidi="ar"/>
                    </w:rPr>
                    <w:t>房</w:t>
                  </w:r>
                  <w:r>
                    <w:rPr>
                      <w:rFonts w:hint="eastAsia" w:cs="Times New Roman"/>
                      <w:color w:val="000000"/>
                      <w:kern w:val="0"/>
                      <w:sz w:val="21"/>
                      <w:szCs w:val="21"/>
                      <w:lang w:val="en-US" w:eastAsia="zh-CN" w:bidi="ar"/>
                    </w:rPr>
                    <w:t>（10m*8m*6m）</w:t>
                  </w:r>
                  <w:r>
                    <w:rPr>
                      <w:rFonts w:hint="default" w:ascii="Times New Roman" w:hAnsi="Times New Roman" w:cs="Times New Roman"/>
                      <w:color w:val="000000"/>
                      <w:kern w:val="0"/>
                      <w:sz w:val="21"/>
                      <w:szCs w:val="21"/>
                      <w:lang w:val="en-US" w:eastAsia="zh-CN" w:bidi="ar"/>
                    </w:rPr>
                    <w:t>、</w:t>
                  </w:r>
                  <w:r>
                    <w:rPr>
                      <w:rFonts w:hint="eastAsia" w:cs="Times New Roman"/>
                      <w:color w:val="000000"/>
                      <w:kern w:val="0"/>
                      <w:sz w:val="21"/>
                      <w:szCs w:val="21"/>
                      <w:lang w:val="en-US" w:eastAsia="zh-CN" w:bidi="ar"/>
                    </w:rPr>
                    <w:t>喷塑房（6m*4m*5m），布设铆焊区、精加工区等区域，新增喷砂、喷塑、喷漆、浇注固化、烘干等生产工序，购置安装相关</w:t>
                  </w:r>
                  <w:r>
                    <w:rPr>
                      <w:rFonts w:hint="default" w:ascii="Times New Roman" w:hAnsi="Times New Roman" w:cs="Times New Roman"/>
                      <w:color w:val="000000"/>
                      <w:kern w:val="0"/>
                      <w:sz w:val="21"/>
                      <w:szCs w:val="21"/>
                      <w:lang w:val="en-US" w:eastAsia="zh-CN" w:bidi="ar"/>
                    </w:rPr>
                    <w:t>设备</w:t>
                  </w:r>
                  <w:r>
                    <w:rPr>
                      <w:rFonts w:hint="eastAsia" w:cs="Times New Roman"/>
                      <w:color w:val="000000"/>
                      <w:kern w:val="0"/>
                      <w:sz w:val="21"/>
                      <w:szCs w:val="21"/>
                      <w:lang w:val="en-US" w:eastAsia="zh-CN" w:bidi="ar"/>
                    </w:rPr>
                    <w:t>。</w:t>
                  </w:r>
                </w:p>
              </w:tc>
              <w:tc>
                <w:tcPr>
                  <w:tcW w:w="855" w:type="dxa"/>
                  <w:shd w:val="clear" w:color="auto" w:fill="auto"/>
                  <w:noWrap w:val="0"/>
                  <w:vAlign w:val="center"/>
                </w:tcPr>
                <w:p w14:paraId="698BD14C">
                  <w:pPr>
                    <w:jc w:val="center"/>
                    <w:rPr>
                      <w:rFonts w:hint="default" w:ascii="Times New Roman" w:hAnsi="Times New Roman" w:cs="Times New Roman"/>
                      <w:kern w:val="2"/>
                      <w:sz w:val="21"/>
                      <w:szCs w:val="21"/>
                      <w:lang w:val="en-US" w:eastAsia="zh-CN" w:bidi="ar-SA"/>
                    </w:rPr>
                  </w:pPr>
                  <w:r>
                    <w:rPr>
                      <w:rFonts w:hint="eastAsia" w:cs="Times New Roman"/>
                      <w:bCs/>
                      <w:color w:val="000000" w:themeColor="text1"/>
                      <w:sz w:val="21"/>
                      <w:szCs w:val="21"/>
                      <w:lang w:val="en-US" w:eastAsia="zh-CN"/>
                      <w14:textFill>
                        <w14:solidFill>
                          <w14:schemeClr w14:val="tx1"/>
                        </w14:solidFill>
                      </w14:textFill>
                    </w:rPr>
                    <w:t>依托现有生产车间，</w:t>
                  </w:r>
                  <w:r>
                    <w:rPr>
                      <w:rFonts w:hint="eastAsia" w:cs="Times New Roman"/>
                      <w:color w:val="000000"/>
                      <w:kern w:val="0"/>
                      <w:sz w:val="21"/>
                      <w:szCs w:val="21"/>
                      <w:lang w:val="en-US" w:eastAsia="zh-CN" w:bidi="ar"/>
                    </w:rPr>
                    <w:t>新增喷砂、喷塑、喷漆、浇注固化、烘干等生产工序。</w:t>
                  </w:r>
                </w:p>
              </w:tc>
            </w:tr>
            <w:tr w14:paraId="3B3D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9" w:hRule="atLeast"/>
                <w:jc w:val="center"/>
              </w:trPr>
              <w:tc>
                <w:tcPr>
                  <w:tcW w:w="463" w:type="dxa"/>
                  <w:vMerge w:val="restart"/>
                  <w:shd w:val="clear" w:color="auto" w:fill="auto"/>
                  <w:noWrap w:val="0"/>
                  <w:vAlign w:val="center"/>
                </w:tcPr>
                <w:p w14:paraId="2DC841AD">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辅助工程</w:t>
                  </w:r>
                </w:p>
              </w:tc>
              <w:tc>
                <w:tcPr>
                  <w:tcW w:w="749" w:type="dxa"/>
                  <w:gridSpan w:val="2"/>
                  <w:shd w:val="clear" w:color="auto" w:fill="auto"/>
                  <w:noWrap w:val="0"/>
                  <w:vAlign w:val="center"/>
                </w:tcPr>
                <w:p w14:paraId="79BA5FD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办公楼</w:t>
                  </w:r>
                </w:p>
              </w:tc>
              <w:tc>
                <w:tcPr>
                  <w:tcW w:w="1860" w:type="dxa"/>
                  <w:shd w:val="clear" w:color="auto" w:fill="auto"/>
                  <w:noWrap w:val="0"/>
                  <w:vAlign w:val="center"/>
                </w:tcPr>
                <w:p w14:paraId="338E9E20">
                  <w:pPr>
                    <w:jc w:val="center"/>
                    <w:rPr>
                      <w:rFonts w:hint="default" w:ascii="Times New Roman" w:hAnsi="Times New Roman" w:cs="Times New Roman"/>
                      <w:bCs/>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2F</w:t>
                  </w:r>
                  <w:r>
                    <w:rPr>
                      <w:rFonts w:hint="default" w:ascii="Times New Roman" w:hAnsi="Times New Roman" w:cs="Times New Roman"/>
                      <w:color w:val="000000" w:themeColor="text1"/>
                      <w:sz w:val="21"/>
                      <w:szCs w:val="21"/>
                      <w:lang w:val="en-US" w:eastAsia="zh-CN"/>
                      <w14:textFill>
                        <w14:solidFill>
                          <w14:schemeClr w14:val="tx1"/>
                        </w14:solidFill>
                      </w14:textFill>
                    </w:rPr>
                    <w:t>，用于日常办公，</w:t>
                  </w:r>
                  <w:r>
                    <w:rPr>
                      <w:rFonts w:hint="eastAsia" w:cs="Times New Roman"/>
                      <w:color w:val="000000" w:themeColor="text1"/>
                      <w:sz w:val="21"/>
                      <w:szCs w:val="21"/>
                      <w:lang w:val="en-US" w:eastAsia="zh-CN"/>
                      <w14:textFill>
                        <w14:solidFill>
                          <w14:schemeClr w14:val="tx1"/>
                        </w14:solidFill>
                      </w14:textFill>
                    </w:rPr>
                    <w:t>建筑</w:t>
                  </w:r>
                  <w:r>
                    <w:rPr>
                      <w:rFonts w:hint="default" w:ascii="Times New Roman" w:hAnsi="Times New Roman" w:cs="Times New Roman"/>
                      <w:color w:val="000000" w:themeColor="text1"/>
                      <w:sz w:val="21"/>
                      <w:szCs w:val="21"/>
                      <w:lang w:val="en-US" w:eastAsia="zh-CN"/>
                      <w14:textFill>
                        <w14:solidFill>
                          <w14:schemeClr w14:val="tx1"/>
                        </w14:solidFill>
                      </w14:textFill>
                    </w:rPr>
                    <w:t>面积约</w:t>
                  </w:r>
                  <w:r>
                    <w:rPr>
                      <w:rFonts w:hint="eastAsia" w:cs="Times New Roman"/>
                      <w:color w:val="000000" w:themeColor="text1"/>
                      <w:sz w:val="21"/>
                      <w:szCs w:val="21"/>
                      <w:lang w:val="en-US" w:eastAsia="zh-CN"/>
                      <w14:textFill>
                        <w14:solidFill>
                          <w14:schemeClr w14:val="tx1"/>
                        </w14:solidFill>
                      </w14:textFill>
                    </w:rPr>
                    <w:t>40</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2017" w:type="dxa"/>
                  <w:shd w:val="clear" w:color="auto" w:fill="auto"/>
                  <w:noWrap w:val="0"/>
                  <w:vAlign w:val="center"/>
                </w:tcPr>
                <w:p w14:paraId="2C3AA7AF">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kern w:val="2"/>
                      <w:sz w:val="21"/>
                      <w:szCs w:val="21"/>
                      <w:lang w:val="en-US" w:eastAsia="zh-CN" w:bidi="ar-SA"/>
                    </w:rPr>
                    <w:t>/</w:t>
                  </w:r>
                </w:p>
              </w:tc>
              <w:tc>
                <w:tcPr>
                  <w:tcW w:w="2043" w:type="dxa"/>
                  <w:shd w:val="clear" w:color="auto" w:fill="auto"/>
                  <w:noWrap w:val="0"/>
                  <w:vAlign w:val="center"/>
                </w:tcPr>
                <w:p w14:paraId="61066F2C">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2F</w:t>
                  </w:r>
                  <w:r>
                    <w:rPr>
                      <w:rFonts w:hint="default" w:ascii="Times New Roman" w:hAnsi="Times New Roman" w:cs="Times New Roman"/>
                      <w:color w:val="000000" w:themeColor="text1"/>
                      <w:sz w:val="21"/>
                      <w:szCs w:val="21"/>
                      <w:lang w:val="en-US" w:eastAsia="zh-CN"/>
                      <w14:textFill>
                        <w14:solidFill>
                          <w14:schemeClr w14:val="tx1"/>
                        </w14:solidFill>
                      </w14:textFill>
                    </w:rPr>
                    <w:t>，用于日常办公，</w:t>
                  </w:r>
                  <w:r>
                    <w:rPr>
                      <w:rFonts w:hint="eastAsia" w:cs="Times New Roman"/>
                      <w:color w:val="000000" w:themeColor="text1"/>
                      <w:sz w:val="21"/>
                      <w:szCs w:val="21"/>
                      <w:lang w:val="en-US" w:eastAsia="zh-CN"/>
                      <w14:textFill>
                        <w14:solidFill>
                          <w14:schemeClr w14:val="tx1"/>
                        </w14:solidFill>
                      </w14:textFill>
                    </w:rPr>
                    <w:t>建筑</w:t>
                  </w:r>
                  <w:r>
                    <w:rPr>
                      <w:rFonts w:hint="default" w:ascii="Times New Roman" w:hAnsi="Times New Roman" w:cs="Times New Roman"/>
                      <w:color w:val="000000" w:themeColor="text1"/>
                      <w:sz w:val="21"/>
                      <w:szCs w:val="21"/>
                      <w:lang w:val="en-US" w:eastAsia="zh-CN"/>
                      <w14:textFill>
                        <w14:solidFill>
                          <w14:schemeClr w14:val="tx1"/>
                        </w14:solidFill>
                      </w14:textFill>
                    </w:rPr>
                    <w:t>面积约</w:t>
                  </w:r>
                  <w:r>
                    <w:rPr>
                      <w:rFonts w:hint="eastAsia" w:cs="Times New Roman"/>
                      <w:color w:val="000000" w:themeColor="text1"/>
                      <w:sz w:val="21"/>
                      <w:szCs w:val="21"/>
                      <w:lang w:val="en-US" w:eastAsia="zh-CN"/>
                      <w14:textFill>
                        <w14:solidFill>
                          <w14:schemeClr w14:val="tx1"/>
                        </w14:solidFill>
                      </w14:textFill>
                    </w:rPr>
                    <w:t>40</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855" w:type="dxa"/>
                  <w:shd w:val="clear" w:color="auto" w:fill="auto"/>
                  <w:noWrap w:val="0"/>
                  <w:vAlign w:val="center"/>
                </w:tcPr>
                <w:p w14:paraId="36F98980">
                  <w:pPr>
                    <w:jc w:val="center"/>
                    <w:rPr>
                      <w:rFonts w:hint="default" w:ascii="Times New Roman" w:hAnsi="Times New Roman" w:cs="Times New Roman"/>
                      <w:bCs/>
                      <w:sz w:val="21"/>
                      <w:szCs w:val="21"/>
                      <w:lang w:val="en-US" w:eastAsia="zh-CN"/>
                    </w:rPr>
                  </w:pPr>
                  <w:r>
                    <w:rPr>
                      <w:rFonts w:hint="eastAsia" w:cs="Times New Roman"/>
                      <w:bCs/>
                      <w:color w:val="000000" w:themeColor="text1"/>
                      <w:sz w:val="21"/>
                      <w:szCs w:val="21"/>
                      <w:lang w:val="en-US" w:eastAsia="zh-CN"/>
                      <w14:textFill>
                        <w14:solidFill>
                          <w14:schemeClr w14:val="tx1"/>
                        </w14:solidFill>
                      </w14:textFill>
                    </w:rPr>
                    <w:t>依托现有</w:t>
                  </w:r>
                </w:p>
              </w:tc>
            </w:tr>
            <w:tr w14:paraId="1148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9" w:hRule="atLeast"/>
                <w:jc w:val="center"/>
              </w:trPr>
              <w:tc>
                <w:tcPr>
                  <w:tcW w:w="463" w:type="dxa"/>
                  <w:vMerge w:val="continue"/>
                  <w:shd w:val="clear" w:color="auto" w:fill="auto"/>
                  <w:noWrap w:val="0"/>
                  <w:vAlign w:val="center"/>
                </w:tcPr>
                <w:p w14:paraId="56CE282E">
                  <w:pPr>
                    <w:jc w:val="center"/>
                    <w:rPr>
                      <w:rFonts w:hint="default" w:ascii="Times New Roman" w:hAnsi="Times New Roman" w:cs="Times New Roman"/>
                      <w:bCs/>
                      <w:sz w:val="21"/>
                      <w:szCs w:val="21"/>
                    </w:rPr>
                  </w:pPr>
                </w:p>
              </w:tc>
              <w:tc>
                <w:tcPr>
                  <w:tcW w:w="749" w:type="dxa"/>
                  <w:gridSpan w:val="2"/>
                  <w:shd w:val="clear" w:color="auto" w:fill="auto"/>
                  <w:noWrap w:val="0"/>
                  <w:vAlign w:val="center"/>
                </w:tcPr>
                <w:p w14:paraId="30B839C6">
                  <w:pPr>
                    <w:jc w:val="center"/>
                    <w:rPr>
                      <w:rFonts w:hint="default" w:cs="Times New Roman"/>
                      <w:sz w:val="21"/>
                      <w:szCs w:val="21"/>
                      <w:lang w:val="en-US" w:eastAsia="zh-CN"/>
                    </w:rPr>
                  </w:pPr>
                  <w:r>
                    <w:rPr>
                      <w:rFonts w:hint="eastAsia" w:cs="Times New Roman"/>
                      <w:sz w:val="21"/>
                      <w:szCs w:val="21"/>
                      <w:lang w:val="en-US" w:eastAsia="zh-CN"/>
                    </w:rPr>
                    <w:t>北厂区车间</w:t>
                  </w:r>
                </w:p>
              </w:tc>
              <w:tc>
                <w:tcPr>
                  <w:tcW w:w="1860" w:type="dxa"/>
                  <w:shd w:val="clear" w:color="auto" w:fill="auto"/>
                  <w:noWrap w:val="0"/>
                  <w:vAlign w:val="center"/>
                </w:tcPr>
                <w:p w14:paraId="724BEAB8">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共3个车间，面积共7500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eastAsia" w:cs="Times New Roman"/>
                      <w:color w:val="000000" w:themeColor="text1"/>
                      <w:sz w:val="21"/>
                      <w:szCs w:val="21"/>
                      <w:lang w:val="en-US" w:eastAsia="zh-CN"/>
                      <w14:textFill>
                        <w14:solidFill>
                          <w14:schemeClr w14:val="tx1"/>
                        </w14:solidFill>
                      </w14:textFill>
                    </w:rPr>
                    <w:t>，原用于成品暂存，现已外租。</w:t>
                  </w:r>
                </w:p>
              </w:tc>
              <w:tc>
                <w:tcPr>
                  <w:tcW w:w="2017" w:type="dxa"/>
                  <w:shd w:val="clear" w:color="auto" w:fill="auto"/>
                  <w:noWrap w:val="0"/>
                  <w:vAlign w:val="center"/>
                </w:tcPr>
                <w:p w14:paraId="306C4E60">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043" w:type="dxa"/>
                  <w:shd w:val="clear" w:color="auto" w:fill="auto"/>
                  <w:noWrap w:val="0"/>
                  <w:vAlign w:val="center"/>
                </w:tcPr>
                <w:p w14:paraId="6EBB0317">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共3个车间，面积共7500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eastAsia" w:cs="Times New Roman"/>
                      <w:color w:val="000000" w:themeColor="text1"/>
                      <w:sz w:val="21"/>
                      <w:szCs w:val="21"/>
                      <w:lang w:val="en-US" w:eastAsia="zh-CN"/>
                      <w14:textFill>
                        <w14:solidFill>
                          <w14:schemeClr w14:val="tx1"/>
                        </w14:solidFill>
                      </w14:textFill>
                    </w:rPr>
                    <w:t>，原用于成品暂存，现已外租。</w:t>
                  </w:r>
                </w:p>
              </w:tc>
              <w:tc>
                <w:tcPr>
                  <w:tcW w:w="855" w:type="dxa"/>
                  <w:shd w:val="clear" w:color="auto" w:fill="auto"/>
                  <w:noWrap w:val="0"/>
                  <w:vAlign w:val="center"/>
                </w:tcPr>
                <w:p w14:paraId="0B2A040F">
                  <w:pPr>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r>
            <w:tr w14:paraId="7ADB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9" w:hRule="atLeast"/>
                <w:jc w:val="center"/>
              </w:trPr>
              <w:tc>
                <w:tcPr>
                  <w:tcW w:w="463" w:type="dxa"/>
                  <w:vMerge w:val="continue"/>
                  <w:shd w:val="clear" w:color="auto" w:fill="auto"/>
                  <w:noWrap w:val="0"/>
                  <w:vAlign w:val="center"/>
                </w:tcPr>
                <w:p w14:paraId="3E14FFF7">
                  <w:pPr>
                    <w:jc w:val="center"/>
                    <w:rPr>
                      <w:rFonts w:hint="default" w:ascii="Times New Roman" w:hAnsi="Times New Roman" w:cs="Times New Roman"/>
                      <w:bCs/>
                      <w:sz w:val="21"/>
                      <w:szCs w:val="21"/>
                    </w:rPr>
                  </w:pPr>
                </w:p>
              </w:tc>
              <w:tc>
                <w:tcPr>
                  <w:tcW w:w="749" w:type="dxa"/>
                  <w:gridSpan w:val="2"/>
                  <w:shd w:val="clear" w:color="auto" w:fill="auto"/>
                  <w:noWrap w:val="0"/>
                  <w:vAlign w:val="center"/>
                </w:tcPr>
                <w:p w14:paraId="49F9FCDF">
                  <w:pPr>
                    <w:jc w:val="center"/>
                    <w:rPr>
                      <w:rFonts w:hint="default" w:cs="Times New Roman"/>
                      <w:sz w:val="21"/>
                      <w:szCs w:val="21"/>
                      <w:lang w:val="en-US" w:eastAsia="zh-CN"/>
                    </w:rPr>
                  </w:pPr>
                  <w:r>
                    <w:rPr>
                      <w:rFonts w:hint="eastAsia" w:cs="Times New Roman"/>
                      <w:sz w:val="21"/>
                      <w:szCs w:val="21"/>
                      <w:lang w:val="en-US" w:eastAsia="zh-CN"/>
                    </w:rPr>
                    <w:t>研发中心</w:t>
                  </w:r>
                </w:p>
              </w:tc>
              <w:tc>
                <w:tcPr>
                  <w:tcW w:w="1860" w:type="dxa"/>
                  <w:shd w:val="clear" w:color="auto" w:fill="auto"/>
                  <w:noWrap w:val="0"/>
                  <w:vAlign w:val="center"/>
                </w:tcPr>
                <w:p w14:paraId="375831DC">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017" w:type="dxa"/>
                  <w:shd w:val="clear" w:color="auto" w:fill="auto"/>
                  <w:noWrap w:val="0"/>
                  <w:vAlign w:val="center"/>
                </w:tcPr>
                <w:p w14:paraId="51CC4681">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6F，位于A车间东侧，建筑面积约1600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eastAsia" w:cs="Times New Roman"/>
                      <w:color w:val="000000" w:themeColor="text1"/>
                      <w:sz w:val="21"/>
                      <w:szCs w:val="21"/>
                      <w:lang w:val="en-US" w:eastAsia="zh-CN"/>
                      <w14:textFill>
                        <w14:solidFill>
                          <w14:schemeClr w14:val="tx1"/>
                        </w14:solidFill>
                      </w14:textFill>
                    </w:rPr>
                    <w:t>。</w:t>
                  </w:r>
                </w:p>
              </w:tc>
              <w:tc>
                <w:tcPr>
                  <w:tcW w:w="2043" w:type="dxa"/>
                  <w:shd w:val="clear" w:color="auto" w:fill="auto"/>
                  <w:noWrap w:val="0"/>
                  <w:vAlign w:val="center"/>
                </w:tcPr>
                <w:p w14:paraId="72EB59B0">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6F，位于A车间东侧，建筑面积约1600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eastAsia" w:cs="Times New Roman"/>
                      <w:color w:val="000000" w:themeColor="text1"/>
                      <w:sz w:val="21"/>
                      <w:szCs w:val="21"/>
                      <w:lang w:val="en-US" w:eastAsia="zh-CN"/>
                      <w14:textFill>
                        <w14:solidFill>
                          <w14:schemeClr w14:val="tx1"/>
                        </w14:solidFill>
                      </w14:textFill>
                    </w:rPr>
                    <w:t>。</w:t>
                  </w:r>
                </w:p>
              </w:tc>
              <w:tc>
                <w:tcPr>
                  <w:tcW w:w="855" w:type="dxa"/>
                  <w:shd w:val="clear" w:color="auto" w:fill="auto"/>
                  <w:noWrap w:val="0"/>
                  <w:vAlign w:val="center"/>
                </w:tcPr>
                <w:p w14:paraId="4705ADA6">
                  <w:pPr>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新建</w:t>
                  </w:r>
                </w:p>
              </w:tc>
            </w:tr>
            <w:tr w14:paraId="2630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restart"/>
                  <w:noWrap w:val="0"/>
                  <w:vAlign w:val="center"/>
                </w:tcPr>
                <w:p w14:paraId="05E7D781">
                  <w:pPr>
                    <w:jc w:val="center"/>
                    <w:rPr>
                      <w:rFonts w:hint="default" w:ascii="Times New Roman" w:hAnsi="Times New Roman" w:cs="Times New Roman"/>
                      <w:bCs/>
                      <w:sz w:val="21"/>
                      <w:szCs w:val="21"/>
                    </w:rPr>
                  </w:pPr>
                  <w:r>
                    <w:rPr>
                      <w:rFonts w:hint="default" w:ascii="Times New Roman" w:hAnsi="Times New Roman" w:cs="Times New Roman"/>
                      <w:bCs/>
                      <w:sz w:val="21"/>
                      <w:szCs w:val="21"/>
                    </w:rPr>
                    <w:t>储运工程</w:t>
                  </w:r>
                </w:p>
              </w:tc>
              <w:tc>
                <w:tcPr>
                  <w:tcW w:w="749" w:type="dxa"/>
                  <w:gridSpan w:val="2"/>
                  <w:shd w:val="clear" w:color="auto" w:fill="auto"/>
                  <w:noWrap w:val="0"/>
                  <w:vAlign w:val="center"/>
                </w:tcPr>
                <w:p w14:paraId="50E379B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原料区</w:t>
                  </w:r>
                </w:p>
              </w:tc>
              <w:tc>
                <w:tcPr>
                  <w:tcW w:w="1860" w:type="dxa"/>
                  <w:shd w:val="clear" w:color="auto" w:fill="auto"/>
                  <w:noWrap w:val="0"/>
                  <w:vAlign w:val="center"/>
                </w:tcPr>
                <w:p w14:paraId="381EB195">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1#原料区位于A车间内北侧，面积约300 m</w:t>
                  </w:r>
                  <w:r>
                    <w:rPr>
                      <w:rFonts w:hint="eastAsia" w:cs="Times New Roman"/>
                      <w:bCs/>
                      <w:sz w:val="21"/>
                      <w:szCs w:val="21"/>
                      <w:vertAlign w:val="superscript"/>
                      <w:lang w:val="en-US" w:eastAsia="zh-CN"/>
                    </w:rPr>
                    <w:t>2</w:t>
                  </w:r>
                  <w:r>
                    <w:rPr>
                      <w:rFonts w:hint="default" w:ascii="Times New Roman" w:hAnsi="Times New Roman" w:cs="Times New Roman"/>
                      <w:sz w:val="21"/>
                      <w:szCs w:val="21"/>
                      <w:lang w:val="en-US" w:eastAsia="zh-CN"/>
                    </w:rPr>
                    <w:t>，</w:t>
                  </w:r>
                  <w:r>
                    <w:rPr>
                      <w:rFonts w:hint="eastAsia" w:cs="Times New Roman"/>
                      <w:sz w:val="21"/>
                      <w:szCs w:val="21"/>
                      <w:lang w:val="en-US" w:eastAsia="zh-CN"/>
                    </w:rPr>
                    <w:t>存储焊丝等；2#</w:t>
                  </w:r>
                  <w:r>
                    <w:rPr>
                      <w:rFonts w:hint="default" w:ascii="Times New Roman" w:hAnsi="Times New Roman" w:cs="Times New Roman"/>
                      <w:sz w:val="21"/>
                      <w:szCs w:val="21"/>
                      <w:lang w:val="en-US" w:eastAsia="zh-CN"/>
                    </w:rPr>
                    <w:t>原料区位于</w:t>
                  </w:r>
                  <w:r>
                    <w:rPr>
                      <w:rFonts w:hint="eastAsia" w:cs="Times New Roman"/>
                      <w:sz w:val="21"/>
                      <w:szCs w:val="21"/>
                      <w:lang w:val="en-US" w:eastAsia="zh-CN"/>
                    </w:rPr>
                    <w:t>B</w:t>
                  </w:r>
                  <w:r>
                    <w:rPr>
                      <w:rFonts w:hint="default" w:ascii="Times New Roman" w:hAnsi="Times New Roman" w:cs="Times New Roman"/>
                      <w:sz w:val="21"/>
                      <w:szCs w:val="21"/>
                      <w:lang w:val="en-US" w:eastAsia="zh-CN"/>
                    </w:rPr>
                    <w:t>车间</w:t>
                  </w:r>
                  <w:r>
                    <w:rPr>
                      <w:rFonts w:hint="eastAsia" w:cs="Times New Roman"/>
                      <w:sz w:val="21"/>
                      <w:szCs w:val="21"/>
                      <w:lang w:val="en-US" w:eastAsia="zh-CN"/>
                    </w:rPr>
                    <w:t>内</w:t>
                  </w:r>
                  <w:r>
                    <w:rPr>
                      <w:rFonts w:hint="eastAsia" w:cs="Times New Roman"/>
                      <w:bCs/>
                      <w:sz w:val="21"/>
                      <w:szCs w:val="21"/>
                      <w:lang w:val="en-US" w:eastAsia="zh-CN"/>
                    </w:rPr>
                    <w:t>东北</w:t>
                  </w:r>
                  <w:r>
                    <w:rPr>
                      <w:rFonts w:hint="default" w:ascii="Times New Roman" w:hAnsi="Times New Roman" w:cs="Times New Roman"/>
                      <w:sz w:val="21"/>
                      <w:szCs w:val="21"/>
                      <w:lang w:val="en-US" w:eastAsia="zh-CN"/>
                    </w:rPr>
                    <w:t>侧，</w:t>
                  </w:r>
                  <w:r>
                    <w:rPr>
                      <w:rFonts w:hint="eastAsia" w:cs="Times New Roman"/>
                      <w:bCs/>
                      <w:sz w:val="21"/>
                      <w:szCs w:val="21"/>
                      <w:lang w:val="en-US" w:eastAsia="zh-CN"/>
                    </w:rPr>
                    <w:t>面积约8</w:t>
                  </w:r>
                  <w:r>
                    <w:rPr>
                      <w:rFonts w:hint="default" w:ascii="Times New Roman" w:hAnsi="Times New Roman" w:cs="Times New Roman"/>
                      <w:bCs/>
                      <w:sz w:val="21"/>
                      <w:szCs w:val="21"/>
                      <w:lang w:val="en-US" w:eastAsia="zh-CN"/>
                    </w:rPr>
                    <w:t>0</w:t>
                  </w:r>
                  <w:r>
                    <w:rPr>
                      <w:rFonts w:hint="eastAsia"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w:t>
                  </w:r>
                  <w:r>
                    <w:rPr>
                      <w:rFonts w:hint="eastAsia" w:cs="Times New Roman"/>
                      <w:sz w:val="21"/>
                      <w:szCs w:val="21"/>
                      <w:lang w:val="en-US" w:eastAsia="zh-CN"/>
                    </w:rPr>
                    <w:t>存储钢材等。</w:t>
                  </w:r>
                </w:p>
              </w:tc>
              <w:tc>
                <w:tcPr>
                  <w:tcW w:w="2017" w:type="dxa"/>
                  <w:shd w:val="clear" w:color="auto" w:fill="auto"/>
                  <w:noWrap w:val="0"/>
                  <w:vAlign w:val="center"/>
                </w:tcPr>
                <w:p w14:paraId="57A3C447">
                  <w:pPr>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依托已建成生产车间重新布局：1#</w:t>
                  </w:r>
                  <w:r>
                    <w:rPr>
                      <w:rFonts w:hint="default" w:ascii="Times New Roman" w:hAnsi="Times New Roman" w:cs="Times New Roman"/>
                      <w:bCs/>
                      <w:sz w:val="21"/>
                      <w:szCs w:val="21"/>
                      <w:lang w:val="en-US" w:eastAsia="zh-CN"/>
                    </w:rPr>
                    <w:t>原料区位于</w:t>
                  </w:r>
                  <w:r>
                    <w:rPr>
                      <w:rFonts w:hint="eastAsia" w:cs="Times New Roman"/>
                      <w:bCs/>
                      <w:sz w:val="21"/>
                      <w:szCs w:val="21"/>
                      <w:lang w:val="en-US" w:eastAsia="zh-CN"/>
                    </w:rPr>
                    <w:t>A</w:t>
                  </w:r>
                  <w:r>
                    <w:rPr>
                      <w:rFonts w:hint="default" w:ascii="Times New Roman" w:hAnsi="Times New Roman" w:cs="Times New Roman"/>
                      <w:bCs/>
                      <w:sz w:val="21"/>
                      <w:szCs w:val="21"/>
                      <w:lang w:val="en-US" w:eastAsia="zh-CN"/>
                    </w:rPr>
                    <w:t>车间</w:t>
                  </w:r>
                  <w:r>
                    <w:rPr>
                      <w:rFonts w:hint="eastAsia" w:cs="Times New Roman"/>
                      <w:bCs/>
                      <w:sz w:val="21"/>
                      <w:szCs w:val="21"/>
                      <w:lang w:val="en-US" w:eastAsia="zh-CN"/>
                    </w:rPr>
                    <w:t>内东北</w:t>
                  </w:r>
                  <w:r>
                    <w:rPr>
                      <w:rFonts w:hint="default" w:ascii="Times New Roman" w:hAnsi="Times New Roman" w:cs="Times New Roman"/>
                      <w:bCs/>
                      <w:sz w:val="21"/>
                      <w:szCs w:val="21"/>
                      <w:lang w:val="en-US" w:eastAsia="zh-CN"/>
                    </w:rPr>
                    <w:t>侧，面积约</w:t>
                  </w:r>
                  <w:r>
                    <w:rPr>
                      <w:rFonts w:hint="eastAsia" w:cs="Times New Roman"/>
                      <w:bCs/>
                      <w:sz w:val="21"/>
                      <w:szCs w:val="21"/>
                      <w:lang w:val="en-US" w:eastAsia="zh-CN"/>
                    </w:rPr>
                    <w:t>8</w:t>
                  </w:r>
                  <w:r>
                    <w:rPr>
                      <w:rFonts w:hint="default" w:ascii="Times New Roman" w:hAnsi="Times New Roman" w:cs="Times New Roman"/>
                      <w:bCs/>
                      <w:sz w:val="21"/>
                      <w:szCs w:val="21"/>
                      <w:lang w:val="en-US" w:eastAsia="zh-CN"/>
                    </w:rPr>
                    <w:t>0</w:t>
                  </w:r>
                  <w:r>
                    <w:rPr>
                      <w:rFonts w:hint="eastAsia"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w:t>
                  </w:r>
                  <w:r>
                    <w:rPr>
                      <w:rFonts w:hint="default" w:ascii="Times New Roman" w:hAnsi="Times New Roman" w:cs="Times New Roman"/>
                      <w:sz w:val="21"/>
                      <w:szCs w:val="21"/>
                    </w:rPr>
                    <w:t>存储</w:t>
                  </w:r>
                  <w:r>
                    <w:rPr>
                      <w:rFonts w:hint="eastAsia" w:cs="Times New Roman"/>
                      <w:color w:val="000000"/>
                      <w:kern w:val="0"/>
                      <w:sz w:val="21"/>
                      <w:szCs w:val="21"/>
                      <w:lang w:val="en-US" w:eastAsia="zh-CN" w:bidi="ar"/>
                    </w:rPr>
                    <w:t>钢材、铜材</w:t>
                  </w:r>
                  <w:r>
                    <w:rPr>
                      <w:rFonts w:hint="eastAsia" w:cs="Times New Roman"/>
                      <w:sz w:val="21"/>
                      <w:szCs w:val="21"/>
                      <w:lang w:val="en-US" w:eastAsia="zh-CN"/>
                    </w:rPr>
                    <w:t>、配件</w:t>
                  </w:r>
                  <w:r>
                    <w:rPr>
                      <w:rFonts w:hint="default" w:ascii="Times New Roman" w:hAnsi="Times New Roman" w:cs="Times New Roman"/>
                      <w:sz w:val="21"/>
                      <w:szCs w:val="21"/>
                    </w:rPr>
                    <w:t>等</w:t>
                  </w:r>
                  <w:r>
                    <w:rPr>
                      <w:rFonts w:hint="default" w:ascii="Times New Roman" w:hAnsi="Times New Roman" w:cs="Times New Roman"/>
                      <w:sz w:val="21"/>
                      <w:szCs w:val="21"/>
                      <w:lang w:eastAsia="zh-CN"/>
                    </w:rPr>
                    <w:t>；</w:t>
                  </w:r>
                  <w:r>
                    <w:rPr>
                      <w:rFonts w:hint="eastAsia" w:cs="Times New Roman"/>
                      <w:sz w:val="21"/>
                      <w:szCs w:val="21"/>
                      <w:lang w:val="en-US" w:eastAsia="zh-CN"/>
                    </w:rPr>
                    <w:t>2#</w:t>
                  </w:r>
                  <w:r>
                    <w:rPr>
                      <w:rFonts w:hint="default" w:ascii="Times New Roman" w:hAnsi="Times New Roman" w:cs="Times New Roman"/>
                      <w:sz w:val="21"/>
                      <w:szCs w:val="21"/>
                      <w:lang w:val="en-US" w:eastAsia="zh-CN"/>
                    </w:rPr>
                    <w:t>原料区位于</w:t>
                  </w:r>
                  <w:r>
                    <w:rPr>
                      <w:rFonts w:hint="eastAsia" w:cs="Times New Roman"/>
                      <w:sz w:val="21"/>
                      <w:szCs w:val="21"/>
                      <w:lang w:val="en-US" w:eastAsia="zh-CN"/>
                    </w:rPr>
                    <w:t>B</w:t>
                  </w:r>
                  <w:r>
                    <w:rPr>
                      <w:rFonts w:hint="default" w:ascii="Times New Roman" w:hAnsi="Times New Roman" w:cs="Times New Roman"/>
                      <w:sz w:val="21"/>
                      <w:szCs w:val="21"/>
                      <w:lang w:val="en-US" w:eastAsia="zh-CN"/>
                    </w:rPr>
                    <w:t>车间</w:t>
                  </w:r>
                  <w:r>
                    <w:rPr>
                      <w:rFonts w:hint="eastAsia" w:cs="Times New Roman"/>
                      <w:sz w:val="21"/>
                      <w:szCs w:val="21"/>
                      <w:lang w:val="en-US" w:eastAsia="zh-CN"/>
                    </w:rPr>
                    <w:t>内</w:t>
                  </w:r>
                  <w:r>
                    <w:rPr>
                      <w:rFonts w:hint="eastAsia" w:cs="Times New Roman"/>
                      <w:bCs/>
                      <w:sz w:val="21"/>
                      <w:szCs w:val="21"/>
                      <w:lang w:val="en-US" w:eastAsia="zh-CN"/>
                    </w:rPr>
                    <w:t>东北</w:t>
                  </w:r>
                  <w:r>
                    <w:rPr>
                      <w:rFonts w:hint="default" w:ascii="Times New Roman" w:hAnsi="Times New Roman" w:cs="Times New Roman"/>
                      <w:sz w:val="21"/>
                      <w:szCs w:val="21"/>
                      <w:lang w:val="en-US" w:eastAsia="zh-CN"/>
                    </w:rPr>
                    <w:t>侧，</w:t>
                  </w:r>
                  <w:r>
                    <w:rPr>
                      <w:rFonts w:hint="default" w:ascii="Times New Roman" w:hAnsi="Times New Roman" w:cs="Times New Roman"/>
                      <w:bCs/>
                      <w:sz w:val="21"/>
                      <w:szCs w:val="21"/>
                      <w:lang w:val="en-US" w:eastAsia="zh-CN"/>
                    </w:rPr>
                    <w:t>面积约</w:t>
                  </w:r>
                  <w:r>
                    <w:rPr>
                      <w:rFonts w:hint="eastAsia" w:cs="Times New Roman"/>
                      <w:bCs/>
                      <w:sz w:val="21"/>
                      <w:szCs w:val="21"/>
                      <w:lang w:val="en-US" w:eastAsia="zh-CN"/>
                    </w:rPr>
                    <w:t>8</w:t>
                  </w:r>
                  <w:r>
                    <w:rPr>
                      <w:rFonts w:hint="default" w:ascii="Times New Roman" w:hAnsi="Times New Roman" w:cs="Times New Roman"/>
                      <w:bCs/>
                      <w:sz w:val="21"/>
                      <w:szCs w:val="21"/>
                      <w:lang w:val="en-US" w:eastAsia="zh-CN"/>
                    </w:rPr>
                    <w:t>0</w:t>
                  </w:r>
                  <w:r>
                    <w:rPr>
                      <w:rFonts w:hint="eastAsia"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w:t>
                  </w:r>
                  <w:r>
                    <w:rPr>
                      <w:rFonts w:hint="default" w:ascii="Times New Roman" w:hAnsi="Times New Roman" w:cs="Times New Roman"/>
                      <w:sz w:val="21"/>
                      <w:szCs w:val="21"/>
                    </w:rPr>
                    <w:t>存储</w:t>
                  </w:r>
                  <w:r>
                    <w:rPr>
                      <w:rFonts w:hint="eastAsia" w:cs="Times New Roman"/>
                      <w:color w:val="000000"/>
                      <w:kern w:val="0"/>
                      <w:sz w:val="21"/>
                      <w:szCs w:val="21"/>
                      <w:lang w:val="en-US" w:eastAsia="zh-CN" w:bidi="ar"/>
                    </w:rPr>
                    <w:t>钢材、铜材、</w:t>
                  </w:r>
                  <w:r>
                    <w:rPr>
                      <w:rFonts w:hint="eastAsia" w:cs="Times New Roman"/>
                      <w:sz w:val="21"/>
                      <w:szCs w:val="21"/>
                      <w:lang w:val="en-US" w:eastAsia="zh-CN"/>
                    </w:rPr>
                    <w:t>绝缘布等，3#</w:t>
                  </w:r>
                  <w:r>
                    <w:rPr>
                      <w:rFonts w:hint="default" w:ascii="Times New Roman" w:hAnsi="Times New Roman" w:cs="Times New Roman"/>
                      <w:sz w:val="21"/>
                      <w:szCs w:val="21"/>
                      <w:lang w:val="en-US" w:eastAsia="zh-CN"/>
                    </w:rPr>
                    <w:t>原料区位于</w:t>
                  </w:r>
                  <w:r>
                    <w:rPr>
                      <w:rFonts w:hint="eastAsia" w:cs="Times New Roman"/>
                      <w:sz w:val="21"/>
                      <w:szCs w:val="21"/>
                      <w:lang w:val="en-US" w:eastAsia="zh-CN"/>
                    </w:rPr>
                    <w:t>C</w:t>
                  </w:r>
                  <w:r>
                    <w:rPr>
                      <w:rFonts w:hint="default" w:ascii="Times New Roman" w:hAnsi="Times New Roman" w:cs="Times New Roman"/>
                      <w:sz w:val="21"/>
                      <w:szCs w:val="21"/>
                      <w:lang w:val="en-US" w:eastAsia="zh-CN"/>
                    </w:rPr>
                    <w:t>车间</w:t>
                  </w:r>
                  <w:r>
                    <w:rPr>
                      <w:rFonts w:hint="eastAsia" w:cs="Times New Roman"/>
                      <w:sz w:val="21"/>
                      <w:szCs w:val="21"/>
                      <w:lang w:val="en-US" w:eastAsia="zh-CN"/>
                    </w:rPr>
                    <w:t>内西侧，存储焊丝等原料。</w:t>
                  </w:r>
                </w:p>
              </w:tc>
              <w:tc>
                <w:tcPr>
                  <w:tcW w:w="2043" w:type="dxa"/>
                  <w:shd w:val="clear" w:color="auto" w:fill="auto"/>
                  <w:noWrap w:val="0"/>
                  <w:vAlign w:val="center"/>
                </w:tcPr>
                <w:p w14:paraId="66365ED1">
                  <w:pPr>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依托已建成生产车间重新布局：1#</w:t>
                  </w:r>
                  <w:r>
                    <w:rPr>
                      <w:rFonts w:hint="default" w:ascii="Times New Roman" w:hAnsi="Times New Roman" w:cs="Times New Roman"/>
                      <w:bCs/>
                      <w:sz w:val="21"/>
                      <w:szCs w:val="21"/>
                      <w:lang w:val="en-US" w:eastAsia="zh-CN"/>
                    </w:rPr>
                    <w:t>原料区位于</w:t>
                  </w:r>
                  <w:r>
                    <w:rPr>
                      <w:rFonts w:hint="eastAsia" w:cs="Times New Roman"/>
                      <w:bCs/>
                      <w:sz w:val="21"/>
                      <w:szCs w:val="21"/>
                      <w:lang w:val="en-US" w:eastAsia="zh-CN"/>
                    </w:rPr>
                    <w:t>A</w:t>
                  </w:r>
                  <w:r>
                    <w:rPr>
                      <w:rFonts w:hint="default" w:ascii="Times New Roman" w:hAnsi="Times New Roman" w:cs="Times New Roman"/>
                      <w:bCs/>
                      <w:sz w:val="21"/>
                      <w:szCs w:val="21"/>
                      <w:lang w:val="en-US" w:eastAsia="zh-CN"/>
                    </w:rPr>
                    <w:t>车间</w:t>
                  </w:r>
                  <w:r>
                    <w:rPr>
                      <w:rFonts w:hint="eastAsia" w:cs="Times New Roman"/>
                      <w:bCs/>
                      <w:sz w:val="21"/>
                      <w:szCs w:val="21"/>
                      <w:lang w:val="en-US" w:eastAsia="zh-CN"/>
                    </w:rPr>
                    <w:t>内东北</w:t>
                  </w:r>
                  <w:r>
                    <w:rPr>
                      <w:rFonts w:hint="default" w:ascii="Times New Roman" w:hAnsi="Times New Roman" w:cs="Times New Roman"/>
                      <w:bCs/>
                      <w:sz w:val="21"/>
                      <w:szCs w:val="21"/>
                      <w:lang w:val="en-US" w:eastAsia="zh-CN"/>
                    </w:rPr>
                    <w:t>侧，面积约</w:t>
                  </w:r>
                  <w:r>
                    <w:rPr>
                      <w:rFonts w:hint="eastAsia" w:cs="Times New Roman"/>
                      <w:bCs/>
                      <w:sz w:val="21"/>
                      <w:szCs w:val="21"/>
                      <w:lang w:val="en-US" w:eastAsia="zh-CN"/>
                    </w:rPr>
                    <w:t>8</w:t>
                  </w:r>
                  <w:r>
                    <w:rPr>
                      <w:rFonts w:hint="default" w:ascii="Times New Roman" w:hAnsi="Times New Roman" w:cs="Times New Roman"/>
                      <w:bCs/>
                      <w:sz w:val="21"/>
                      <w:szCs w:val="21"/>
                      <w:lang w:val="en-US" w:eastAsia="zh-CN"/>
                    </w:rPr>
                    <w:t>0</w:t>
                  </w:r>
                  <w:r>
                    <w:rPr>
                      <w:rFonts w:hint="eastAsia"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w:t>
                  </w:r>
                  <w:r>
                    <w:rPr>
                      <w:rFonts w:hint="default" w:ascii="Times New Roman" w:hAnsi="Times New Roman" w:cs="Times New Roman"/>
                      <w:sz w:val="21"/>
                      <w:szCs w:val="21"/>
                    </w:rPr>
                    <w:t>存储</w:t>
                  </w:r>
                  <w:r>
                    <w:rPr>
                      <w:rFonts w:hint="eastAsia" w:cs="Times New Roman"/>
                      <w:color w:val="000000"/>
                      <w:kern w:val="0"/>
                      <w:sz w:val="21"/>
                      <w:szCs w:val="21"/>
                      <w:lang w:val="en-US" w:eastAsia="zh-CN" w:bidi="ar"/>
                    </w:rPr>
                    <w:t>钢材、铜材</w:t>
                  </w:r>
                  <w:r>
                    <w:rPr>
                      <w:rFonts w:hint="eastAsia" w:cs="Times New Roman"/>
                      <w:sz w:val="21"/>
                      <w:szCs w:val="21"/>
                      <w:lang w:val="en-US" w:eastAsia="zh-CN"/>
                    </w:rPr>
                    <w:t>、配件</w:t>
                  </w:r>
                  <w:r>
                    <w:rPr>
                      <w:rFonts w:hint="default" w:ascii="Times New Roman" w:hAnsi="Times New Roman" w:cs="Times New Roman"/>
                      <w:sz w:val="21"/>
                      <w:szCs w:val="21"/>
                    </w:rPr>
                    <w:t>等</w:t>
                  </w:r>
                  <w:r>
                    <w:rPr>
                      <w:rFonts w:hint="default" w:ascii="Times New Roman" w:hAnsi="Times New Roman" w:cs="Times New Roman"/>
                      <w:sz w:val="21"/>
                      <w:szCs w:val="21"/>
                      <w:lang w:eastAsia="zh-CN"/>
                    </w:rPr>
                    <w:t>；</w:t>
                  </w:r>
                  <w:r>
                    <w:rPr>
                      <w:rFonts w:hint="eastAsia" w:cs="Times New Roman"/>
                      <w:sz w:val="21"/>
                      <w:szCs w:val="21"/>
                      <w:lang w:val="en-US" w:eastAsia="zh-CN"/>
                    </w:rPr>
                    <w:t>2#</w:t>
                  </w:r>
                  <w:r>
                    <w:rPr>
                      <w:rFonts w:hint="default" w:ascii="Times New Roman" w:hAnsi="Times New Roman" w:cs="Times New Roman"/>
                      <w:sz w:val="21"/>
                      <w:szCs w:val="21"/>
                      <w:lang w:val="en-US" w:eastAsia="zh-CN"/>
                    </w:rPr>
                    <w:t>原料区位于</w:t>
                  </w:r>
                  <w:r>
                    <w:rPr>
                      <w:rFonts w:hint="eastAsia" w:cs="Times New Roman"/>
                      <w:sz w:val="21"/>
                      <w:szCs w:val="21"/>
                      <w:lang w:val="en-US" w:eastAsia="zh-CN"/>
                    </w:rPr>
                    <w:t>B</w:t>
                  </w:r>
                  <w:r>
                    <w:rPr>
                      <w:rFonts w:hint="default" w:ascii="Times New Roman" w:hAnsi="Times New Roman" w:cs="Times New Roman"/>
                      <w:sz w:val="21"/>
                      <w:szCs w:val="21"/>
                      <w:lang w:val="en-US" w:eastAsia="zh-CN"/>
                    </w:rPr>
                    <w:t>车间</w:t>
                  </w:r>
                  <w:r>
                    <w:rPr>
                      <w:rFonts w:hint="eastAsia" w:cs="Times New Roman"/>
                      <w:sz w:val="21"/>
                      <w:szCs w:val="21"/>
                      <w:lang w:val="en-US" w:eastAsia="zh-CN"/>
                    </w:rPr>
                    <w:t>内</w:t>
                  </w:r>
                  <w:r>
                    <w:rPr>
                      <w:rFonts w:hint="eastAsia" w:cs="Times New Roman"/>
                      <w:bCs/>
                      <w:sz w:val="21"/>
                      <w:szCs w:val="21"/>
                      <w:lang w:val="en-US" w:eastAsia="zh-CN"/>
                    </w:rPr>
                    <w:t>东北</w:t>
                  </w:r>
                  <w:r>
                    <w:rPr>
                      <w:rFonts w:hint="default" w:ascii="Times New Roman" w:hAnsi="Times New Roman" w:cs="Times New Roman"/>
                      <w:sz w:val="21"/>
                      <w:szCs w:val="21"/>
                      <w:lang w:val="en-US" w:eastAsia="zh-CN"/>
                    </w:rPr>
                    <w:t>侧，</w:t>
                  </w:r>
                  <w:r>
                    <w:rPr>
                      <w:rFonts w:hint="default" w:ascii="Times New Roman" w:hAnsi="Times New Roman" w:cs="Times New Roman"/>
                      <w:bCs/>
                      <w:sz w:val="21"/>
                      <w:szCs w:val="21"/>
                      <w:lang w:val="en-US" w:eastAsia="zh-CN"/>
                    </w:rPr>
                    <w:t>面积约</w:t>
                  </w:r>
                  <w:r>
                    <w:rPr>
                      <w:rFonts w:hint="eastAsia" w:cs="Times New Roman"/>
                      <w:bCs/>
                      <w:sz w:val="21"/>
                      <w:szCs w:val="21"/>
                      <w:lang w:val="en-US" w:eastAsia="zh-CN"/>
                    </w:rPr>
                    <w:t>8</w:t>
                  </w:r>
                  <w:r>
                    <w:rPr>
                      <w:rFonts w:hint="default" w:ascii="Times New Roman" w:hAnsi="Times New Roman" w:cs="Times New Roman"/>
                      <w:bCs/>
                      <w:sz w:val="21"/>
                      <w:szCs w:val="21"/>
                      <w:lang w:val="en-US" w:eastAsia="zh-CN"/>
                    </w:rPr>
                    <w:t>0</w:t>
                  </w:r>
                  <w:r>
                    <w:rPr>
                      <w:rFonts w:hint="eastAsia"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w:t>
                  </w:r>
                  <w:r>
                    <w:rPr>
                      <w:rFonts w:hint="default" w:ascii="Times New Roman" w:hAnsi="Times New Roman" w:cs="Times New Roman"/>
                      <w:sz w:val="21"/>
                      <w:szCs w:val="21"/>
                    </w:rPr>
                    <w:t>存储</w:t>
                  </w:r>
                  <w:r>
                    <w:rPr>
                      <w:rFonts w:hint="eastAsia" w:cs="Times New Roman"/>
                      <w:color w:val="000000"/>
                      <w:kern w:val="0"/>
                      <w:sz w:val="21"/>
                      <w:szCs w:val="21"/>
                      <w:lang w:val="en-US" w:eastAsia="zh-CN" w:bidi="ar"/>
                    </w:rPr>
                    <w:t>钢材、铜材、</w:t>
                  </w:r>
                  <w:r>
                    <w:rPr>
                      <w:rFonts w:hint="eastAsia" w:cs="Times New Roman"/>
                      <w:sz w:val="21"/>
                      <w:szCs w:val="21"/>
                      <w:lang w:val="en-US" w:eastAsia="zh-CN"/>
                    </w:rPr>
                    <w:t>绝缘布等，3#</w:t>
                  </w:r>
                  <w:r>
                    <w:rPr>
                      <w:rFonts w:hint="default" w:ascii="Times New Roman" w:hAnsi="Times New Roman" w:cs="Times New Roman"/>
                      <w:sz w:val="21"/>
                      <w:szCs w:val="21"/>
                      <w:lang w:val="en-US" w:eastAsia="zh-CN"/>
                    </w:rPr>
                    <w:t>原料区位于</w:t>
                  </w:r>
                  <w:r>
                    <w:rPr>
                      <w:rFonts w:hint="eastAsia" w:cs="Times New Roman"/>
                      <w:sz w:val="21"/>
                      <w:szCs w:val="21"/>
                      <w:lang w:val="en-US" w:eastAsia="zh-CN"/>
                    </w:rPr>
                    <w:t>C</w:t>
                  </w:r>
                  <w:r>
                    <w:rPr>
                      <w:rFonts w:hint="default" w:ascii="Times New Roman" w:hAnsi="Times New Roman" w:cs="Times New Roman"/>
                      <w:sz w:val="21"/>
                      <w:szCs w:val="21"/>
                      <w:lang w:val="en-US" w:eastAsia="zh-CN"/>
                    </w:rPr>
                    <w:t>车间</w:t>
                  </w:r>
                  <w:r>
                    <w:rPr>
                      <w:rFonts w:hint="eastAsia" w:cs="Times New Roman"/>
                      <w:sz w:val="21"/>
                      <w:szCs w:val="21"/>
                      <w:lang w:val="en-US" w:eastAsia="zh-CN"/>
                    </w:rPr>
                    <w:t>内西侧，存储焊丝等原料。</w:t>
                  </w:r>
                </w:p>
              </w:tc>
              <w:tc>
                <w:tcPr>
                  <w:tcW w:w="855" w:type="dxa"/>
                  <w:noWrap w:val="0"/>
                  <w:vAlign w:val="center"/>
                </w:tcPr>
                <w:p w14:paraId="599A8673">
                  <w:pPr>
                    <w:jc w:val="center"/>
                    <w:rPr>
                      <w:rFonts w:hint="default" w:ascii="Times New Roman" w:hAnsi="Times New Roman" w:cs="Times New Roman"/>
                      <w:sz w:val="21"/>
                      <w:szCs w:val="21"/>
                      <w:lang w:val="en-US"/>
                    </w:rPr>
                  </w:pPr>
                  <w:r>
                    <w:rPr>
                      <w:rFonts w:hint="eastAsia" w:cs="Times New Roman"/>
                      <w:bCs/>
                      <w:sz w:val="21"/>
                      <w:szCs w:val="21"/>
                      <w:lang w:val="en-US" w:eastAsia="zh-CN"/>
                    </w:rPr>
                    <w:t>依托现有车间，重新优化布局</w:t>
                  </w:r>
                </w:p>
              </w:tc>
            </w:tr>
            <w:tr w14:paraId="65CE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continue"/>
                  <w:noWrap w:val="0"/>
                  <w:vAlign w:val="center"/>
                </w:tcPr>
                <w:p w14:paraId="6FD2411E">
                  <w:pPr>
                    <w:jc w:val="center"/>
                    <w:rPr>
                      <w:rFonts w:hint="default" w:ascii="Times New Roman" w:hAnsi="Times New Roman" w:cs="Times New Roman"/>
                      <w:bCs/>
                      <w:sz w:val="21"/>
                      <w:szCs w:val="21"/>
                    </w:rPr>
                  </w:pPr>
                </w:p>
              </w:tc>
              <w:tc>
                <w:tcPr>
                  <w:tcW w:w="749" w:type="dxa"/>
                  <w:gridSpan w:val="2"/>
                  <w:noWrap w:val="0"/>
                  <w:vAlign w:val="center"/>
                </w:tcPr>
                <w:p w14:paraId="103E5A09">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化学品库</w:t>
                  </w:r>
                </w:p>
              </w:tc>
              <w:tc>
                <w:tcPr>
                  <w:tcW w:w="1860" w:type="dxa"/>
                  <w:noWrap w:val="0"/>
                  <w:vAlign w:val="center"/>
                </w:tcPr>
                <w:p w14:paraId="3CA2DF07">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2017" w:type="dxa"/>
                  <w:noWrap w:val="0"/>
                  <w:vAlign w:val="center"/>
                </w:tcPr>
                <w:p w14:paraId="3194799D">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新建，位于C车间南侧，面积约100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eastAsia" w:cs="Times New Roman"/>
                      <w:sz w:val="21"/>
                      <w:szCs w:val="21"/>
                      <w:lang w:val="en-US" w:eastAsia="zh-CN"/>
                    </w:rPr>
                    <w:t>，</w:t>
                  </w:r>
                  <w:r>
                    <w:rPr>
                      <w:rFonts w:hint="default" w:ascii="Times New Roman" w:hAnsi="Times New Roman" w:cs="Times New Roman"/>
                      <w:sz w:val="21"/>
                      <w:szCs w:val="21"/>
                      <w:lang w:val="en-US" w:eastAsia="zh-CN"/>
                    </w:rPr>
                    <w:t>存储油漆</w:t>
                  </w:r>
                  <w:r>
                    <w:rPr>
                      <w:rFonts w:hint="eastAsia" w:cs="Times New Roman"/>
                      <w:sz w:val="21"/>
                      <w:szCs w:val="21"/>
                      <w:lang w:val="en-US" w:eastAsia="zh-CN"/>
                    </w:rPr>
                    <w:t>涂料、</w:t>
                  </w:r>
                  <w:r>
                    <w:rPr>
                      <w:rFonts w:hint="default" w:ascii="Times New Roman" w:hAnsi="Times New Roman" w:cs="Times New Roman"/>
                      <w:sz w:val="21"/>
                      <w:szCs w:val="21"/>
                      <w:lang w:val="en-US" w:eastAsia="zh-CN"/>
                    </w:rPr>
                    <w:t>稀释剂</w:t>
                  </w:r>
                  <w:r>
                    <w:rPr>
                      <w:rFonts w:hint="eastAsia" w:cs="Times New Roman"/>
                      <w:sz w:val="21"/>
                      <w:szCs w:val="21"/>
                      <w:lang w:val="en-US" w:eastAsia="zh-CN"/>
                    </w:rPr>
                    <w:t>、固化剂、封装料</w:t>
                  </w:r>
                  <w:r>
                    <w:rPr>
                      <w:rFonts w:hint="default" w:ascii="Times New Roman" w:hAnsi="Times New Roman" w:cs="Times New Roman"/>
                      <w:sz w:val="21"/>
                      <w:szCs w:val="21"/>
                      <w:lang w:val="en-US" w:eastAsia="zh-CN"/>
                    </w:rPr>
                    <w:t>等</w:t>
                  </w:r>
                  <w:r>
                    <w:rPr>
                      <w:rFonts w:hint="eastAsia" w:cs="Times New Roman"/>
                      <w:sz w:val="21"/>
                      <w:szCs w:val="21"/>
                      <w:lang w:val="en-US" w:eastAsia="zh-CN"/>
                    </w:rPr>
                    <w:t>。</w:t>
                  </w:r>
                </w:p>
              </w:tc>
              <w:tc>
                <w:tcPr>
                  <w:tcW w:w="2043" w:type="dxa"/>
                  <w:noWrap w:val="0"/>
                  <w:vAlign w:val="center"/>
                </w:tcPr>
                <w:p w14:paraId="72CF6D78">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新建，位于C车间南侧，面积约100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eastAsia" w:cs="Times New Roman"/>
                      <w:sz w:val="21"/>
                      <w:szCs w:val="21"/>
                      <w:lang w:val="en-US" w:eastAsia="zh-CN"/>
                    </w:rPr>
                    <w:t>，</w:t>
                  </w:r>
                  <w:r>
                    <w:rPr>
                      <w:rFonts w:hint="default" w:ascii="Times New Roman" w:hAnsi="Times New Roman" w:cs="Times New Roman"/>
                      <w:sz w:val="21"/>
                      <w:szCs w:val="21"/>
                      <w:lang w:val="en-US" w:eastAsia="zh-CN"/>
                    </w:rPr>
                    <w:t>存储油漆</w:t>
                  </w:r>
                  <w:r>
                    <w:rPr>
                      <w:rFonts w:hint="eastAsia" w:cs="Times New Roman"/>
                      <w:sz w:val="21"/>
                      <w:szCs w:val="21"/>
                      <w:lang w:val="en-US" w:eastAsia="zh-CN"/>
                    </w:rPr>
                    <w:t>涂料、</w:t>
                  </w:r>
                  <w:r>
                    <w:rPr>
                      <w:rFonts w:hint="default" w:ascii="Times New Roman" w:hAnsi="Times New Roman" w:cs="Times New Roman"/>
                      <w:sz w:val="21"/>
                      <w:szCs w:val="21"/>
                      <w:lang w:val="en-US" w:eastAsia="zh-CN"/>
                    </w:rPr>
                    <w:t>稀释剂</w:t>
                  </w:r>
                  <w:r>
                    <w:rPr>
                      <w:rFonts w:hint="eastAsia" w:cs="Times New Roman"/>
                      <w:sz w:val="21"/>
                      <w:szCs w:val="21"/>
                      <w:lang w:val="en-US" w:eastAsia="zh-CN"/>
                    </w:rPr>
                    <w:t>、固化剂、封装料</w:t>
                  </w:r>
                  <w:r>
                    <w:rPr>
                      <w:rFonts w:hint="default" w:ascii="Times New Roman" w:hAnsi="Times New Roman" w:cs="Times New Roman"/>
                      <w:sz w:val="21"/>
                      <w:szCs w:val="21"/>
                      <w:lang w:val="en-US" w:eastAsia="zh-CN"/>
                    </w:rPr>
                    <w:t>等</w:t>
                  </w:r>
                  <w:r>
                    <w:rPr>
                      <w:rFonts w:hint="eastAsia" w:cs="Times New Roman"/>
                      <w:sz w:val="21"/>
                      <w:szCs w:val="21"/>
                      <w:lang w:val="en-US" w:eastAsia="zh-CN"/>
                    </w:rPr>
                    <w:t>。</w:t>
                  </w:r>
                </w:p>
              </w:tc>
              <w:tc>
                <w:tcPr>
                  <w:tcW w:w="855" w:type="dxa"/>
                  <w:noWrap w:val="0"/>
                  <w:vAlign w:val="center"/>
                </w:tcPr>
                <w:p w14:paraId="5F89250B">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新建</w:t>
                  </w:r>
                </w:p>
              </w:tc>
            </w:tr>
            <w:tr w14:paraId="7CCB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463" w:type="dxa"/>
                  <w:vMerge w:val="continue"/>
                  <w:noWrap w:val="0"/>
                  <w:vAlign w:val="center"/>
                </w:tcPr>
                <w:p w14:paraId="62388843">
                  <w:pPr>
                    <w:jc w:val="center"/>
                    <w:rPr>
                      <w:rFonts w:hint="default" w:ascii="Times New Roman" w:hAnsi="Times New Roman" w:cs="Times New Roman"/>
                      <w:bCs/>
                      <w:sz w:val="21"/>
                      <w:szCs w:val="21"/>
                    </w:rPr>
                  </w:pPr>
                </w:p>
              </w:tc>
              <w:tc>
                <w:tcPr>
                  <w:tcW w:w="749" w:type="dxa"/>
                  <w:gridSpan w:val="2"/>
                  <w:shd w:val="clear" w:color="auto" w:fill="auto"/>
                  <w:noWrap w:val="0"/>
                  <w:vAlign w:val="center"/>
                </w:tcPr>
                <w:p w14:paraId="7147FDB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成品区</w:t>
                  </w:r>
                </w:p>
              </w:tc>
              <w:tc>
                <w:tcPr>
                  <w:tcW w:w="1860" w:type="dxa"/>
                  <w:shd w:val="clear" w:color="auto" w:fill="auto"/>
                  <w:noWrap w:val="0"/>
                  <w:vAlign w:val="center"/>
                </w:tcPr>
                <w:p w14:paraId="62DA4C9C">
                  <w:pPr>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1#成品区</w:t>
                  </w:r>
                  <w:r>
                    <w:rPr>
                      <w:rFonts w:hint="default" w:ascii="Times New Roman" w:hAnsi="Times New Roman" w:cs="Times New Roman"/>
                      <w:bCs/>
                      <w:sz w:val="21"/>
                      <w:szCs w:val="21"/>
                      <w:lang w:val="en-US" w:eastAsia="zh-CN"/>
                    </w:rPr>
                    <w:t>位于A车间</w:t>
                  </w:r>
                  <w:r>
                    <w:rPr>
                      <w:rFonts w:hint="eastAsia" w:cs="Times New Roman"/>
                      <w:bCs/>
                      <w:sz w:val="21"/>
                      <w:szCs w:val="21"/>
                      <w:lang w:val="en-US" w:eastAsia="zh-CN"/>
                    </w:rPr>
                    <w:t>内东</w:t>
                  </w:r>
                  <w:r>
                    <w:rPr>
                      <w:rFonts w:hint="default" w:ascii="Times New Roman" w:hAnsi="Times New Roman" w:cs="Times New Roman"/>
                      <w:bCs/>
                      <w:sz w:val="21"/>
                      <w:szCs w:val="21"/>
                      <w:lang w:val="en-US" w:eastAsia="zh-CN"/>
                    </w:rPr>
                    <w:t>南侧</w:t>
                  </w:r>
                  <w:r>
                    <w:rPr>
                      <w:rFonts w:hint="eastAsia" w:cs="Times New Roman"/>
                      <w:bCs/>
                      <w:sz w:val="21"/>
                      <w:szCs w:val="21"/>
                      <w:lang w:val="en-US" w:eastAsia="zh-CN"/>
                    </w:rPr>
                    <w:t>，面积约50</w:t>
                  </w:r>
                  <w:r>
                    <w:rPr>
                      <w:rFonts w:hint="default" w:ascii="Times New Roman" w:hAnsi="Times New Roman"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，主要用于存储装配好的</w:t>
                  </w:r>
                  <w:r>
                    <w:rPr>
                      <w:rFonts w:hint="eastAsia" w:cs="Times New Roman"/>
                      <w:bCs/>
                      <w:sz w:val="21"/>
                      <w:szCs w:val="21"/>
                      <w:lang w:val="en-US" w:eastAsia="zh-CN"/>
                    </w:rPr>
                    <w:t>电源柜；2#成品区位于</w:t>
                  </w:r>
                  <w:r>
                    <w:rPr>
                      <w:rFonts w:hint="default" w:ascii="Times New Roman" w:hAnsi="Times New Roman" w:cs="Times New Roman"/>
                      <w:bCs/>
                      <w:sz w:val="21"/>
                      <w:szCs w:val="21"/>
                      <w:lang w:val="en-US" w:eastAsia="zh-CN"/>
                    </w:rPr>
                    <w:t>B车间</w:t>
                  </w:r>
                  <w:r>
                    <w:rPr>
                      <w:rFonts w:hint="eastAsia" w:cs="Times New Roman"/>
                      <w:bCs/>
                      <w:sz w:val="21"/>
                      <w:szCs w:val="21"/>
                      <w:lang w:val="en-US" w:eastAsia="zh-CN"/>
                    </w:rPr>
                    <w:t>内东南</w:t>
                  </w:r>
                  <w:r>
                    <w:rPr>
                      <w:rFonts w:hint="default" w:ascii="Times New Roman" w:hAnsi="Times New Roman" w:cs="Times New Roman"/>
                      <w:bCs/>
                      <w:sz w:val="21"/>
                      <w:szCs w:val="21"/>
                      <w:lang w:val="en-US" w:eastAsia="zh-CN"/>
                    </w:rPr>
                    <w:t>侧，面积约</w:t>
                  </w:r>
                  <w:r>
                    <w:rPr>
                      <w:rFonts w:hint="eastAsia" w:cs="Times New Roman"/>
                      <w:bCs/>
                      <w:sz w:val="21"/>
                      <w:szCs w:val="21"/>
                      <w:lang w:val="en-US" w:eastAsia="zh-CN"/>
                    </w:rPr>
                    <w:t>50</w:t>
                  </w:r>
                  <w:r>
                    <w:rPr>
                      <w:rFonts w:hint="default" w:ascii="Times New Roman" w:hAnsi="Times New Roman"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，主要用于存储装配好的</w:t>
                  </w:r>
                  <w:r>
                    <w:rPr>
                      <w:rFonts w:hint="eastAsia" w:cs="Times New Roman"/>
                      <w:color w:val="000000"/>
                      <w:kern w:val="0"/>
                      <w:sz w:val="21"/>
                      <w:szCs w:val="21"/>
                      <w:lang w:val="en-US" w:eastAsia="zh-CN" w:bidi="ar"/>
                    </w:rPr>
                    <w:t>柜体、炉体</w:t>
                  </w:r>
                  <w:r>
                    <w:rPr>
                      <w:rFonts w:hint="eastAsia" w:cs="Times New Roman"/>
                      <w:bCs/>
                      <w:sz w:val="21"/>
                      <w:szCs w:val="21"/>
                      <w:lang w:val="en-US" w:eastAsia="zh-CN"/>
                    </w:rPr>
                    <w:t>等。</w:t>
                  </w:r>
                </w:p>
              </w:tc>
              <w:tc>
                <w:tcPr>
                  <w:tcW w:w="2017" w:type="dxa"/>
                  <w:shd w:val="clear" w:color="auto" w:fill="auto"/>
                  <w:noWrap w:val="0"/>
                  <w:vAlign w:val="center"/>
                </w:tcPr>
                <w:p w14:paraId="692A2DBD">
                  <w:pPr>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依托已建成生产车间重新布局：1#成品区</w:t>
                  </w:r>
                  <w:r>
                    <w:rPr>
                      <w:rFonts w:hint="default" w:ascii="Times New Roman" w:hAnsi="Times New Roman" w:cs="Times New Roman"/>
                      <w:bCs/>
                      <w:sz w:val="21"/>
                      <w:szCs w:val="21"/>
                      <w:lang w:val="en-US" w:eastAsia="zh-CN"/>
                    </w:rPr>
                    <w:t>位于A车间</w:t>
                  </w:r>
                  <w:r>
                    <w:rPr>
                      <w:rFonts w:hint="eastAsia" w:cs="Times New Roman"/>
                      <w:bCs/>
                      <w:sz w:val="21"/>
                      <w:szCs w:val="21"/>
                      <w:lang w:val="en-US" w:eastAsia="zh-CN"/>
                    </w:rPr>
                    <w:t>内东</w:t>
                  </w:r>
                  <w:r>
                    <w:rPr>
                      <w:rFonts w:hint="default" w:ascii="Times New Roman" w:hAnsi="Times New Roman" w:cs="Times New Roman"/>
                      <w:bCs/>
                      <w:sz w:val="21"/>
                      <w:szCs w:val="21"/>
                      <w:lang w:val="en-US" w:eastAsia="zh-CN"/>
                    </w:rPr>
                    <w:t>南侧，面积约</w:t>
                  </w:r>
                  <w:r>
                    <w:rPr>
                      <w:rFonts w:hint="eastAsia" w:cs="Times New Roman"/>
                      <w:bCs/>
                      <w:sz w:val="21"/>
                      <w:szCs w:val="21"/>
                      <w:lang w:val="en-US" w:eastAsia="zh-CN"/>
                    </w:rPr>
                    <w:t>100</w:t>
                  </w:r>
                  <w:r>
                    <w:rPr>
                      <w:rFonts w:hint="default" w:ascii="Times New Roman" w:hAnsi="Times New Roman"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，主要用于存储装配好的</w:t>
                  </w:r>
                  <w:r>
                    <w:rPr>
                      <w:rFonts w:hint="eastAsia" w:cs="Times New Roman"/>
                      <w:color w:val="000000"/>
                      <w:kern w:val="0"/>
                      <w:sz w:val="21"/>
                      <w:szCs w:val="21"/>
                      <w:lang w:val="en-US" w:eastAsia="zh-CN" w:bidi="ar"/>
                    </w:rPr>
                    <w:t>柜体、炉体</w:t>
                  </w:r>
                  <w:r>
                    <w:rPr>
                      <w:rFonts w:hint="default" w:ascii="Times New Roman" w:hAnsi="Times New Roman" w:cs="Times New Roman"/>
                      <w:bCs/>
                      <w:sz w:val="21"/>
                      <w:szCs w:val="21"/>
                      <w:lang w:val="en-US" w:eastAsia="zh-CN"/>
                    </w:rPr>
                    <w:t>；</w:t>
                  </w:r>
                  <w:r>
                    <w:rPr>
                      <w:rFonts w:hint="eastAsia" w:cs="Times New Roman"/>
                      <w:bCs/>
                      <w:sz w:val="21"/>
                      <w:szCs w:val="21"/>
                      <w:lang w:val="en-US" w:eastAsia="zh-CN"/>
                    </w:rPr>
                    <w:t>2#成品区位于</w:t>
                  </w:r>
                  <w:r>
                    <w:rPr>
                      <w:rFonts w:hint="default" w:ascii="Times New Roman" w:hAnsi="Times New Roman" w:cs="Times New Roman"/>
                      <w:bCs/>
                      <w:sz w:val="21"/>
                      <w:szCs w:val="21"/>
                      <w:lang w:val="en-US" w:eastAsia="zh-CN"/>
                    </w:rPr>
                    <w:t>B车间</w:t>
                  </w:r>
                  <w:r>
                    <w:rPr>
                      <w:rFonts w:hint="eastAsia" w:cs="Times New Roman"/>
                      <w:bCs/>
                      <w:sz w:val="21"/>
                      <w:szCs w:val="21"/>
                      <w:lang w:val="en-US" w:eastAsia="zh-CN"/>
                    </w:rPr>
                    <w:t>内东南</w:t>
                  </w:r>
                  <w:r>
                    <w:rPr>
                      <w:rFonts w:hint="default" w:ascii="Times New Roman" w:hAnsi="Times New Roman" w:cs="Times New Roman"/>
                      <w:bCs/>
                      <w:sz w:val="21"/>
                      <w:szCs w:val="21"/>
                      <w:lang w:val="en-US" w:eastAsia="zh-CN"/>
                    </w:rPr>
                    <w:t>侧，面积约</w:t>
                  </w:r>
                  <w:r>
                    <w:rPr>
                      <w:rFonts w:hint="eastAsia" w:cs="Times New Roman"/>
                      <w:bCs/>
                      <w:sz w:val="21"/>
                      <w:szCs w:val="21"/>
                      <w:lang w:val="en-US" w:eastAsia="zh-CN"/>
                    </w:rPr>
                    <w:t>90</w:t>
                  </w:r>
                  <w:r>
                    <w:rPr>
                      <w:rFonts w:hint="default" w:ascii="Times New Roman" w:hAnsi="Times New Roman"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，主要用于存储装配好的</w:t>
                  </w:r>
                  <w:r>
                    <w:rPr>
                      <w:rFonts w:hint="eastAsia" w:cs="Times New Roman"/>
                      <w:color w:val="000000"/>
                      <w:kern w:val="0"/>
                      <w:sz w:val="21"/>
                      <w:szCs w:val="21"/>
                      <w:lang w:val="en-US" w:eastAsia="zh-CN" w:bidi="ar"/>
                    </w:rPr>
                    <w:t>柜体、炉体</w:t>
                  </w:r>
                  <w:r>
                    <w:rPr>
                      <w:rFonts w:hint="eastAsia" w:cs="Times New Roman"/>
                      <w:bCs/>
                      <w:sz w:val="21"/>
                      <w:szCs w:val="21"/>
                      <w:lang w:val="en-US" w:eastAsia="zh-CN"/>
                    </w:rPr>
                    <w:t>。半成品区位于C车间内东南侧，面积约1000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eastAsia" w:cs="Times New Roman"/>
                      <w:bCs/>
                      <w:sz w:val="21"/>
                      <w:szCs w:val="21"/>
                      <w:lang w:val="en-US" w:eastAsia="zh-CN"/>
                    </w:rPr>
                    <w:t>，用于暂存表面处理后的半成品</w:t>
                  </w:r>
                  <w:r>
                    <w:rPr>
                      <w:rFonts w:hint="eastAsia" w:ascii="Times New Roman" w:hAnsi="Times New Roman" w:cs="Times New Roman"/>
                      <w:bCs/>
                      <w:sz w:val="21"/>
                      <w:szCs w:val="21"/>
                      <w:lang w:val="en-US" w:eastAsia="zh-CN"/>
                    </w:rPr>
                    <w:t>。</w:t>
                  </w:r>
                </w:p>
              </w:tc>
              <w:tc>
                <w:tcPr>
                  <w:tcW w:w="2043" w:type="dxa"/>
                  <w:shd w:val="clear" w:color="auto" w:fill="auto"/>
                  <w:noWrap w:val="0"/>
                  <w:vAlign w:val="center"/>
                </w:tcPr>
                <w:p w14:paraId="32EE9F6F">
                  <w:pPr>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成品区1</w:t>
                  </w:r>
                  <w:r>
                    <w:rPr>
                      <w:rFonts w:hint="default" w:ascii="Times New Roman" w:hAnsi="Times New Roman" w:cs="Times New Roman"/>
                      <w:bCs/>
                      <w:sz w:val="21"/>
                      <w:szCs w:val="21"/>
                      <w:lang w:val="en-US" w:eastAsia="zh-CN"/>
                    </w:rPr>
                    <w:t>位于A车间</w:t>
                  </w:r>
                  <w:r>
                    <w:rPr>
                      <w:rFonts w:hint="eastAsia" w:cs="Times New Roman"/>
                      <w:bCs/>
                      <w:sz w:val="21"/>
                      <w:szCs w:val="21"/>
                      <w:lang w:val="en-US" w:eastAsia="zh-CN"/>
                    </w:rPr>
                    <w:t>东</w:t>
                  </w:r>
                  <w:r>
                    <w:rPr>
                      <w:rFonts w:hint="default" w:ascii="Times New Roman" w:hAnsi="Times New Roman" w:cs="Times New Roman"/>
                      <w:bCs/>
                      <w:sz w:val="21"/>
                      <w:szCs w:val="21"/>
                      <w:lang w:val="en-US" w:eastAsia="zh-CN"/>
                    </w:rPr>
                    <w:t>南侧，面积约</w:t>
                  </w:r>
                  <w:r>
                    <w:rPr>
                      <w:rFonts w:hint="eastAsia" w:cs="Times New Roman"/>
                      <w:bCs/>
                      <w:sz w:val="21"/>
                      <w:szCs w:val="21"/>
                      <w:lang w:val="en-US" w:eastAsia="zh-CN"/>
                    </w:rPr>
                    <w:t>100</w:t>
                  </w:r>
                  <w:r>
                    <w:rPr>
                      <w:rFonts w:hint="default" w:ascii="Times New Roman" w:hAnsi="Times New Roman"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，主要用于存储装配好的</w:t>
                  </w:r>
                  <w:r>
                    <w:rPr>
                      <w:rFonts w:hint="eastAsia" w:cs="Times New Roman"/>
                      <w:bCs/>
                      <w:sz w:val="21"/>
                      <w:szCs w:val="21"/>
                      <w:lang w:val="en-US" w:eastAsia="zh-CN"/>
                    </w:rPr>
                    <w:t>电源柜</w:t>
                  </w:r>
                  <w:r>
                    <w:rPr>
                      <w:rFonts w:hint="default" w:ascii="Times New Roman" w:hAnsi="Times New Roman" w:cs="Times New Roman"/>
                      <w:bCs/>
                      <w:sz w:val="21"/>
                      <w:szCs w:val="21"/>
                      <w:lang w:val="en-US" w:eastAsia="zh-CN"/>
                    </w:rPr>
                    <w:t>；</w:t>
                  </w:r>
                  <w:r>
                    <w:rPr>
                      <w:rFonts w:hint="eastAsia" w:cs="Times New Roman"/>
                      <w:bCs/>
                      <w:sz w:val="21"/>
                      <w:szCs w:val="21"/>
                      <w:lang w:val="en-US" w:eastAsia="zh-CN"/>
                    </w:rPr>
                    <w:t>成品区2位于</w:t>
                  </w:r>
                  <w:r>
                    <w:rPr>
                      <w:rFonts w:hint="default" w:ascii="Times New Roman" w:hAnsi="Times New Roman" w:cs="Times New Roman"/>
                      <w:bCs/>
                      <w:sz w:val="21"/>
                      <w:szCs w:val="21"/>
                      <w:lang w:val="en-US" w:eastAsia="zh-CN"/>
                    </w:rPr>
                    <w:t>B车间</w:t>
                  </w:r>
                  <w:r>
                    <w:rPr>
                      <w:rFonts w:hint="eastAsia" w:cs="Times New Roman"/>
                      <w:bCs/>
                      <w:sz w:val="21"/>
                      <w:szCs w:val="21"/>
                      <w:lang w:val="en-US" w:eastAsia="zh-CN"/>
                    </w:rPr>
                    <w:t>东南</w:t>
                  </w:r>
                  <w:r>
                    <w:rPr>
                      <w:rFonts w:hint="default" w:ascii="Times New Roman" w:hAnsi="Times New Roman" w:cs="Times New Roman"/>
                      <w:bCs/>
                      <w:sz w:val="21"/>
                      <w:szCs w:val="21"/>
                      <w:lang w:val="en-US" w:eastAsia="zh-CN"/>
                    </w:rPr>
                    <w:t>侧，面积约</w:t>
                  </w:r>
                  <w:r>
                    <w:rPr>
                      <w:rFonts w:hint="eastAsia" w:cs="Times New Roman"/>
                      <w:bCs/>
                      <w:sz w:val="21"/>
                      <w:szCs w:val="21"/>
                      <w:lang w:val="en-US" w:eastAsia="zh-CN"/>
                    </w:rPr>
                    <w:t>90</w:t>
                  </w:r>
                  <w:r>
                    <w:rPr>
                      <w:rFonts w:hint="default" w:ascii="Times New Roman" w:hAnsi="Times New Roman" w:cs="Times New Roman"/>
                      <w:bCs/>
                      <w:sz w:val="21"/>
                      <w:szCs w:val="21"/>
                      <w:lang w:val="en-US" w:eastAsia="zh-CN"/>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bCs/>
                      <w:sz w:val="21"/>
                      <w:szCs w:val="21"/>
                      <w:lang w:val="en-US" w:eastAsia="zh-CN"/>
                    </w:rPr>
                    <w:t>，主要用于存储装配好的炉体</w:t>
                  </w:r>
                  <w:r>
                    <w:rPr>
                      <w:rFonts w:hint="eastAsia" w:cs="Times New Roman"/>
                      <w:bCs/>
                      <w:sz w:val="21"/>
                      <w:szCs w:val="21"/>
                      <w:lang w:val="en-US" w:eastAsia="zh-CN"/>
                    </w:rPr>
                    <w:t>壳等。半成品区位于C车间内东南侧，面积约1000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eastAsia" w:cs="Times New Roman"/>
                      <w:bCs/>
                      <w:sz w:val="21"/>
                      <w:szCs w:val="21"/>
                      <w:lang w:val="en-US" w:eastAsia="zh-CN"/>
                    </w:rPr>
                    <w:t>，用于暂存表面处理后的半成品</w:t>
                  </w:r>
                  <w:r>
                    <w:rPr>
                      <w:rFonts w:hint="eastAsia" w:ascii="Times New Roman" w:hAnsi="Times New Roman" w:cs="Times New Roman"/>
                      <w:bCs/>
                      <w:sz w:val="21"/>
                      <w:szCs w:val="21"/>
                      <w:lang w:val="en-US" w:eastAsia="zh-CN"/>
                    </w:rPr>
                    <w:t>。</w:t>
                  </w:r>
                </w:p>
              </w:tc>
              <w:tc>
                <w:tcPr>
                  <w:tcW w:w="855" w:type="dxa"/>
                  <w:shd w:val="clear" w:color="auto" w:fill="auto"/>
                  <w:noWrap w:val="0"/>
                  <w:vAlign w:val="center"/>
                </w:tcPr>
                <w:p w14:paraId="26F3E0C5">
                  <w:pPr>
                    <w:jc w:val="center"/>
                    <w:rPr>
                      <w:rFonts w:hint="default" w:ascii="Times New Roman" w:hAnsi="Times New Roman" w:eastAsia="宋体" w:cs="Times New Roman"/>
                      <w:bCs/>
                      <w:kern w:val="2"/>
                      <w:sz w:val="21"/>
                      <w:szCs w:val="21"/>
                      <w:lang w:val="en-US" w:eastAsia="zh-CN" w:bidi="ar-SA"/>
                    </w:rPr>
                  </w:pPr>
                  <w:r>
                    <w:rPr>
                      <w:rFonts w:hint="eastAsia" w:cs="Times New Roman"/>
                      <w:bCs/>
                      <w:sz w:val="21"/>
                      <w:szCs w:val="21"/>
                      <w:lang w:val="en-US" w:eastAsia="zh-CN"/>
                    </w:rPr>
                    <w:t>依托现有车间，重新优化布局</w:t>
                  </w:r>
                </w:p>
              </w:tc>
            </w:tr>
            <w:tr w14:paraId="3B0C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restart"/>
                  <w:noWrap w:val="0"/>
                  <w:vAlign w:val="center"/>
                </w:tcPr>
                <w:p w14:paraId="5EF25716">
                  <w:pPr>
                    <w:jc w:val="center"/>
                    <w:rPr>
                      <w:rFonts w:hint="default" w:ascii="Times New Roman" w:hAnsi="Times New Roman" w:cs="Times New Roman"/>
                      <w:bCs/>
                      <w:sz w:val="21"/>
                      <w:szCs w:val="21"/>
                    </w:rPr>
                  </w:pPr>
                  <w:r>
                    <w:rPr>
                      <w:rFonts w:hint="default" w:ascii="Times New Roman" w:hAnsi="Times New Roman" w:cs="Times New Roman"/>
                      <w:bCs/>
                      <w:sz w:val="21"/>
                      <w:szCs w:val="21"/>
                    </w:rPr>
                    <w:t>公用工程</w:t>
                  </w:r>
                </w:p>
              </w:tc>
              <w:tc>
                <w:tcPr>
                  <w:tcW w:w="749" w:type="dxa"/>
                  <w:gridSpan w:val="2"/>
                  <w:noWrap w:val="0"/>
                  <w:vAlign w:val="center"/>
                </w:tcPr>
                <w:p w14:paraId="5DFF5A43">
                  <w:pPr>
                    <w:jc w:val="center"/>
                    <w:rPr>
                      <w:rFonts w:hint="default" w:ascii="Times New Roman" w:hAnsi="Times New Roman" w:cs="Times New Roman"/>
                      <w:sz w:val="21"/>
                      <w:szCs w:val="21"/>
                    </w:rPr>
                  </w:pPr>
                  <w:r>
                    <w:rPr>
                      <w:rFonts w:hint="default" w:ascii="Times New Roman" w:hAnsi="Times New Roman" w:cs="Times New Roman"/>
                      <w:bCs/>
                      <w:sz w:val="21"/>
                      <w:szCs w:val="21"/>
                    </w:rPr>
                    <w:t>给水</w:t>
                  </w:r>
                </w:p>
              </w:tc>
              <w:tc>
                <w:tcPr>
                  <w:tcW w:w="1860" w:type="dxa"/>
                  <w:noWrap w:val="0"/>
                  <w:vAlign w:val="center"/>
                </w:tcPr>
                <w:p w14:paraId="3D7A8D5E">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themeColor="text1"/>
                      <w:sz w:val="21"/>
                      <w:szCs w:val="21"/>
                      <w14:textFill>
                        <w14:solidFill>
                          <w14:schemeClr w14:val="tx1"/>
                        </w14:solidFill>
                      </w14:textFill>
                    </w:rPr>
                    <w:t>市政供水管网</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用水量600</w:t>
                  </w:r>
                  <w:r>
                    <w:rPr>
                      <w:rFonts w:hint="default" w:ascii="Times New Roman" w:hAnsi="Times New Roman" w:cs="Times New Roman"/>
                      <w:color w:val="000000"/>
                      <w:sz w:val="21"/>
                      <w:szCs w:val="21"/>
                      <w:lang w:val="en-US" w:eastAsia="zh-CN"/>
                    </w:rPr>
                    <w:t>t/a</w:t>
                  </w:r>
                  <w:r>
                    <w:rPr>
                      <w:rFonts w:hint="eastAsia" w:cs="Times New Roman"/>
                      <w:color w:val="000000"/>
                      <w:sz w:val="21"/>
                      <w:szCs w:val="21"/>
                      <w:lang w:val="en-US" w:eastAsia="zh-CN"/>
                    </w:rPr>
                    <w:t>。</w:t>
                  </w:r>
                </w:p>
              </w:tc>
              <w:tc>
                <w:tcPr>
                  <w:tcW w:w="2017" w:type="dxa"/>
                  <w:noWrap w:val="0"/>
                  <w:vAlign w:val="center"/>
                </w:tcPr>
                <w:p w14:paraId="08CA7811">
                  <w:pPr>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新增</w:t>
                  </w:r>
                  <w:r>
                    <w:rPr>
                      <w:rFonts w:hint="default" w:ascii="Times New Roman" w:hAnsi="Times New Roman" w:cs="Times New Roman"/>
                      <w:bCs/>
                      <w:color w:val="000000" w:themeColor="text1"/>
                      <w:sz w:val="21"/>
                      <w:szCs w:val="21"/>
                      <w14:textFill>
                        <w14:solidFill>
                          <w14:schemeClr w14:val="tx1"/>
                        </w14:solidFill>
                      </w14:textFill>
                    </w:rPr>
                    <w:t>用水</w:t>
                  </w:r>
                  <w:r>
                    <w:rPr>
                      <w:rFonts w:hint="eastAsia" w:cs="Times New Roman"/>
                      <w:bCs/>
                      <w:color w:val="000000" w:themeColor="text1"/>
                      <w:sz w:val="21"/>
                      <w:szCs w:val="21"/>
                      <w:lang w:val="en-US" w:eastAsia="zh-CN"/>
                      <w14:textFill>
                        <w14:solidFill>
                          <w14:schemeClr w14:val="tx1"/>
                        </w14:solidFill>
                      </w14:textFill>
                    </w:rPr>
                    <w:t>152</w:t>
                  </w:r>
                  <w:r>
                    <w:rPr>
                      <w:rFonts w:hint="default" w:ascii="Times New Roman" w:hAnsi="Times New Roman" w:cs="Times New Roman"/>
                      <w:color w:val="000000"/>
                      <w:sz w:val="21"/>
                      <w:szCs w:val="21"/>
                      <w:lang w:val="en-US" w:eastAsia="zh-CN"/>
                    </w:rPr>
                    <w:t>t/a</w:t>
                  </w:r>
                  <w:r>
                    <w:rPr>
                      <w:rFonts w:hint="eastAsia" w:cs="Times New Roman"/>
                      <w:color w:val="000000"/>
                      <w:sz w:val="21"/>
                      <w:szCs w:val="21"/>
                      <w:lang w:val="en-US" w:eastAsia="zh-CN"/>
                    </w:rPr>
                    <w:t>。</w:t>
                  </w:r>
                </w:p>
              </w:tc>
              <w:tc>
                <w:tcPr>
                  <w:tcW w:w="2043" w:type="dxa"/>
                  <w:noWrap w:val="0"/>
                  <w:vAlign w:val="center"/>
                </w:tcPr>
                <w:p w14:paraId="034DC38E">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市政供水管网</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用水量752</w:t>
                  </w:r>
                  <w:r>
                    <w:rPr>
                      <w:rFonts w:hint="default" w:ascii="Times New Roman" w:hAnsi="Times New Roman" w:cs="Times New Roman"/>
                      <w:color w:val="000000"/>
                      <w:sz w:val="21"/>
                      <w:szCs w:val="21"/>
                      <w:lang w:val="en-US" w:eastAsia="zh-CN"/>
                    </w:rPr>
                    <w:t>t/a</w:t>
                  </w:r>
                  <w:r>
                    <w:rPr>
                      <w:rFonts w:hint="eastAsia" w:cs="Times New Roman"/>
                      <w:color w:val="000000"/>
                      <w:sz w:val="21"/>
                      <w:szCs w:val="21"/>
                      <w:lang w:val="en-US" w:eastAsia="zh-CN"/>
                    </w:rPr>
                    <w:t>。</w:t>
                  </w:r>
                </w:p>
              </w:tc>
              <w:tc>
                <w:tcPr>
                  <w:tcW w:w="855" w:type="dxa"/>
                  <w:vMerge w:val="restart"/>
                  <w:noWrap w:val="0"/>
                  <w:vAlign w:val="center"/>
                </w:tcPr>
                <w:p w14:paraId="5E8303A8">
                  <w:pPr>
                    <w:jc w:val="center"/>
                    <w:rPr>
                      <w:rFonts w:hint="default" w:ascii="Times New Roman" w:hAnsi="Times New Roman" w:eastAsia="宋体" w:cs="Times New Roman"/>
                      <w:sz w:val="21"/>
                      <w:szCs w:val="21"/>
                      <w:lang w:val="en-US" w:eastAsia="zh-CN"/>
                    </w:rPr>
                  </w:pPr>
                  <w:r>
                    <w:rPr>
                      <w:rFonts w:hint="eastAsia" w:cs="Times New Roman"/>
                      <w:bCs/>
                      <w:color w:val="000000" w:themeColor="text1"/>
                      <w:sz w:val="21"/>
                      <w:szCs w:val="21"/>
                      <w:lang w:val="en-US" w:eastAsia="zh-CN"/>
                      <w14:textFill>
                        <w14:solidFill>
                          <w14:schemeClr w14:val="tx1"/>
                        </w14:solidFill>
                      </w14:textFill>
                    </w:rPr>
                    <w:t>依托现有给排水管网</w:t>
                  </w:r>
                </w:p>
              </w:tc>
            </w:tr>
            <w:tr w14:paraId="311C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continue"/>
                  <w:noWrap w:val="0"/>
                  <w:vAlign w:val="center"/>
                </w:tcPr>
                <w:p w14:paraId="35259659">
                  <w:pPr>
                    <w:jc w:val="center"/>
                    <w:rPr>
                      <w:rFonts w:hint="default" w:ascii="Times New Roman" w:hAnsi="Times New Roman" w:cs="Times New Roman"/>
                      <w:bCs/>
                      <w:sz w:val="21"/>
                      <w:szCs w:val="21"/>
                    </w:rPr>
                  </w:pPr>
                </w:p>
              </w:tc>
              <w:tc>
                <w:tcPr>
                  <w:tcW w:w="749" w:type="dxa"/>
                  <w:gridSpan w:val="2"/>
                  <w:noWrap w:val="0"/>
                  <w:vAlign w:val="center"/>
                </w:tcPr>
                <w:p w14:paraId="0502E7E4">
                  <w:pPr>
                    <w:jc w:val="center"/>
                    <w:rPr>
                      <w:rFonts w:hint="default" w:ascii="Times New Roman" w:hAnsi="Times New Roman" w:cs="Times New Roman"/>
                      <w:sz w:val="21"/>
                      <w:szCs w:val="21"/>
                    </w:rPr>
                  </w:pPr>
                  <w:r>
                    <w:rPr>
                      <w:rFonts w:hint="default" w:ascii="Times New Roman" w:hAnsi="Times New Roman" w:cs="Times New Roman"/>
                      <w:bCs/>
                      <w:sz w:val="21"/>
                      <w:szCs w:val="21"/>
                    </w:rPr>
                    <w:t>排水</w:t>
                  </w:r>
                </w:p>
              </w:tc>
              <w:tc>
                <w:tcPr>
                  <w:tcW w:w="1860" w:type="dxa"/>
                  <w:noWrap w:val="0"/>
                  <w:vAlign w:val="center"/>
                </w:tcPr>
                <w:p w14:paraId="4A227096">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生活污水</w:t>
                  </w:r>
                  <w:r>
                    <w:rPr>
                      <w:rFonts w:hint="eastAsia" w:cs="Times New Roman"/>
                      <w:sz w:val="21"/>
                      <w:szCs w:val="21"/>
                      <w:lang w:val="en-US" w:eastAsia="zh-CN"/>
                    </w:rPr>
                    <w:t>（480</w:t>
                  </w:r>
                  <w:r>
                    <w:rPr>
                      <w:rFonts w:hint="default" w:ascii="Times New Roman" w:hAnsi="Times New Roman" w:cs="Times New Roman"/>
                      <w:color w:val="000000"/>
                      <w:sz w:val="21"/>
                      <w:szCs w:val="21"/>
                      <w:lang w:val="en-US" w:eastAsia="zh-CN"/>
                    </w:rPr>
                    <w:t>t/a</w:t>
                  </w:r>
                  <w:r>
                    <w:rPr>
                      <w:rFonts w:hint="eastAsia" w:cs="Times New Roman"/>
                      <w:sz w:val="21"/>
                      <w:szCs w:val="21"/>
                      <w:lang w:val="en-US" w:eastAsia="zh-CN"/>
                    </w:rPr>
                    <w:t>）</w:t>
                  </w:r>
                  <w:r>
                    <w:rPr>
                      <w:rFonts w:hint="default" w:ascii="Times New Roman" w:hAnsi="Times New Roman" w:cs="Times New Roman"/>
                      <w:sz w:val="21"/>
                      <w:szCs w:val="21"/>
                      <w:lang w:val="en-US" w:eastAsia="zh-CN"/>
                    </w:rPr>
                    <w:t>经化粪池</w:t>
                  </w:r>
                  <w:r>
                    <w:rPr>
                      <w:rFonts w:hint="eastAsia" w:cs="Times New Roman"/>
                      <w:sz w:val="21"/>
                      <w:szCs w:val="21"/>
                      <w:lang w:val="en-US" w:eastAsia="zh-CN"/>
                    </w:rPr>
                    <w:t>预</w:t>
                  </w:r>
                  <w:r>
                    <w:rPr>
                      <w:rFonts w:hint="default" w:ascii="Times New Roman" w:hAnsi="Times New Roman" w:cs="Times New Roman"/>
                      <w:sz w:val="21"/>
                      <w:szCs w:val="21"/>
                      <w:lang w:val="en-US" w:eastAsia="zh-CN"/>
                    </w:rPr>
                    <w:t>处理后达标</w:t>
                  </w:r>
                  <w:r>
                    <w:rPr>
                      <w:rFonts w:hint="eastAsia" w:cs="Times New Roman"/>
                      <w:sz w:val="21"/>
                      <w:szCs w:val="21"/>
                      <w:lang w:val="en-US" w:eastAsia="zh-CN"/>
                    </w:rPr>
                    <w:t>排入淮北龙湖工业园污水处理厂</w:t>
                  </w:r>
                  <w:r>
                    <w:rPr>
                      <w:rFonts w:hint="default" w:ascii="Times New Roman" w:hAnsi="Times New Roman" w:cs="Times New Roman"/>
                      <w:sz w:val="21"/>
                      <w:szCs w:val="21"/>
                    </w:rPr>
                    <w:t>。</w:t>
                  </w:r>
                </w:p>
              </w:tc>
              <w:tc>
                <w:tcPr>
                  <w:tcW w:w="2017" w:type="dxa"/>
                  <w:shd w:val="clear" w:color="auto" w:fill="auto"/>
                  <w:noWrap w:val="0"/>
                  <w:vAlign w:val="center"/>
                </w:tcPr>
                <w:p w14:paraId="36728CF7">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新增生活污水</w:t>
                  </w:r>
                  <w:r>
                    <w:rPr>
                      <w:rFonts w:hint="eastAsia" w:cs="Times New Roman"/>
                      <w:bCs/>
                      <w:color w:val="000000" w:themeColor="text1"/>
                      <w:sz w:val="21"/>
                      <w:szCs w:val="21"/>
                      <w:lang w:val="en-US" w:eastAsia="zh-CN"/>
                      <w14:textFill>
                        <w14:solidFill>
                          <w14:schemeClr w14:val="tx1"/>
                        </w14:solidFill>
                      </w14:textFill>
                    </w:rPr>
                    <w:t>120</w:t>
                  </w:r>
                  <w:r>
                    <w:rPr>
                      <w:rFonts w:hint="default" w:ascii="Times New Roman" w:hAnsi="Times New Roman" w:cs="Times New Roman"/>
                      <w:color w:val="000000"/>
                      <w:sz w:val="21"/>
                      <w:szCs w:val="21"/>
                      <w:lang w:val="en-US" w:eastAsia="zh-CN"/>
                    </w:rPr>
                    <w:t>t/a</w:t>
                  </w:r>
                  <w:r>
                    <w:rPr>
                      <w:rFonts w:hint="eastAsia" w:cs="Times New Roman"/>
                      <w:color w:val="000000"/>
                      <w:sz w:val="21"/>
                      <w:szCs w:val="21"/>
                      <w:lang w:val="en-US" w:eastAsia="zh-CN"/>
                    </w:rPr>
                    <w:t>。</w:t>
                  </w:r>
                </w:p>
              </w:tc>
              <w:tc>
                <w:tcPr>
                  <w:tcW w:w="2043" w:type="dxa"/>
                  <w:noWrap w:val="0"/>
                  <w:vAlign w:val="center"/>
                </w:tcPr>
                <w:p w14:paraId="09BCE1C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生活污水</w:t>
                  </w:r>
                  <w:r>
                    <w:rPr>
                      <w:rFonts w:hint="eastAsia" w:cs="Times New Roman"/>
                      <w:sz w:val="21"/>
                      <w:szCs w:val="21"/>
                      <w:lang w:val="en-US" w:eastAsia="zh-CN"/>
                    </w:rPr>
                    <w:t>（600</w:t>
                  </w:r>
                  <w:r>
                    <w:rPr>
                      <w:rFonts w:hint="default" w:ascii="Times New Roman" w:hAnsi="Times New Roman" w:cs="Times New Roman"/>
                      <w:color w:val="000000"/>
                      <w:sz w:val="21"/>
                      <w:szCs w:val="21"/>
                      <w:lang w:val="en-US" w:eastAsia="zh-CN"/>
                    </w:rPr>
                    <w:t>t/a</w:t>
                  </w:r>
                  <w:r>
                    <w:rPr>
                      <w:rFonts w:hint="eastAsia" w:cs="Times New Roman"/>
                      <w:sz w:val="21"/>
                      <w:szCs w:val="21"/>
                      <w:lang w:val="en-US" w:eastAsia="zh-CN"/>
                    </w:rPr>
                    <w:t>）</w:t>
                  </w:r>
                  <w:r>
                    <w:rPr>
                      <w:rFonts w:hint="default" w:ascii="Times New Roman" w:hAnsi="Times New Roman" w:cs="Times New Roman"/>
                      <w:sz w:val="21"/>
                      <w:szCs w:val="21"/>
                      <w:lang w:val="en-US" w:eastAsia="zh-CN"/>
                    </w:rPr>
                    <w:t>经化粪池</w:t>
                  </w:r>
                  <w:r>
                    <w:rPr>
                      <w:rFonts w:hint="eastAsia" w:cs="Times New Roman"/>
                      <w:sz w:val="21"/>
                      <w:szCs w:val="21"/>
                      <w:lang w:val="en-US" w:eastAsia="zh-CN"/>
                    </w:rPr>
                    <w:t>预</w:t>
                  </w:r>
                  <w:r>
                    <w:rPr>
                      <w:rFonts w:hint="default" w:ascii="Times New Roman" w:hAnsi="Times New Roman" w:cs="Times New Roman"/>
                      <w:sz w:val="21"/>
                      <w:szCs w:val="21"/>
                      <w:lang w:val="en-US" w:eastAsia="zh-CN"/>
                    </w:rPr>
                    <w:t>处理后达标</w:t>
                  </w:r>
                  <w:r>
                    <w:rPr>
                      <w:rFonts w:hint="eastAsia" w:cs="Times New Roman"/>
                      <w:sz w:val="21"/>
                      <w:szCs w:val="21"/>
                      <w:lang w:val="en-US" w:eastAsia="zh-CN"/>
                    </w:rPr>
                    <w:t>排入淮北龙湖工业园污水处理厂</w:t>
                  </w:r>
                  <w:r>
                    <w:rPr>
                      <w:rFonts w:hint="default" w:ascii="Times New Roman" w:hAnsi="Times New Roman" w:cs="Times New Roman"/>
                      <w:sz w:val="21"/>
                      <w:szCs w:val="21"/>
                    </w:rPr>
                    <w:t>。</w:t>
                  </w:r>
                </w:p>
              </w:tc>
              <w:tc>
                <w:tcPr>
                  <w:tcW w:w="855" w:type="dxa"/>
                  <w:vMerge w:val="continue"/>
                  <w:noWrap w:val="0"/>
                  <w:vAlign w:val="center"/>
                </w:tcPr>
                <w:p w14:paraId="34DB24DE">
                  <w:pPr>
                    <w:jc w:val="center"/>
                    <w:rPr>
                      <w:rFonts w:hint="default" w:ascii="Times New Roman" w:hAnsi="Times New Roman" w:cs="Times New Roman"/>
                      <w:sz w:val="21"/>
                      <w:szCs w:val="21"/>
                      <w:lang w:val="en-US"/>
                    </w:rPr>
                  </w:pPr>
                </w:p>
              </w:tc>
            </w:tr>
            <w:tr w14:paraId="3CDB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continue"/>
                  <w:noWrap w:val="0"/>
                  <w:vAlign w:val="center"/>
                </w:tcPr>
                <w:p w14:paraId="05F7EFC1">
                  <w:pPr>
                    <w:jc w:val="center"/>
                    <w:rPr>
                      <w:rFonts w:hint="default" w:ascii="Times New Roman" w:hAnsi="Times New Roman" w:cs="Times New Roman"/>
                      <w:bCs/>
                      <w:sz w:val="21"/>
                      <w:szCs w:val="21"/>
                    </w:rPr>
                  </w:pPr>
                </w:p>
              </w:tc>
              <w:tc>
                <w:tcPr>
                  <w:tcW w:w="749" w:type="dxa"/>
                  <w:gridSpan w:val="2"/>
                  <w:noWrap w:val="0"/>
                  <w:vAlign w:val="center"/>
                </w:tcPr>
                <w:p w14:paraId="7A167B6E">
                  <w:pPr>
                    <w:jc w:val="center"/>
                    <w:rPr>
                      <w:rFonts w:hint="default" w:ascii="Times New Roman" w:hAnsi="Times New Roman" w:cs="Times New Roman"/>
                      <w:sz w:val="21"/>
                      <w:szCs w:val="21"/>
                    </w:rPr>
                  </w:pPr>
                  <w:r>
                    <w:rPr>
                      <w:rFonts w:hint="default" w:ascii="Times New Roman" w:hAnsi="Times New Roman" w:cs="Times New Roman"/>
                      <w:bCs/>
                      <w:sz w:val="21"/>
                      <w:szCs w:val="21"/>
                    </w:rPr>
                    <w:t>供电</w:t>
                  </w:r>
                </w:p>
              </w:tc>
              <w:tc>
                <w:tcPr>
                  <w:tcW w:w="1860" w:type="dxa"/>
                  <w:noWrap w:val="0"/>
                  <w:vAlign w:val="center"/>
                </w:tcPr>
                <w:p w14:paraId="3D94A1C8">
                  <w:pPr>
                    <w:jc w:val="center"/>
                    <w:rPr>
                      <w:rFonts w:hint="eastAsia" w:ascii="Times New Roman" w:hAnsi="Times New Roman" w:eastAsia="宋体" w:cs="Times New Roman"/>
                      <w:sz w:val="21"/>
                      <w:szCs w:val="21"/>
                      <w:lang w:val="en-US" w:eastAsia="zh-CN"/>
                    </w:rPr>
                  </w:pPr>
                  <w:r>
                    <w:rPr>
                      <w:rFonts w:hint="default" w:ascii="Times New Roman" w:hAnsi="Times New Roman" w:cs="Times New Roman"/>
                      <w:bCs/>
                      <w:color w:val="000000" w:themeColor="text1"/>
                      <w:sz w:val="21"/>
                      <w:szCs w:val="21"/>
                      <w14:textFill>
                        <w14:solidFill>
                          <w14:schemeClr w14:val="tx1"/>
                        </w14:solidFill>
                      </w14:textFill>
                    </w:rPr>
                    <w:t>市政供电系统供应</w:t>
                  </w:r>
                  <w:r>
                    <w:rPr>
                      <w:rFonts w:hint="eastAsia" w:cs="Times New Roman"/>
                      <w:bCs/>
                      <w:color w:val="000000" w:themeColor="text1"/>
                      <w:sz w:val="21"/>
                      <w:szCs w:val="21"/>
                      <w:lang w:eastAsia="zh-CN"/>
                      <w14:textFill>
                        <w14:solidFill>
                          <w14:schemeClr w14:val="tx1"/>
                        </w14:solidFill>
                      </w14:textFill>
                    </w:rPr>
                    <w:t>，</w:t>
                  </w:r>
                  <w:r>
                    <w:rPr>
                      <w:rFonts w:hint="eastAsia"/>
                      <w:color w:val="000000"/>
                      <w:kern w:val="0"/>
                      <w:sz w:val="22"/>
                      <w:szCs w:val="22"/>
                      <w:lang w:val="en-US" w:eastAsia="zh-CN"/>
                    </w:rPr>
                    <w:t>年用电量约1</w:t>
                  </w:r>
                  <w:r>
                    <w:rPr>
                      <w:rFonts w:hint="eastAsia" w:ascii="Times New Roman" w:hAnsi="Times New Roman" w:eastAsia="宋体"/>
                      <w:color w:val="000000"/>
                      <w:kern w:val="0"/>
                      <w:sz w:val="22"/>
                      <w:szCs w:val="22"/>
                      <w:lang w:val="en-US" w:eastAsia="zh-CN"/>
                    </w:rPr>
                    <w:t>0万kWh</w:t>
                  </w:r>
                  <w:r>
                    <w:rPr>
                      <w:rFonts w:hint="eastAsia"/>
                      <w:color w:val="000000"/>
                      <w:kern w:val="0"/>
                      <w:sz w:val="22"/>
                      <w:szCs w:val="22"/>
                      <w:lang w:val="en-US" w:eastAsia="zh-CN"/>
                    </w:rPr>
                    <w:t>。</w:t>
                  </w:r>
                </w:p>
              </w:tc>
              <w:tc>
                <w:tcPr>
                  <w:tcW w:w="2017" w:type="dxa"/>
                  <w:noWrap w:val="0"/>
                  <w:vAlign w:val="center"/>
                </w:tcPr>
                <w:p w14:paraId="217A1467">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新增用电量5万kWh/年。</w:t>
                  </w:r>
                </w:p>
              </w:tc>
              <w:tc>
                <w:tcPr>
                  <w:tcW w:w="2043" w:type="dxa"/>
                  <w:noWrap w:val="0"/>
                  <w:vAlign w:val="center"/>
                </w:tcPr>
                <w:p w14:paraId="750CE2D2">
                  <w:pPr>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市政供电系统供应</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，年用电量约</w:t>
                  </w:r>
                  <w:r>
                    <w:rPr>
                      <w:rFonts w:hint="eastAsia" w:cs="Times New Roman"/>
                      <w:bCs/>
                      <w:color w:val="000000" w:themeColor="text1"/>
                      <w:sz w:val="21"/>
                      <w:szCs w:val="21"/>
                      <w:lang w:val="en-US" w:eastAsia="zh-CN"/>
                      <w14:textFill>
                        <w14:solidFill>
                          <w14:schemeClr w14:val="tx1"/>
                        </w14:solidFill>
                      </w14:textFill>
                    </w:rPr>
                    <w:t>15</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万kWh。</w:t>
                  </w:r>
                </w:p>
              </w:tc>
              <w:tc>
                <w:tcPr>
                  <w:tcW w:w="855" w:type="dxa"/>
                  <w:noWrap w:val="0"/>
                  <w:vAlign w:val="center"/>
                </w:tcPr>
                <w:p w14:paraId="61760202">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依托现有供电系统</w:t>
                  </w:r>
                </w:p>
              </w:tc>
            </w:tr>
            <w:tr w14:paraId="4630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082" w:hRule="atLeast"/>
                <w:jc w:val="center"/>
              </w:trPr>
              <w:tc>
                <w:tcPr>
                  <w:tcW w:w="463" w:type="dxa"/>
                  <w:vMerge w:val="restart"/>
                  <w:noWrap w:val="0"/>
                  <w:vAlign w:val="center"/>
                </w:tcPr>
                <w:p w14:paraId="6E39380D">
                  <w:pPr>
                    <w:jc w:val="center"/>
                    <w:rPr>
                      <w:rFonts w:hint="eastAsia" w:eastAsia="宋体"/>
                      <w:sz w:val="21"/>
                      <w:szCs w:val="21"/>
                      <w:lang w:val="en-US" w:eastAsia="zh-CN"/>
                    </w:rPr>
                  </w:pPr>
                  <w:r>
                    <w:rPr>
                      <w:rFonts w:hint="eastAsia"/>
                      <w:sz w:val="21"/>
                      <w:szCs w:val="21"/>
                      <w:lang w:val="en-US" w:eastAsia="zh-CN"/>
                    </w:rPr>
                    <w:t>环保工程</w:t>
                  </w:r>
                </w:p>
              </w:tc>
              <w:tc>
                <w:tcPr>
                  <w:tcW w:w="749" w:type="dxa"/>
                  <w:gridSpan w:val="2"/>
                  <w:noWrap w:val="0"/>
                  <w:vAlign w:val="center"/>
                </w:tcPr>
                <w:p w14:paraId="571364F1">
                  <w:pPr>
                    <w:jc w:val="center"/>
                    <w:rPr>
                      <w:rFonts w:hint="eastAsia" w:eastAsia="宋体"/>
                      <w:sz w:val="21"/>
                      <w:szCs w:val="21"/>
                      <w:lang w:val="en-US" w:eastAsia="zh-CN"/>
                    </w:rPr>
                  </w:pPr>
                  <w:r>
                    <w:rPr>
                      <w:rFonts w:hint="eastAsia"/>
                      <w:sz w:val="21"/>
                      <w:szCs w:val="21"/>
                      <w:lang w:val="en-US" w:eastAsia="zh-CN"/>
                    </w:rPr>
                    <w:t>废气</w:t>
                  </w:r>
                </w:p>
              </w:tc>
              <w:tc>
                <w:tcPr>
                  <w:tcW w:w="1860" w:type="dxa"/>
                  <w:noWrap w:val="0"/>
                  <w:vAlign w:val="center"/>
                </w:tcPr>
                <w:p w14:paraId="6A0262D6">
                  <w:pPr>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焊接烟尘经烟尘净化器收集处理后无组织排放。</w:t>
                  </w:r>
                </w:p>
              </w:tc>
              <w:tc>
                <w:tcPr>
                  <w:tcW w:w="2017" w:type="dxa"/>
                  <w:noWrap w:val="0"/>
                  <w:vAlign w:val="center"/>
                </w:tcPr>
                <w:p w14:paraId="6EE7EF13">
                  <w:pPr>
                    <w:jc w:val="center"/>
                    <w:rPr>
                      <w:rFonts w:hint="eastAsia" w:cs="Times New Roman"/>
                      <w:sz w:val="21"/>
                      <w:szCs w:val="21"/>
                      <w:highlight w:val="none"/>
                      <w:lang w:val="en-US" w:eastAsia="zh-CN"/>
                    </w:rPr>
                  </w:pPr>
                  <w:r>
                    <w:rPr>
                      <w:rFonts w:hint="default" w:ascii="Times New Roman" w:hAnsi="Times New Roman" w:cs="Times New Roman"/>
                      <w:sz w:val="21"/>
                      <w:szCs w:val="21"/>
                      <w:highlight w:val="none"/>
                      <w:lang w:val="en-US" w:eastAsia="zh-CN"/>
                    </w:rPr>
                    <w:t>喷漆</w:t>
                  </w:r>
                  <w:r>
                    <w:rPr>
                      <w:rFonts w:hint="eastAsia" w:cs="Times New Roman"/>
                      <w:sz w:val="21"/>
                      <w:szCs w:val="21"/>
                      <w:highlight w:val="none"/>
                      <w:lang w:val="en-US" w:eastAsia="zh-CN"/>
                    </w:rPr>
                    <w:t>（含喷枪清洗、调漆</w:t>
                  </w:r>
                  <w:r>
                    <w:rPr>
                      <w:rFonts w:hint="eastAsia" w:cs="Times New Roman"/>
                      <w:b w:val="0"/>
                      <w:bCs/>
                      <w:sz w:val="21"/>
                      <w:szCs w:val="21"/>
                      <w:vertAlign w:val="baseline"/>
                      <w:lang w:val="en-US" w:eastAsia="zh-CN"/>
                    </w:rPr>
                    <w:t>、晾干</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浇注固化</w:t>
                  </w:r>
                  <w:r>
                    <w:rPr>
                      <w:rFonts w:hint="eastAsia" w:cs="Times New Roman"/>
                      <w:sz w:val="21"/>
                      <w:szCs w:val="21"/>
                      <w:highlight w:val="none"/>
                      <w:lang w:val="en-US" w:eastAsia="zh-CN"/>
                    </w:rPr>
                    <w:t>、烘干</w:t>
                  </w:r>
                  <w:r>
                    <w:rPr>
                      <w:rFonts w:hint="default" w:ascii="Times New Roman" w:hAnsi="Times New Roman" w:cs="Times New Roman"/>
                      <w:sz w:val="21"/>
                      <w:szCs w:val="21"/>
                      <w:highlight w:val="none"/>
                      <w:lang w:val="en-US" w:eastAsia="zh-CN"/>
                    </w:rPr>
                    <w:t>工序产生的</w:t>
                  </w:r>
                  <w:r>
                    <w:rPr>
                      <w:rFonts w:hint="eastAsia" w:cs="Times New Roman"/>
                      <w:sz w:val="21"/>
                      <w:szCs w:val="21"/>
                      <w:highlight w:val="none"/>
                      <w:lang w:val="en-US" w:eastAsia="zh-CN"/>
                    </w:rPr>
                    <w:t>废气</w:t>
                  </w:r>
                  <w:r>
                    <w:rPr>
                      <w:rFonts w:hint="default" w:ascii="Times New Roman" w:hAnsi="Times New Roman" w:cs="Times New Roman"/>
                      <w:sz w:val="21"/>
                      <w:szCs w:val="21"/>
                      <w:highlight w:val="none"/>
                      <w:lang w:val="en-US" w:eastAsia="zh-CN"/>
                    </w:rPr>
                    <w:t>采取空间密闭+管道负压收集，经</w:t>
                  </w:r>
                  <w:r>
                    <w:rPr>
                      <w:rFonts w:hint="eastAsia" w:cs="Times New Roman"/>
                      <w:sz w:val="21"/>
                      <w:szCs w:val="21"/>
                      <w:highlight w:val="none"/>
                      <w:lang w:val="en-US" w:eastAsia="zh-CN"/>
                    </w:rPr>
                    <w:t>过滤棉+吸附脱附催化燃烧</w:t>
                  </w:r>
                  <w:r>
                    <w:rPr>
                      <w:rFonts w:hint="default" w:ascii="Times New Roman" w:hAnsi="Times New Roman" w:cs="Times New Roman"/>
                      <w:sz w:val="21"/>
                      <w:szCs w:val="21"/>
                      <w:highlight w:val="none"/>
                      <w:lang w:val="en-US" w:eastAsia="zh-CN"/>
                    </w:rPr>
                    <w:t>处理后，最终通过2</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米高排气筒</w:t>
                  </w:r>
                  <w:r>
                    <w:rPr>
                      <w:rFonts w:hint="eastAsia" w:cs="Times New Roman"/>
                      <w:sz w:val="21"/>
                      <w:szCs w:val="21"/>
                      <w:highlight w:val="none"/>
                      <w:shd w:val="clear"/>
                      <w:lang w:val="en-US" w:eastAsia="zh-CN"/>
                    </w:rPr>
                    <w:t>（DA001）</w:t>
                  </w:r>
                  <w:r>
                    <w:rPr>
                      <w:rFonts w:hint="default" w:ascii="Times New Roman" w:hAnsi="Times New Roman" w:cs="Times New Roman"/>
                      <w:sz w:val="21"/>
                      <w:szCs w:val="21"/>
                      <w:highlight w:val="none"/>
                      <w:lang w:val="en-US" w:eastAsia="zh-CN"/>
                    </w:rPr>
                    <w:t>达标排放</w:t>
                  </w:r>
                  <w:r>
                    <w:rPr>
                      <w:rFonts w:hint="default" w:ascii="Times New Roman" w:hAnsi="Times New Roman" w:cs="Times New Roman"/>
                      <w:sz w:val="21"/>
                      <w:szCs w:val="21"/>
                      <w:highlight w:val="none"/>
                      <w:shd w:val="clear"/>
                      <w:lang w:val="en-US" w:eastAsia="zh-CN"/>
                    </w:rPr>
                    <w:t>。</w:t>
                  </w:r>
                  <w:r>
                    <w:rPr>
                      <w:rFonts w:hint="eastAsia" w:cs="Times New Roman"/>
                      <w:sz w:val="21"/>
                      <w:szCs w:val="21"/>
                      <w:highlight w:val="none"/>
                      <w:lang w:val="en-US" w:eastAsia="zh-CN"/>
                    </w:rPr>
                    <w:t>喷塑</w:t>
                  </w:r>
                  <w:r>
                    <w:rPr>
                      <w:rFonts w:hint="default" w:ascii="Times New Roman" w:hAnsi="Times New Roman" w:cs="Times New Roman"/>
                      <w:sz w:val="21"/>
                      <w:szCs w:val="21"/>
                      <w:highlight w:val="none"/>
                      <w:lang w:val="en-US" w:eastAsia="zh-CN"/>
                    </w:rPr>
                    <w:t>产生的</w:t>
                  </w:r>
                  <w:r>
                    <w:rPr>
                      <w:rFonts w:hint="eastAsia" w:ascii="Times New Roman" w:hAnsi="Times New Roman" w:cs="Times New Roman"/>
                      <w:sz w:val="21"/>
                      <w:szCs w:val="21"/>
                      <w:highlight w:val="none"/>
                      <w:lang w:val="en-US" w:eastAsia="zh-CN"/>
                    </w:rPr>
                    <w:t>废气经</w:t>
                  </w:r>
                  <w:r>
                    <w:rPr>
                      <w:rFonts w:hint="eastAsia" w:cs="Times New Roman"/>
                      <w:sz w:val="21"/>
                      <w:szCs w:val="21"/>
                      <w:highlight w:val="none"/>
                      <w:lang w:val="en-US" w:eastAsia="zh-CN"/>
                    </w:rPr>
                    <w:t>滤筒</w:t>
                  </w:r>
                  <w:r>
                    <w:rPr>
                      <w:rFonts w:hint="eastAsia" w:ascii="Times New Roman" w:hAnsi="Times New Roman" w:cs="Times New Roman"/>
                      <w:sz w:val="21"/>
                      <w:szCs w:val="21"/>
                      <w:highlight w:val="none"/>
                      <w:lang w:val="en-US" w:eastAsia="zh-CN"/>
                    </w:rPr>
                    <w:t>除尘处理后与经过布袋除尘器处理后的</w:t>
                  </w:r>
                  <w:r>
                    <w:rPr>
                      <w:rFonts w:hint="eastAsia" w:cs="Times New Roman"/>
                      <w:sz w:val="21"/>
                      <w:szCs w:val="21"/>
                      <w:highlight w:val="none"/>
                      <w:lang w:val="en-US" w:eastAsia="zh-CN"/>
                    </w:rPr>
                    <w:t>焊接、喷砂废气一起</w:t>
                  </w:r>
                  <w:r>
                    <w:rPr>
                      <w:rFonts w:hint="default" w:ascii="Times New Roman" w:hAnsi="Times New Roman" w:cs="Times New Roman"/>
                      <w:sz w:val="21"/>
                      <w:szCs w:val="21"/>
                      <w:highlight w:val="none"/>
                      <w:shd w:val="clear"/>
                      <w:lang w:val="en-US" w:eastAsia="zh-CN"/>
                    </w:rPr>
                    <w:t>经</w:t>
                  </w:r>
                  <w:r>
                    <w:rPr>
                      <w:rFonts w:hint="eastAsia" w:ascii="Times New Roman" w:hAnsi="Times New Roman" w:cs="Times New Roman"/>
                      <w:sz w:val="21"/>
                      <w:szCs w:val="21"/>
                      <w:highlight w:val="none"/>
                      <w:shd w:val="clear"/>
                      <w:lang w:val="en-US" w:eastAsia="zh-CN"/>
                    </w:rPr>
                    <w:t>2</w:t>
                  </w:r>
                  <w:r>
                    <w:rPr>
                      <w:rFonts w:hint="eastAsia" w:cs="Times New Roman"/>
                      <w:sz w:val="21"/>
                      <w:szCs w:val="21"/>
                      <w:highlight w:val="none"/>
                      <w:shd w:val="clear"/>
                      <w:lang w:val="en-US" w:eastAsia="zh-CN"/>
                    </w:rPr>
                    <w:t>4</w:t>
                  </w:r>
                  <w:r>
                    <w:rPr>
                      <w:rFonts w:hint="default" w:ascii="Times New Roman" w:hAnsi="Times New Roman" w:cs="Times New Roman"/>
                      <w:sz w:val="21"/>
                      <w:szCs w:val="21"/>
                      <w:highlight w:val="none"/>
                      <w:shd w:val="clear"/>
                      <w:lang w:val="en-US" w:eastAsia="zh-CN"/>
                    </w:rPr>
                    <w:t>米高排气筒</w:t>
                  </w:r>
                  <w:r>
                    <w:rPr>
                      <w:rFonts w:hint="eastAsia" w:cs="Times New Roman"/>
                      <w:sz w:val="21"/>
                      <w:szCs w:val="21"/>
                      <w:highlight w:val="none"/>
                      <w:shd w:val="clear"/>
                      <w:lang w:val="en-US" w:eastAsia="zh-CN"/>
                    </w:rPr>
                    <w:t>（DA002）</w:t>
                  </w:r>
                  <w:r>
                    <w:rPr>
                      <w:rFonts w:hint="default" w:ascii="Times New Roman" w:hAnsi="Times New Roman" w:cs="Times New Roman"/>
                      <w:sz w:val="21"/>
                      <w:szCs w:val="21"/>
                      <w:highlight w:val="none"/>
                      <w:shd w:val="clear"/>
                      <w:lang w:val="en-US" w:eastAsia="zh-CN"/>
                    </w:rPr>
                    <w:t>达标排放。</w:t>
                  </w:r>
                </w:p>
              </w:tc>
              <w:tc>
                <w:tcPr>
                  <w:tcW w:w="2043" w:type="dxa"/>
                  <w:shd w:val="clear" w:color="auto" w:fill="auto"/>
                  <w:noWrap w:val="0"/>
                  <w:vAlign w:val="center"/>
                </w:tcPr>
                <w:p w14:paraId="40B3A94C">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喷漆</w:t>
                  </w:r>
                  <w:r>
                    <w:rPr>
                      <w:rFonts w:hint="eastAsia" w:cs="Times New Roman"/>
                      <w:sz w:val="21"/>
                      <w:szCs w:val="21"/>
                      <w:highlight w:val="none"/>
                      <w:lang w:val="en-US" w:eastAsia="zh-CN"/>
                    </w:rPr>
                    <w:t>（含喷枪清洗、调漆</w:t>
                  </w:r>
                  <w:r>
                    <w:rPr>
                      <w:rFonts w:hint="eastAsia" w:cs="Times New Roman"/>
                      <w:b w:val="0"/>
                      <w:bCs/>
                      <w:sz w:val="21"/>
                      <w:szCs w:val="21"/>
                      <w:vertAlign w:val="baseline"/>
                      <w:lang w:val="en-US" w:eastAsia="zh-CN"/>
                    </w:rPr>
                    <w:t>、晾干</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浇注固化</w:t>
                  </w:r>
                  <w:r>
                    <w:rPr>
                      <w:rFonts w:hint="eastAsia" w:cs="Times New Roman"/>
                      <w:sz w:val="21"/>
                      <w:szCs w:val="21"/>
                      <w:highlight w:val="none"/>
                      <w:lang w:val="en-US" w:eastAsia="zh-CN"/>
                    </w:rPr>
                    <w:t>、烘干</w:t>
                  </w:r>
                  <w:r>
                    <w:rPr>
                      <w:rFonts w:hint="default" w:ascii="Times New Roman" w:hAnsi="Times New Roman" w:cs="Times New Roman"/>
                      <w:sz w:val="21"/>
                      <w:szCs w:val="21"/>
                      <w:highlight w:val="none"/>
                      <w:lang w:val="en-US" w:eastAsia="zh-CN"/>
                    </w:rPr>
                    <w:t>工序产生的</w:t>
                  </w:r>
                  <w:r>
                    <w:rPr>
                      <w:rFonts w:hint="eastAsia" w:cs="Times New Roman"/>
                      <w:sz w:val="21"/>
                      <w:szCs w:val="21"/>
                      <w:highlight w:val="none"/>
                      <w:lang w:val="en-US" w:eastAsia="zh-CN"/>
                    </w:rPr>
                    <w:t>废气</w:t>
                  </w:r>
                  <w:r>
                    <w:rPr>
                      <w:rFonts w:hint="default" w:ascii="Times New Roman" w:hAnsi="Times New Roman" w:cs="Times New Roman"/>
                      <w:sz w:val="21"/>
                      <w:szCs w:val="21"/>
                      <w:highlight w:val="none"/>
                      <w:lang w:val="en-US" w:eastAsia="zh-CN"/>
                    </w:rPr>
                    <w:t>采取空间密闭+管道负压收集，经</w:t>
                  </w:r>
                  <w:r>
                    <w:rPr>
                      <w:rFonts w:hint="eastAsia" w:cs="Times New Roman"/>
                      <w:sz w:val="21"/>
                      <w:szCs w:val="21"/>
                      <w:highlight w:val="none"/>
                      <w:lang w:val="en-US" w:eastAsia="zh-CN"/>
                    </w:rPr>
                    <w:t>过滤棉+吸附脱附催化燃烧</w:t>
                  </w:r>
                  <w:r>
                    <w:rPr>
                      <w:rFonts w:hint="default" w:ascii="Times New Roman" w:hAnsi="Times New Roman" w:cs="Times New Roman"/>
                      <w:sz w:val="21"/>
                      <w:szCs w:val="21"/>
                      <w:highlight w:val="none"/>
                      <w:lang w:val="en-US" w:eastAsia="zh-CN"/>
                    </w:rPr>
                    <w:t>处理后，最终通过2</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lang w:val="en-US" w:eastAsia="zh-CN"/>
                    </w:rPr>
                    <w:t>米高排气筒</w:t>
                  </w:r>
                  <w:r>
                    <w:rPr>
                      <w:rFonts w:hint="eastAsia" w:cs="Times New Roman"/>
                      <w:sz w:val="21"/>
                      <w:szCs w:val="21"/>
                      <w:highlight w:val="none"/>
                      <w:shd w:val="clear"/>
                      <w:lang w:val="en-US" w:eastAsia="zh-CN"/>
                    </w:rPr>
                    <w:t>（DA001）</w:t>
                  </w:r>
                  <w:r>
                    <w:rPr>
                      <w:rFonts w:hint="default" w:ascii="Times New Roman" w:hAnsi="Times New Roman" w:cs="Times New Roman"/>
                      <w:sz w:val="21"/>
                      <w:szCs w:val="21"/>
                      <w:highlight w:val="none"/>
                      <w:lang w:val="en-US" w:eastAsia="zh-CN"/>
                    </w:rPr>
                    <w:t>达标排放</w:t>
                  </w:r>
                  <w:r>
                    <w:rPr>
                      <w:rFonts w:hint="default" w:ascii="Times New Roman" w:hAnsi="Times New Roman" w:cs="Times New Roman"/>
                      <w:sz w:val="21"/>
                      <w:szCs w:val="21"/>
                      <w:highlight w:val="none"/>
                      <w:shd w:val="clear"/>
                      <w:lang w:val="en-US" w:eastAsia="zh-CN"/>
                    </w:rPr>
                    <w:t>。</w:t>
                  </w:r>
                  <w:r>
                    <w:rPr>
                      <w:rFonts w:hint="eastAsia" w:cs="Times New Roman"/>
                      <w:sz w:val="21"/>
                      <w:szCs w:val="21"/>
                      <w:highlight w:val="none"/>
                      <w:lang w:val="en-US" w:eastAsia="zh-CN"/>
                    </w:rPr>
                    <w:t>喷塑</w:t>
                  </w:r>
                  <w:r>
                    <w:rPr>
                      <w:rFonts w:hint="default" w:ascii="Times New Roman" w:hAnsi="Times New Roman" w:cs="Times New Roman"/>
                      <w:sz w:val="21"/>
                      <w:szCs w:val="21"/>
                      <w:highlight w:val="none"/>
                      <w:lang w:val="en-US" w:eastAsia="zh-CN"/>
                    </w:rPr>
                    <w:t>产生的</w:t>
                  </w:r>
                  <w:r>
                    <w:rPr>
                      <w:rFonts w:hint="eastAsia" w:ascii="Times New Roman" w:hAnsi="Times New Roman" w:cs="Times New Roman"/>
                      <w:sz w:val="21"/>
                      <w:szCs w:val="21"/>
                      <w:highlight w:val="none"/>
                      <w:lang w:val="en-US" w:eastAsia="zh-CN"/>
                    </w:rPr>
                    <w:t>废气经</w:t>
                  </w:r>
                  <w:r>
                    <w:rPr>
                      <w:rFonts w:hint="eastAsia" w:cs="Times New Roman"/>
                      <w:sz w:val="21"/>
                      <w:szCs w:val="21"/>
                      <w:highlight w:val="none"/>
                      <w:lang w:val="en-US" w:eastAsia="zh-CN"/>
                    </w:rPr>
                    <w:t>滤筒</w:t>
                  </w:r>
                  <w:r>
                    <w:rPr>
                      <w:rFonts w:hint="eastAsia" w:ascii="Times New Roman" w:hAnsi="Times New Roman" w:cs="Times New Roman"/>
                      <w:sz w:val="21"/>
                      <w:szCs w:val="21"/>
                      <w:highlight w:val="none"/>
                      <w:lang w:val="en-US" w:eastAsia="zh-CN"/>
                    </w:rPr>
                    <w:t>除尘处理后与经过布袋除尘器处理后的</w:t>
                  </w:r>
                  <w:r>
                    <w:rPr>
                      <w:rFonts w:hint="eastAsia" w:cs="Times New Roman"/>
                      <w:sz w:val="21"/>
                      <w:szCs w:val="21"/>
                      <w:highlight w:val="none"/>
                      <w:lang w:val="en-US" w:eastAsia="zh-CN"/>
                    </w:rPr>
                    <w:t>焊接、喷砂废气一起</w:t>
                  </w:r>
                  <w:r>
                    <w:rPr>
                      <w:rFonts w:hint="default" w:ascii="Times New Roman" w:hAnsi="Times New Roman" w:cs="Times New Roman"/>
                      <w:sz w:val="21"/>
                      <w:szCs w:val="21"/>
                      <w:highlight w:val="none"/>
                      <w:shd w:val="clear"/>
                      <w:lang w:val="en-US" w:eastAsia="zh-CN"/>
                    </w:rPr>
                    <w:t>经</w:t>
                  </w:r>
                  <w:r>
                    <w:rPr>
                      <w:rFonts w:hint="eastAsia" w:ascii="Times New Roman" w:hAnsi="Times New Roman" w:cs="Times New Roman"/>
                      <w:sz w:val="21"/>
                      <w:szCs w:val="21"/>
                      <w:highlight w:val="none"/>
                      <w:shd w:val="clear"/>
                      <w:lang w:val="en-US" w:eastAsia="zh-CN"/>
                    </w:rPr>
                    <w:t>2</w:t>
                  </w:r>
                  <w:r>
                    <w:rPr>
                      <w:rFonts w:hint="eastAsia" w:cs="Times New Roman"/>
                      <w:sz w:val="21"/>
                      <w:szCs w:val="21"/>
                      <w:highlight w:val="none"/>
                      <w:shd w:val="clear"/>
                      <w:lang w:val="en-US" w:eastAsia="zh-CN"/>
                    </w:rPr>
                    <w:t>4</w:t>
                  </w:r>
                  <w:r>
                    <w:rPr>
                      <w:rFonts w:hint="default" w:ascii="Times New Roman" w:hAnsi="Times New Roman" w:cs="Times New Roman"/>
                      <w:sz w:val="21"/>
                      <w:szCs w:val="21"/>
                      <w:highlight w:val="none"/>
                      <w:shd w:val="clear"/>
                      <w:lang w:val="en-US" w:eastAsia="zh-CN"/>
                    </w:rPr>
                    <w:t>米高排气筒</w:t>
                  </w:r>
                  <w:r>
                    <w:rPr>
                      <w:rFonts w:hint="eastAsia" w:cs="Times New Roman"/>
                      <w:sz w:val="21"/>
                      <w:szCs w:val="21"/>
                      <w:highlight w:val="none"/>
                      <w:shd w:val="clear"/>
                      <w:lang w:val="en-US" w:eastAsia="zh-CN"/>
                    </w:rPr>
                    <w:t>（DA002）</w:t>
                  </w:r>
                  <w:r>
                    <w:rPr>
                      <w:rFonts w:hint="default" w:ascii="Times New Roman" w:hAnsi="Times New Roman" w:cs="Times New Roman"/>
                      <w:sz w:val="21"/>
                      <w:szCs w:val="21"/>
                      <w:highlight w:val="none"/>
                      <w:shd w:val="clear"/>
                      <w:lang w:val="en-US" w:eastAsia="zh-CN"/>
                    </w:rPr>
                    <w:t>达标排放。</w:t>
                  </w:r>
                </w:p>
              </w:tc>
              <w:tc>
                <w:tcPr>
                  <w:tcW w:w="855" w:type="dxa"/>
                  <w:noWrap w:val="0"/>
                  <w:vAlign w:val="center"/>
                </w:tcPr>
                <w:p w14:paraId="451B748A">
                  <w:pPr>
                    <w:jc w:val="center"/>
                    <w:rPr>
                      <w:rFonts w:hint="default" w:ascii="Times New Roman" w:hAnsi="Times New Roman" w:cs="Times New Roman"/>
                      <w:sz w:val="21"/>
                      <w:szCs w:val="21"/>
                      <w:highlight w:val="yellow"/>
                      <w:lang w:val="en-US" w:eastAsia="zh-CN"/>
                    </w:rPr>
                  </w:pPr>
                  <w:r>
                    <w:rPr>
                      <w:rFonts w:hint="eastAsia" w:cs="Times New Roman"/>
                      <w:bCs/>
                      <w:sz w:val="21"/>
                      <w:szCs w:val="21"/>
                      <w:lang w:val="en-US" w:eastAsia="zh-CN"/>
                    </w:rPr>
                    <w:t>焊接废气从无组织改成有组织排放，其余废气均为本项目新增。</w:t>
                  </w:r>
                </w:p>
              </w:tc>
            </w:tr>
            <w:tr w14:paraId="3844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463" w:type="dxa"/>
                  <w:vMerge w:val="continue"/>
                  <w:noWrap w:val="0"/>
                  <w:vAlign w:val="center"/>
                </w:tcPr>
                <w:p w14:paraId="1963A92E">
                  <w:pPr>
                    <w:jc w:val="center"/>
                    <w:rPr>
                      <w:rFonts w:hint="default" w:ascii="Times New Roman" w:hAnsi="Times New Roman" w:cs="Times New Roman"/>
                      <w:bCs/>
                      <w:sz w:val="21"/>
                      <w:szCs w:val="21"/>
                    </w:rPr>
                  </w:pPr>
                </w:p>
              </w:tc>
              <w:tc>
                <w:tcPr>
                  <w:tcW w:w="749" w:type="dxa"/>
                  <w:gridSpan w:val="2"/>
                  <w:noWrap w:val="0"/>
                  <w:vAlign w:val="center"/>
                </w:tcPr>
                <w:p w14:paraId="4DB1387C">
                  <w:pPr>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废</w:t>
                  </w:r>
                  <w:r>
                    <w:rPr>
                      <w:rFonts w:hint="default" w:ascii="Times New Roman" w:hAnsi="Times New Roman" w:cs="Times New Roman"/>
                      <w:bCs/>
                      <w:sz w:val="21"/>
                      <w:szCs w:val="21"/>
                      <w:lang w:val="en-US" w:eastAsia="zh-CN"/>
                    </w:rPr>
                    <w:t>水</w:t>
                  </w:r>
                </w:p>
              </w:tc>
              <w:tc>
                <w:tcPr>
                  <w:tcW w:w="1860" w:type="dxa"/>
                  <w:noWrap w:val="0"/>
                  <w:vAlign w:val="center"/>
                </w:tcPr>
                <w:p w14:paraId="12C7BF22">
                  <w:pPr>
                    <w:jc w:val="center"/>
                    <w:rPr>
                      <w:rFonts w:hint="default" w:ascii="Times New Roman" w:hAnsi="Times New Roman" w:cs="Times New Roman"/>
                      <w:sz w:val="21"/>
                      <w:szCs w:val="21"/>
                    </w:rPr>
                  </w:pPr>
                  <w:r>
                    <w:rPr>
                      <w:rFonts w:hint="default" w:ascii="Times New Roman" w:hAnsi="Times New Roman" w:cs="Times New Roman"/>
                      <w:color w:val="auto"/>
                      <w:sz w:val="21"/>
                      <w:szCs w:val="21"/>
                    </w:rPr>
                    <w:t>生活污水</w:t>
                  </w:r>
                  <w:r>
                    <w:rPr>
                      <w:rFonts w:hint="default" w:ascii="Times New Roman" w:hAnsi="Times New Roman" w:cs="Times New Roman"/>
                      <w:color w:val="auto"/>
                      <w:sz w:val="21"/>
                      <w:szCs w:val="21"/>
                      <w:lang w:val="en-US" w:eastAsia="zh-CN"/>
                    </w:rPr>
                    <w:t>由</w:t>
                  </w:r>
                  <w:r>
                    <w:rPr>
                      <w:rFonts w:hint="default" w:ascii="Times New Roman" w:hAnsi="Times New Roman" w:cs="Times New Roman"/>
                      <w:color w:val="auto"/>
                      <w:sz w:val="21"/>
                      <w:szCs w:val="21"/>
                    </w:rPr>
                    <w:t>化粪池预处理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经市政</w:t>
                  </w:r>
                  <w:r>
                    <w:rPr>
                      <w:rFonts w:hint="default" w:ascii="Times New Roman" w:hAnsi="Times New Roman" w:cs="Times New Roman" w:eastAsiaTheme="minorEastAsia"/>
                      <w:sz w:val="21"/>
                      <w:szCs w:val="21"/>
                    </w:rPr>
                    <w:t>污水管网</w:t>
                  </w:r>
                  <w:r>
                    <w:rPr>
                      <w:rFonts w:hint="default" w:ascii="Times New Roman" w:hAnsi="Times New Roman" w:cs="Times New Roman" w:eastAsiaTheme="minorEastAsia"/>
                      <w:sz w:val="21"/>
                      <w:szCs w:val="21"/>
                      <w:lang w:val="en-US" w:eastAsia="zh-CN"/>
                    </w:rPr>
                    <w:t>进</w:t>
                  </w:r>
                  <w:r>
                    <w:rPr>
                      <w:rFonts w:hint="default" w:ascii="Times New Roman" w:hAnsi="Times New Roman" w:cs="Times New Roman"/>
                      <w:color w:val="auto"/>
                      <w:sz w:val="21"/>
                      <w:szCs w:val="21"/>
                      <w:lang w:val="en-US" w:eastAsia="zh-CN"/>
                    </w:rPr>
                    <w:t>入淮北龙湖工业园污水处理厂进行</w:t>
                  </w:r>
                  <w:r>
                    <w:rPr>
                      <w:rFonts w:hint="default" w:ascii="Times New Roman" w:hAnsi="Times New Roman" w:cs="Times New Roman" w:eastAsiaTheme="minorEastAsia"/>
                      <w:sz w:val="21"/>
                      <w:szCs w:val="21"/>
                    </w:rPr>
                    <w:t>深度处理</w:t>
                  </w:r>
                  <w:r>
                    <w:rPr>
                      <w:rFonts w:hint="default" w:ascii="Times New Roman" w:hAnsi="Times New Roman" w:cs="Times New Roman" w:eastAsiaTheme="minorEastAsia"/>
                      <w:sz w:val="21"/>
                      <w:szCs w:val="21"/>
                      <w:lang w:eastAsia="zh-CN"/>
                    </w:rPr>
                    <w:t>，</w:t>
                  </w:r>
                  <w:r>
                    <w:rPr>
                      <w:rFonts w:hint="eastAsia" w:cs="Times New Roman" w:eastAsiaTheme="minorEastAsia"/>
                      <w:sz w:val="21"/>
                      <w:szCs w:val="21"/>
                      <w:lang w:val="en-US" w:eastAsia="zh-CN"/>
                    </w:rPr>
                    <w:t>最终</w:t>
                  </w:r>
                  <w:r>
                    <w:rPr>
                      <w:rFonts w:hint="default" w:ascii="Times New Roman" w:hAnsi="Times New Roman" w:cs="Times New Roman" w:eastAsiaTheme="minorEastAsia"/>
                      <w:sz w:val="21"/>
                      <w:szCs w:val="21"/>
                    </w:rPr>
                    <w:t>达</w:t>
                  </w:r>
                  <w:r>
                    <w:rPr>
                      <w:rFonts w:hint="default" w:ascii="Times New Roman" w:hAnsi="Times New Roman" w:cs="Times New Roman" w:eastAsiaTheme="minorEastAsia"/>
                      <w:sz w:val="21"/>
                      <w:szCs w:val="21"/>
                      <w:lang w:val="en-US" w:eastAsia="zh-CN"/>
                    </w:rPr>
                    <w:t>标</w:t>
                  </w:r>
                  <w:r>
                    <w:rPr>
                      <w:rFonts w:hint="default" w:ascii="Times New Roman" w:hAnsi="Times New Roman" w:cs="Times New Roman" w:eastAsiaTheme="minorEastAsia"/>
                      <w:sz w:val="21"/>
                      <w:szCs w:val="21"/>
                    </w:rPr>
                    <w:t>排入</w:t>
                  </w:r>
                  <w:r>
                    <w:rPr>
                      <w:rFonts w:hint="default" w:ascii="Times New Roman" w:hAnsi="Times New Roman" w:cs="Times New Roman" w:eastAsiaTheme="minorEastAsia"/>
                      <w:sz w:val="21"/>
                      <w:szCs w:val="21"/>
                      <w:lang w:val="en-US" w:eastAsia="zh-CN"/>
                    </w:rPr>
                    <w:t>龙</w:t>
                  </w:r>
                  <w:r>
                    <w:rPr>
                      <w:rFonts w:hint="default" w:ascii="Times New Roman" w:hAnsi="Times New Roman" w:cs="Times New Roman" w:eastAsiaTheme="minorEastAsia"/>
                      <w:sz w:val="21"/>
                      <w:szCs w:val="21"/>
                    </w:rPr>
                    <w:t>河</w:t>
                  </w:r>
                  <w:r>
                    <w:rPr>
                      <w:rFonts w:hint="default" w:ascii="Times New Roman" w:hAnsi="Times New Roman" w:cs="Times New Roman" w:eastAsiaTheme="minorEastAsia"/>
                      <w:sz w:val="21"/>
                      <w:szCs w:val="21"/>
                      <w:lang w:eastAsia="zh-CN"/>
                    </w:rPr>
                    <w:t>。</w:t>
                  </w:r>
                </w:p>
              </w:tc>
              <w:tc>
                <w:tcPr>
                  <w:tcW w:w="2017" w:type="dxa"/>
                  <w:shd w:val="clear" w:color="auto" w:fill="auto"/>
                  <w:noWrap w:val="0"/>
                  <w:vAlign w:val="center"/>
                </w:tcPr>
                <w:p w14:paraId="746062E5">
                  <w:pPr>
                    <w:jc w:val="center"/>
                    <w:rPr>
                      <w:rFonts w:hint="default" w:ascii="Times New Roman" w:hAnsi="Times New Roman" w:eastAsia="宋体" w:cs="Times New Roman"/>
                      <w:kern w:val="2"/>
                      <w:sz w:val="21"/>
                      <w:szCs w:val="21"/>
                      <w:lang w:val="en-US" w:eastAsia="zh-CN" w:bidi="ar-SA"/>
                    </w:rPr>
                  </w:pPr>
                  <w:r>
                    <w:rPr>
                      <w:rFonts w:hint="eastAsia" w:cs="Times New Roman"/>
                      <w:color w:val="auto"/>
                      <w:sz w:val="21"/>
                      <w:szCs w:val="21"/>
                      <w:lang w:val="en-US" w:eastAsia="zh-CN"/>
                    </w:rPr>
                    <w:t>生产用水循环使用不外排，</w:t>
                  </w:r>
                  <w:r>
                    <w:rPr>
                      <w:rFonts w:hint="eastAsia" w:cs="Times New Roman"/>
                      <w:sz w:val="21"/>
                      <w:szCs w:val="21"/>
                      <w:lang w:val="en-US" w:eastAsia="zh-CN"/>
                    </w:rPr>
                    <w:t>生活污水依托原有化粪池进行预处理，然后通过污水管网进入龙湖工业园污水处理厂进行深度处理。</w:t>
                  </w:r>
                </w:p>
              </w:tc>
              <w:tc>
                <w:tcPr>
                  <w:tcW w:w="2043" w:type="dxa"/>
                  <w:noWrap w:val="0"/>
                  <w:vAlign w:val="center"/>
                </w:tcPr>
                <w:p w14:paraId="4B645025">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生产用水循环使用不外排，</w:t>
                  </w:r>
                  <w:r>
                    <w:rPr>
                      <w:rFonts w:hint="default" w:ascii="Times New Roman" w:hAnsi="Times New Roman" w:cs="Times New Roman"/>
                      <w:color w:val="auto"/>
                      <w:sz w:val="21"/>
                      <w:szCs w:val="21"/>
                    </w:rPr>
                    <w:t>生活污水</w:t>
                  </w:r>
                  <w:r>
                    <w:rPr>
                      <w:rFonts w:hint="default" w:ascii="Times New Roman" w:hAnsi="Times New Roman" w:cs="Times New Roman"/>
                      <w:color w:val="auto"/>
                      <w:sz w:val="21"/>
                      <w:szCs w:val="21"/>
                      <w:lang w:val="en-US" w:eastAsia="zh-CN"/>
                    </w:rPr>
                    <w:t>由</w:t>
                  </w:r>
                  <w:r>
                    <w:rPr>
                      <w:rFonts w:hint="default" w:ascii="Times New Roman" w:hAnsi="Times New Roman" w:cs="Times New Roman"/>
                      <w:color w:val="auto"/>
                      <w:sz w:val="21"/>
                      <w:szCs w:val="21"/>
                    </w:rPr>
                    <w:t>化粪池预处理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经市政</w:t>
                  </w:r>
                  <w:r>
                    <w:rPr>
                      <w:rFonts w:hint="default" w:ascii="Times New Roman" w:hAnsi="Times New Roman" w:cs="Times New Roman" w:eastAsiaTheme="minorEastAsia"/>
                      <w:sz w:val="21"/>
                      <w:szCs w:val="21"/>
                    </w:rPr>
                    <w:t>污水管网</w:t>
                  </w:r>
                  <w:r>
                    <w:rPr>
                      <w:rFonts w:hint="default" w:ascii="Times New Roman" w:hAnsi="Times New Roman" w:cs="Times New Roman" w:eastAsiaTheme="minorEastAsia"/>
                      <w:sz w:val="21"/>
                      <w:szCs w:val="21"/>
                      <w:lang w:val="en-US" w:eastAsia="zh-CN"/>
                    </w:rPr>
                    <w:t>进</w:t>
                  </w:r>
                  <w:r>
                    <w:rPr>
                      <w:rFonts w:hint="default" w:ascii="Times New Roman" w:hAnsi="Times New Roman" w:cs="Times New Roman"/>
                      <w:color w:val="auto"/>
                      <w:sz w:val="21"/>
                      <w:szCs w:val="21"/>
                      <w:lang w:val="en-US" w:eastAsia="zh-CN"/>
                    </w:rPr>
                    <w:t>入淮北龙湖工业园污水处理厂进行</w:t>
                  </w:r>
                  <w:r>
                    <w:rPr>
                      <w:rFonts w:hint="default" w:ascii="Times New Roman" w:hAnsi="Times New Roman" w:cs="Times New Roman" w:eastAsiaTheme="minorEastAsia"/>
                      <w:sz w:val="21"/>
                      <w:szCs w:val="21"/>
                    </w:rPr>
                    <w:t>深度处理</w:t>
                  </w:r>
                  <w:r>
                    <w:rPr>
                      <w:rFonts w:hint="default" w:ascii="Times New Roman" w:hAnsi="Times New Roman" w:cs="Times New Roman" w:eastAsiaTheme="minorEastAsia"/>
                      <w:sz w:val="21"/>
                      <w:szCs w:val="21"/>
                      <w:lang w:eastAsia="zh-CN"/>
                    </w:rPr>
                    <w:t>，</w:t>
                  </w:r>
                  <w:r>
                    <w:rPr>
                      <w:rFonts w:hint="eastAsia" w:cs="Times New Roman" w:eastAsiaTheme="minorEastAsia"/>
                      <w:sz w:val="21"/>
                      <w:szCs w:val="21"/>
                      <w:lang w:val="en-US" w:eastAsia="zh-CN"/>
                    </w:rPr>
                    <w:t>最终</w:t>
                  </w:r>
                  <w:r>
                    <w:rPr>
                      <w:rFonts w:hint="default" w:ascii="Times New Roman" w:hAnsi="Times New Roman" w:cs="Times New Roman" w:eastAsiaTheme="minorEastAsia"/>
                      <w:sz w:val="21"/>
                      <w:szCs w:val="21"/>
                    </w:rPr>
                    <w:t>达</w:t>
                  </w:r>
                  <w:r>
                    <w:rPr>
                      <w:rFonts w:hint="default" w:ascii="Times New Roman" w:hAnsi="Times New Roman" w:cs="Times New Roman" w:eastAsiaTheme="minorEastAsia"/>
                      <w:sz w:val="21"/>
                      <w:szCs w:val="21"/>
                      <w:lang w:val="en-US" w:eastAsia="zh-CN"/>
                    </w:rPr>
                    <w:t>标</w:t>
                  </w:r>
                  <w:r>
                    <w:rPr>
                      <w:rFonts w:hint="default" w:ascii="Times New Roman" w:hAnsi="Times New Roman" w:cs="Times New Roman" w:eastAsiaTheme="minorEastAsia"/>
                      <w:sz w:val="21"/>
                      <w:szCs w:val="21"/>
                    </w:rPr>
                    <w:t>排入</w:t>
                  </w:r>
                  <w:r>
                    <w:rPr>
                      <w:rFonts w:hint="default" w:ascii="Times New Roman" w:hAnsi="Times New Roman" w:cs="Times New Roman" w:eastAsiaTheme="minorEastAsia"/>
                      <w:sz w:val="21"/>
                      <w:szCs w:val="21"/>
                      <w:lang w:val="en-US" w:eastAsia="zh-CN"/>
                    </w:rPr>
                    <w:t>龙</w:t>
                  </w:r>
                  <w:r>
                    <w:rPr>
                      <w:rFonts w:hint="default" w:ascii="Times New Roman" w:hAnsi="Times New Roman" w:cs="Times New Roman" w:eastAsiaTheme="minorEastAsia"/>
                      <w:sz w:val="21"/>
                      <w:szCs w:val="21"/>
                    </w:rPr>
                    <w:t>河</w:t>
                  </w:r>
                  <w:r>
                    <w:rPr>
                      <w:rFonts w:hint="default" w:ascii="Times New Roman" w:hAnsi="Times New Roman" w:cs="Times New Roman" w:eastAsiaTheme="minorEastAsia"/>
                      <w:sz w:val="21"/>
                      <w:szCs w:val="21"/>
                      <w:lang w:eastAsia="zh-CN"/>
                    </w:rPr>
                    <w:t>。</w:t>
                  </w:r>
                </w:p>
              </w:tc>
              <w:tc>
                <w:tcPr>
                  <w:tcW w:w="855" w:type="dxa"/>
                  <w:noWrap w:val="0"/>
                  <w:vAlign w:val="center"/>
                </w:tcPr>
                <w:p w14:paraId="793300A9">
                  <w:pPr>
                    <w:jc w:val="center"/>
                    <w:rPr>
                      <w:rFonts w:hint="default" w:ascii="Times New Roman" w:hAnsi="Times New Roman" w:eastAsia="宋体" w:cs="Times New Roman"/>
                      <w:b/>
                      <w:bCs w:val="0"/>
                      <w:sz w:val="21"/>
                      <w:szCs w:val="21"/>
                      <w:lang w:val="en-US" w:eastAsia="zh-CN"/>
                    </w:rPr>
                  </w:pPr>
                  <w:r>
                    <w:rPr>
                      <w:rFonts w:hint="eastAsia" w:cs="Times New Roman"/>
                      <w:bCs/>
                      <w:color w:val="000000" w:themeColor="text1"/>
                      <w:sz w:val="21"/>
                      <w:szCs w:val="21"/>
                      <w:lang w:val="en-US" w:eastAsia="zh-CN"/>
                      <w14:textFill>
                        <w14:solidFill>
                          <w14:schemeClr w14:val="tx1"/>
                        </w14:solidFill>
                      </w14:textFill>
                    </w:rPr>
                    <w:t>依托现有</w:t>
                  </w:r>
                  <w:r>
                    <w:rPr>
                      <w:rFonts w:hint="default" w:ascii="Times New Roman" w:hAnsi="Times New Roman" w:cs="Times New Roman"/>
                      <w:color w:val="auto"/>
                      <w:sz w:val="21"/>
                      <w:szCs w:val="21"/>
                    </w:rPr>
                    <w:t>化粪池</w:t>
                  </w:r>
                  <w:r>
                    <w:rPr>
                      <w:rFonts w:hint="eastAsia" w:cs="Times New Roman"/>
                      <w:color w:val="auto"/>
                      <w:sz w:val="21"/>
                      <w:szCs w:val="21"/>
                      <w:lang w:val="en-US" w:eastAsia="zh-CN"/>
                    </w:rPr>
                    <w:t>及污水管网</w:t>
                  </w:r>
                </w:p>
              </w:tc>
            </w:tr>
            <w:tr w14:paraId="77D5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continue"/>
                  <w:noWrap w:val="0"/>
                  <w:vAlign w:val="center"/>
                </w:tcPr>
                <w:p w14:paraId="662472CF">
                  <w:pPr>
                    <w:jc w:val="center"/>
                    <w:rPr>
                      <w:rFonts w:hint="default" w:ascii="Times New Roman" w:hAnsi="Times New Roman" w:cs="Times New Roman"/>
                      <w:sz w:val="21"/>
                      <w:szCs w:val="21"/>
                    </w:rPr>
                  </w:pPr>
                </w:p>
              </w:tc>
              <w:tc>
                <w:tcPr>
                  <w:tcW w:w="749" w:type="dxa"/>
                  <w:gridSpan w:val="2"/>
                  <w:noWrap w:val="0"/>
                  <w:vAlign w:val="center"/>
                </w:tcPr>
                <w:p w14:paraId="7B75F0AD">
                  <w:pPr>
                    <w:jc w:val="center"/>
                    <w:rPr>
                      <w:rFonts w:hint="default" w:ascii="Times New Roman" w:hAnsi="Times New Roman" w:cs="Times New Roman"/>
                      <w:sz w:val="21"/>
                      <w:szCs w:val="21"/>
                    </w:rPr>
                  </w:pPr>
                  <w:r>
                    <w:rPr>
                      <w:rFonts w:hint="default" w:ascii="Times New Roman" w:hAnsi="Times New Roman" w:cs="Times New Roman"/>
                      <w:bCs/>
                      <w:sz w:val="21"/>
                      <w:szCs w:val="21"/>
                    </w:rPr>
                    <w:t>噪声</w:t>
                  </w:r>
                </w:p>
              </w:tc>
              <w:tc>
                <w:tcPr>
                  <w:tcW w:w="1860" w:type="dxa"/>
                  <w:noWrap w:val="0"/>
                  <w:vAlign w:val="center"/>
                </w:tcPr>
                <w:p w14:paraId="112768AA">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选用低噪声设备、设置减震基础、厂房隔声、距离衰减。</w:t>
                  </w:r>
                </w:p>
              </w:tc>
              <w:tc>
                <w:tcPr>
                  <w:tcW w:w="2017" w:type="dxa"/>
                  <w:noWrap w:val="0"/>
                  <w:vAlign w:val="center"/>
                </w:tcPr>
                <w:p w14:paraId="3FDCFD7E">
                  <w:pPr>
                    <w:jc w:val="center"/>
                    <w:rPr>
                      <w:rFonts w:hint="default" w:ascii="Times New Roman" w:hAnsi="Times New Roman" w:cs="Times New Roman"/>
                      <w:sz w:val="21"/>
                      <w:szCs w:val="21"/>
                    </w:rPr>
                  </w:pPr>
                  <w:r>
                    <w:rPr>
                      <w:rFonts w:hint="eastAsia"/>
                      <w:color w:val="000000" w:themeColor="text1"/>
                      <w:sz w:val="21"/>
                      <w:szCs w:val="21"/>
                      <w:lang w:val="en-US" w:eastAsia="zh-CN"/>
                      <w14:textFill>
                        <w14:solidFill>
                          <w14:schemeClr w14:val="tx1"/>
                        </w14:solidFill>
                      </w14:textFill>
                    </w:rPr>
                    <w:t>新增设备设置隔声、减振等措施</w:t>
                  </w:r>
                </w:p>
              </w:tc>
              <w:tc>
                <w:tcPr>
                  <w:tcW w:w="2043" w:type="dxa"/>
                  <w:noWrap w:val="0"/>
                  <w:vAlign w:val="center"/>
                </w:tcPr>
                <w:p w14:paraId="6AE6D836">
                  <w:pPr>
                    <w:jc w:val="center"/>
                    <w:rPr>
                      <w:rFonts w:hint="default" w:ascii="Times New Roman" w:hAnsi="Times New Roman" w:cs="Times New Roman"/>
                      <w:sz w:val="21"/>
                      <w:szCs w:val="21"/>
                    </w:rPr>
                  </w:pPr>
                  <w:r>
                    <w:rPr>
                      <w:rFonts w:hint="default" w:ascii="Times New Roman" w:hAnsi="Times New Roman" w:cs="Times New Roman"/>
                      <w:sz w:val="21"/>
                      <w:szCs w:val="21"/>
                    </w:rPr>
                    <w:t>选用低噪声设备、设置减震基础、厂房隔声、距离衰减。</w:t>
                  </w:r>
                </w:p>
              </w:tc>
              <w:tc>
                <w:tcPr>
                  <w:tcW w:w="855" w:type="dxa"/>
                  <w:noWrap w:val="0"/>
                  <w:vAlign w:val="center"/>
                </w:tcPr>
                <w:p w14:paraId="2BD32E48">
                  <w:pPr>
                    <w:jc w:val="center"/>
                    <w:rPr>
                      <w:rFonts w:hint="default" w:ascii="Times New Roman" w:hAnsi="Times New Roman" w:cs="Times New Roman"/>
                      <w:sz w:val="21"/>
                      <w:szCs w:val="21"/>
                    </w:rPr>
                  </w:pPr>
                  <w:r>
                    <w:rPr>
                      <w:rFonts w:hint="eastAsia" w:ascii="宋体" w:hAnsi="宋体" w:cs="宋体"/>
                      <w:color w:val="000000" w:themeColor="text1"/>
                      <w:spacing w:val="-1"/>
                      <w:position w:val="1"/>
                      <w:sz w:val="21"/>
                      <w:szCs w:val="21"/>
                      <w:u w:val="none"/>
                      <w:lang w:val="en-US" w:eastAsia="zh-CN"/>
                      <w14:textFill>
                        <w14:solidFill>
                          <w14:schemeClr w14:val="tx1"/>
                        </w14:solidFill>
                      </w14:textFill>
                    </w:rPr>
                    <w:t>新增设备采用隔声、降噪措施</w:t>
                  </w:r>
                </w:p>
              </w:tc>
            </w:tr>
            <w:tr w14:paraId="791C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continue"/>
                  <w:noWrap w:val="0"/>
                  <w:vAlign w:val="center"/>
                </w:tcPr>
                <w:p w14:paraId="207FE9BA">
                  <w:pPr>
                    <w:jc w:val="center"/>
                    <w:rPr>
                      <w:rFonts w:hint="default" w:ascii="Times New Roman" w:hAnsi="Times New Roman" w:cs="Times New Roman"/>
                      <w:sz w:val="21"/>
                      <w:szCs w:val="21"/>
                    </w:rPr>
                  </w:pPr>
                </w:p>
              </w:tc>
              <w:tc>
                <w:tcPr>
                  <w:tcW w:w="749" w:type="dxa"/>
                  <w:gridSpan w:val="2"/>
                  <w:noWrap w:val="0"/>
                  <w:vAlign w:val="center"/>
                </w:tcPr>
                <w:p w14:paraId="098862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14:paraId="0EA9A301">
                  <w:pPr>
                    <w:jc w:val="center"/>
                    <w:rPr>
                      <w:rFonts w:hint="default" w:ascii="Times New Roman" w:hAnsi="Times New Roman" w:cs="Times New Roman"/>
                      <w:bCs/>
                      <w:sz w:val="21"/>
                      <w:szCs w:val="21"/>
                      <w:lang w:val="en-US" w:eastAsia="zh-CN"/>
                    </w:rPr>
                  </w:pPr>
                  <w:r>
                    <w:rPr>
                      <w:rFonts w:hint="default" w:ascii="Times New Roman" w:hAnsi="Times New Roman" w:eastAsia="宋体" w:cs="Times New Roman"/>
                      <w:color w:val="auto"/>
                      <w:sz w:val="21"/>
                      <w:szCs w:val="21"/>
                    </w:rPr>
                    <w:t>垃圾</w:t>
                  </w:r>
                </w:p>
              </w:tc>
              <w:tc>
                <w:tcPr>
                  <w:tcW w:w="1860" w:type="dxa"/>
                  <w:noWrap w:val="0"/>
                  <w:vAlign w:val="center"/>
                </w:tcPr>
                <w:p w14:paraId="31C7B9FF">
                  <w:pPr>
                    <w:jc w:val="center"/>
                    <w:rPr>
                      <w:rFonts w:hint="eastAsia" w:ascii="Times New Roman" w:hAnsi="Times New Roman" w:eastAsia="宋体" w:cs="Times New Roman"/>
                      <w:sz w:val="21"/>
                      <w:szCs w:val="21"/>
                      <w:lang w:val="en-US" w:eastAsia="zh-CN"/>
                    </w:rPr>
                  </w:pPr>
                  <w:r>
                    <w:rPr>
                      <w:rStyle w:val="30"/>
                      <w:rFonts w:hint="default" w:ascii="Times New Roman" w:hAnsi="Times New Roman" w:eastAsia="宋体" w:cs="Times New Roman"/>
                      <w:color w:val="auto"/>
                      <w:sz w:val="21"/>
                      <w:szCs w:val="21"/>
                    </w:rPr>
                    <w:t>生活垃圾</w:t>
                  </w:r>
                  <w:r>
                    <w:rPr>
                      <w:rStyle w:val="30"/>
                      <w:rFonts w:hint="eastAsia" w:cs="Times New Roman"/>
                      <w:color w:val="auto"/>
                      <w:sz w:val="21"/>
                      <w:szCs w:val="21"/>
                      <w:lang w:eastAsia="zh-CN"/>
                    </w:rPr>
                    <w:t>（</w:t>
                  </w:r>
                  <w:r>
                    <w:rPr>
                      <w:rStyle w:val="30"/>
                      <w:rFonts w:hint="eastAsia" w:cs="Times New Roman"/>
                      <w:color w:val="auto"/>
                      <w:sz w:val="21"/>
                      <w:szCs w:val="21"/>
                      <w:lang w:val="en-US" w:eastAsia="zh-CN"/>
                    </w:rPr>
                    <w:t>6t/a</w:t>
                  </w:r>
                  <w:r>
                    <w:rPr>
                      <w:rStyle w:val="30"/>
                      <w:rFonts w:hint="eastAsia" w:cs="Times New Roman"/>
                      <w:color w:val="auto"/>
                      <w:sz w:val="21"/>
                      <w:szCs w:val="21"/>
                      <w:lang w:eastAsia="zh-CN"/>
                    </w:rPr>
                    <w:t>）</w:t>
                  </w:r>
                  <w:r>
                    <w:rPr>
                      <w:rStyle w:val="30"/>
                      <w:rFonts w:hint="default" w:ascii="Times New Roman" w:hAnsi="Times New Roman" w:eastAsia="宋体" w:cs="Times New Roman"/>
                      <w:color w:val="auto"/>
                      <w:sz w:val="21"/>
                      <w:szCs w:val="21"/>
                    </w:rPr>
                    <w:t>用垃圾桶进行收集，由环卫部门统一处理</w:t>
                  </w:r>
                  <w:r>
                    <w:rPr>
                      <w:rStyle w:val="30"/>
                      <w:rFonts w:hint="eastAsia" w:cs="Times New Roman"/>
                      <w:color w:val="auto"/>
                      <w:sz w:val="21"/>
                      <w:szCs w:val="21"/>
                      <w:lang w:eastAsia="zh-CN"/>
                    </w:rPr>
                    <w:t>。</w:t>
                  </w:r>
                </w:p>
              </w:tc>
              <w:tc>
                <w:tcPr>
                  <w:tcW w:w="2017" w:type="dxa"/>
                  <w:noWrap w:val="0"/>
                  <w:vAlign w:val="center"/>
                </w:tcPr>
                <w:p w14:paraId="5DF8B097">
                  <w:pPr>
                    <w:jc w:val="center"/>
                    <w:rPr>
                      <w:rStyle w:val="30"/>
                      <w:rFonts w:hint="default" w:ascii="Times New Roman" w:hAnsi="Times New Roman" w:eastAsia="宋体" w:cs="Times New Roman"/>
                      <w:color w:val="auto"/>
                      <w:sz w:val="21"/>
                      <w:szCs w:val="21"/>
                      <w:lang w:val="en-US" w:eastAsia="zh-CN"/>
                    </w:rPr>
                  </w:pPr>
                  <w:r>
                    <w:rPr>
                      <w:rStyle w:val="30"/>
                      <w:rFonts w:hint="eastAsia" w:cs="Times New Roman"/>
                      <w:color w:val="auto"/>
                      <w:sz w:val="21"/>
                      <w:szCs w:val="21"/>
                      <w:lang w:val="en-US" w:eastAsia="zh-CN"/>
                    </w:rPr>
                    <w:t>新增生活垃圾1.5t/a。</w:t>
                  </w:r>
                </w:p>
              </w:tc>
              <w:tc>
                <w:tcPr>
                  <w:tcW w:w="2043" w:type="dxa"/>
                  <w:noWrap w:val="0"/>
                  <w:vAlign w:val="center"/>
                </w:tcPr>
                <w:p w14:paraId="4791597B">
                  <w:pPr>
                    <w:jc w:val="center"/>
                    <w:rPr>
                      <w:rStyle w:val="30"/>
                      <w:rFonts w:hint="default" w:ascii="Times New Roman" w:hAnsi="Times New Roman" w:eastAsia="宋体" w:cs="Times New Roman"/>
                      <w:color w:val="auto"/>
                      <w:sz w:val="21"/>
                      <w:szCs w:val="21"/>
                    </w:rPr>
                  </w:pPr>
                  <w:r>
                    <w:rPr>
                      <w:rStyle w:val="30"/>
                      <w:rFonts w:hint="default" w:ascii="Times New Roman" w:hAnsi="Times New Roman" w:eastAsia="宋体" w:cs="Times New Roman"/>
                      <w:color w:val="auto"/>
                      <w:sz w:val="21"/>
                      <w:szCs w:val="21"/>
                    </w:rPr>
                    <w:t>生活垃圾</w:t>
                  </w:r>
                  <w:r>
                    <w:rPr>
                      <w:rStyle w:val="30"/>
                      <w:rFonts w:hint="eastAsia" w:cs="Times New Roman"/>
                      <w:color w:val="auto"/>
                      <w:sz w:val="21"/>
                      <w:szCs w:val="21"/>
                      <w:lang w:eastAsia="zh-CN"/>
                    </w:rPr>
                    <w:t>（</w:t>
                  </w:r>
                  <w:r>
                    <w:rPr>
                      <w:rStyle w:val="30"/>
                      <w:rFonts w:hint="eastAsia" w:cs="Times New Roman"/>
                      <w:color w:val="auto"/>
                      <w:sz w:val="21"/>
                      <w:szCs w:val="21"/>
                      <w:lang w:val="en-US" w:eastAsia="zh-CN"/>
                    </w:rPr>
                    <w:t>7.5t/a</w:t>
                  </w:r>
                  <w:r>
                    <w:rPr>
                      <w:rStyle w:val="30"/>
                      <w:rFonts w:hint="eastAsia" w:cs="Times New Roman"/>
                      <w:color w:val="auto"/>
                      <w:sz w:val="21"/>
                      <w:szCs w:val="21"/>
                      <w:lang w:eastAsia="zh-CN"/>
                    </w:rPr>
                    <w:t>）</w:t>
                  </w:r>
                  <w:r>
                    <w:rPr>
                      <w:rStyle w:val="30"/>
                      <w:rFonts w:hint="default" w:ascii="Times New Roman" w:hAnsi="Times New Roman" w:eastAsia="宋体" w:cs="Times New Roman"/>
                      <w:color w:val="auto"/>
                      <w:sz w:val="21"/>
                      <w:szCs w:val="21"/>
                    </w:rPr>
                    <w:t>用垃圾桶进行收集，由环卫部门统一处理</w:t>
                  </w:r>
                </w:p>
              </w:tc>
              <w:tc>
                <w:tcPr>
                  <w:tcW w:w="855" w:type="dxa"/>
                  <w:noWrap w:val="0"/>
                  <w:vAlign w:val="center"/>
                </w:tcPr>
                <w:p w14:paraId="563F4CF9">
                  <w:pPr>
                    <w:jc w:val="center"/>
                    <w:rPr>
                      <w:rFonts w:hint="default" w:ascii="Times New Roman" w:hAnsi="Times New Roman" w:cs="Times New Roman"/>
                      <w:bCs/>
                      <w:sz w:val="21"/>
                      <w:szCs w:val="21"/>
                      <w:lang w:val="en-US" w:eastAsia="zh-CN"/>
                    </w:rPr>
                  </w:pPr>
                  <w:r>
                    <w:rPr>
                      <w:rFonts w:hint="eastAsia" w:cs="Times New Roman"/>
                      <w:bCs/>
                      <w:color w:val="000000" w:themeColor="text1"/>
                      <w:sz w:val="21"/>
                      <w:szCs w:val="21"/>
                      <w:lang w:val="en-US" w:eastAsia="zh-CN"/>
                      <w14:textFill>
                        <w14:solidFill>
                          <w14:schemeClr w14:val="tx1"/>
                        </w14:solidFill>
                      </w14:textFill>
                    </w:rPr>
                    <w:t>依托现有</w:t>
                  </w:r>
                </w:p>
              </w:tc>
            </w:tr>
            <w:tr w14:paraId="7006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continue"/>
                  <w:noWrap w:val="0"/>
                  <w:vAlign w:val="center"/>
                </w:tcPr>
                <w:p w14:paraId="427D093E">
                  <w:pPr>
                    <w:jc w:val="center"/>
                    <w:rPr>
                      <w:rFonts w:hint="default" w:ascii="Times New Roman" w:hAnsi="Times New Roman" w:cs="Times New Roman"/>
                      <w:sz w:val="21"/>
                      <w:szCs w:val="21"/>
                    </w:rPr>
                  </w:pPr>
                </w:p>
              </w:tc>
              <w:tc>
                <w:tcPr>
                  <w:tcW w:w="351" w:type="dxa"/>
                  <w:vMerge w:val="restart"/>
                  <w:noWrap w:val="0"/>
                  <w:vAlign w:val="center"/>
                </w:tcPr>
                <w:p w14:paraId="6972623F">
                  <w:pPr>
                    <w:jc w:val="center"/>
                    <w:rPr>
                      <w:rFonts w:hint="default" w:ascii="Times New Roman" w:hAnsi="Times New Roman" w:cs="Times New Roman"/>
                      <w:bCs/>
                      <w:sz w:val="21"/>
                      <w:szCs w:val="21"/>
                    </w:rPr>
                  </w:pPr>
                  <w:r>
                    <w:rPr>
                      <w:rFonts w:hint="default" w:ascii="Times New Roman" w:hAnsi="Times New Roman" w:cs="Times New Roman"/>
                      <w:bCs/>
                      <w:sz w:val="21"/>
                      <w:szCs w:val="21"/>
                    </w:rPr>
                    <w:t>固废</w:t>
                  </w:r>
                </w:p>
              </w:tc>
              <w:tc>
                <w:tcPr>
                  <w:tcW w:w="398" w:type="dxa"/>
                  <w:noWrap w:val="0"/>
                  <w:vAlign w:val="center"/>
                </w:tcPr>
                <w:p w14:paraId="676EEE06">
                  <w:pPr>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val="en-US" w:eastAsia="zh-CN"/>
                    </w:rPr>
                    <w:t>一般固废</w:t>
                  </w:r>
                </w:p>
              </w:tc>
              <w:tc>
                <w:tcPr>
                  <w:tcW w:w="1860" w:type="dxa"/>
                  <w:shd w:val="clear" w:color="auto" w:fill="auto"/>
                  <w:noWrap w:val="0"/>
                  <w:vAlign w:val="center"/>
                </w:tcPr>
                <w:p w14:paraId="14E5959E">
                  <w:pPr>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废边角料暂存至车间角落废边角料区，定期</w:t>
                  </w:r>
                  <w:r>
                    <w:rPr>
                      <w:rFonts w:hint="default" w:ascii="Times New Roman" w:hAnsi="Times New Roman" w:cs="Times New Roman"/>
                      <w:sz w:val="21"/>
                      <w:szCs w:val="21"/>
                      <w:highlight w:val="none"/>
                      <w:lang w:val="en-US" w:eastAsia="zh-CN"/>
                    </w:rPr>
                    <w:t>外售综合利用</w:t>
                  </w:r>
                  <w:r>
                    <w:rPr>
                      <w:rFonts w:hint="default" w:ascii="Times New Roman" w:hAnsi="Times New Roman" w:cs="Times New Roman"/>
                      <w:sz w:val="21"/>
                      <w:szCs w:val="21"/>
                      <w:highlight w:val="none"/>
                    </w:rPr>
                    <w:t>。</w:t>
                  </w:r>
                </w:p>
              </w:tc>
              <w:tc>
                <w:tcPr>
                  <w:tcW w:w="2017" w:type="dxa"/>
                  <w:noWrap w:val="0"/>
                  <w:vAlign w:val="center"/>
                </w:tcPr>
                <w:p w14:paraId="5E0E6231">
                  <w:pPr>
                    <w:jc w:val="center"/>
                    <w:rPr>
                      <w:rFonts w:hint="default" w:cs="Times New Roman"/>
                      <w:sz w:val="21"/>
                      <w:szCs w:val="21"/>
                      <w:highlight w:val="none"/>
                      <w:lang w:val="en-US" w:eastAsia="zh-CN"/>
                    </w:rPr>
                  </w:pPr>
                  <w:r>
                    <w:rPr>
                      <w:rFonts w:hint="eastAsia" w:cs="Times New Roman"/>
                      <w:sz w:val="21"/>
                      <w:szCs w:val="21"/>
                      <w:highlight w:val="none"/>
                      <w:lang w:val="en-US" w:eastAsia="zh-CN"/>
                    </w:rPr>
                    <w:t>新增收集尘、废布袋、粉末涂料包装等一般固废</w:t>
                  </w:r>
                </w:p>
              </w:tc>
              <w:tc>
                <w:tcPr>
                  <w:tcW w:w="2043" w:type="dxa"/>
                  <w:noWrap w:val="0"/>
                  <w:vAlign w:val="center"/>
                </w:tcPr>
                <w:p w14:paraId="2023DE74">
                  <w:pPr>
                    <w:jc w:val="center"/>
                    <w:rPr>
                      <w:rFonts w:hint="eastAsia" w:cs="Times New Roman"/>
                      <w:sz w:val="21"/>
                      <w:szCs w:val="21"/>
                      <w:highlight w:val="none"/>
                      <w:lang w:val="en-US" w:eastAsia="zh-CN"/>
                    </w:rPr>
                  </w:pPr>
                  <w:r>
                    <w:rPr>
                      <w:rFonts w:hint="eastAsia" w:cs="Times New Roman"/>
                      <w:sz w:val="21"/>
                      <w:szCs w:val="21"/>
                      <w:highlight w:val="none"/>
                      <w:lang w:val="en-US" w:eastAsia="zh-CN"/>
                    </w:rPr>
                    <w:t>废边角料、收集尘、废布袋、粉末涂料包装暂存于</w:t>
                  </w:r>
                  <w:r>
                    <w:rPr>
                      <w:rFonts w:hint="default" w:ascii="Times New Roman" w:hAnsi="Times New Roman" w:cs="Times New Roman"/>
                      <w:sz w:val="21"/>
                      <w:szCs w:val="21"/>
                      <w:highlight w:val="none"/>
                      <w:lang w:val="en-US" w:eastAsia="zh-CN"/>
                    </w:rPr>
                    <w:t>一般固废暂存间，</w:t>
                  </w:r>
                  <w:r>
                    <w:rPr>
                      <w:rFonts w:hint="eastAsia" w:cs="Times New Roman"/>
                      <w:sz w:val="21"/>
                      <w:szCs w:val="21"/>
                      <w:highlight w:val="none"/>
                      <w:lang w:val="en-US" w:eastAsia="zh-CN"/>
                    </w:rPr>
                    <w:t>定期</w:t>
                  </w:r>
                  <w:r>
                    <w:rPr>
                      <w:rFonts w:hint="default" w:ascii="Times New Roman" w:hAnsi="Times New Roman" w:cs="Times New Roman"/>
                      <w:sz w:val="21"/>
                      <w:szCs w:val="21"/>
                      <w:highlight w:val="none"/>
                      <w:lang w:val="en-US" w:eastAsia="zh-CN"/>
                    </w:rPr>
                    <w:t>外售</w:t>
                  </w:r>
                  <w:r>
                    <w:rPr>
                      <w:rFonts w:hint="default" w:ascii="Times New Roman" w:hAnsi="Times New Roman" w:cs="Times New Roman"/>
                      <w:sz w:val="21"/>
                      <w:szCs w:val="21"/>
                      <w:highlight w:val="none"/>
                    </w:rPr>
                    <w:t>。</w:t>
                  </w:r>
                </w:p>
              </w:tc>
              <w:tc>
                <w:tcPr>
                  <w:tcW w:w="855" w:type="dxa"/>
                  <w:noWrap w:val="0"/>
                  <w:vAlign w:val="center"/>
                </w:tcPr>
                <w:p w14:paraId="78304B7D">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新建</w:t>
                  </w:r>
                </w:p>
              </w:tc>
            </w:tr>
            <w:tr w14:paraId="0432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continue"/>
                  <w:noWrap w:val="0"/>
                  <w:vAlign w:val="center"/>
                </w:tcPr>
                <w:p w14:paraId="56FDCEEF">
                  <w:pPr>
                    <w:jc w:val="center"/>
                    <w:rPr>
                      <w:rFonts w:hint="default" w:ascii="Times New Roman" w:hAnsi="Times New Roman" w:cs="Times New Roman"/>
                      <w:sz w:val="21"/>
                      <w:szCs w:val="21"/>
                    </w:rPr>
                  </w:pPr>
                </w:p>
              </w:tc>
              <w:tc>
                <w:tcPr>
                  <w:tcW w:w="351" w:type="dxa"/>
                  <w:vMerge w:val="continue"/>
                  <w:noWrap w:val="0"/>
                  <w:vAlign w:val="center"/>
                </w:tcPr>
                <w:p w14:paraId="508D91B3">
                  <w:pPr>
                    <w:jc w:val="center"/>
                    <w:rPr>
                      <w:rFonts w:hint="default" w:ascii="Times New Roman" w:hAnsi="Times New Roman" w:cs="Times New Roman"/>
                      <w:bCs/>
                      <w:sz w:val="21"/>
                      <w:szCs w:val="21"/>
                    </w:rPr>
                  </w:pPr>
                </w:p>
              </w:tc>
              <w:tc>
                <w:tcPr>
                  <w:tcW w:w="398" w:type="dxa"/>
                  <w:noWrap w:val="0"/>
                  <w:vAlign w:val="center"/>
                </w:tcPr>
                <w:p w14:paraId="67B4EC58">
                  <w:pPr>
                    <w:pStyle w:val="20"/>
                    <w:spacing w:after="0" w:line="240" w:lineRule="atLeast"/>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val="en-US" w:eastAsia="zh-CN"/>
                    </w:rPr>
                    <w:t>危险废物</w:t>
                  </w:r>
                </w:p>
              </w:tc>
              <w:tc>
                <w:tcPr>
                  <w:tcW w:w="1860" w:type="dxa"/>
                  <w:shd w:val="clear" w:color="auto" w:fill="auto"/>
                  <w:noWrap w:val="0"/>
                  <w:vAlign w:val="center"/>
                </w:tcPr>
                <w:p w14:paraId="322AE87C">
                  <w:pPr>
                    <w:pStyle w:val="20"/>
                    <w:spacing w:after="0" w:line="240" w:lineRule="atLeast"/>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废切削液暂存于原危废暂存间（位于厂区北侧，约5m</w:t>
                  </w:r>
                  <w:r>
                    <w:rPr>
                      <w:rFonts w:hint="eastAsia" w:ascii="Times New Roman" w:hAnsi="Times New Roman" w:cs="Times New Roman"/>
                      <w:sz w:val="21"/>
                      <w:szCs w:val="21"/>
                      <w:highlight w:val="none"/>
                      <w:vertAlign w:val="superscript"/>
                      <w:lang w:val="en-US" w:eastAsia="zh-CN"/>
                    </w:rPr>
                    <w:t>2</w:t>
                  </w:r>
                  <w:r>
                    <w:rPr>
                      <w:rFonts w:hint="eastAsia" w:ascii="Times New Roman" w:hAnsi="Times New Roman" w:cs="Times New Roman"/>
                      <w:sz w:val="21"/>
                      <w:szCs w:val="21"/>
                      <w:highlight w:val="none"/>
                      <w:lang w:val="en-US" w:eastAsia="zh-CN"/>
                    </w:rPr>
                    <w:t>），定期</w:t>
                  </w:r>
                  <w:r>
                    <w:rPr>
                      <w:rFonts w:hint="default" w:ascii="Times New Roman" w:hAnsi="Times New Roman" w:cs="Times New Roman"/>
                      <w:sz w:val="21"/>
                      <w:szCs w:val="21"/>
                      <w:highlight w:val="none"/>
                      <w:lang w:val="en-US" w:eastAsia="zh-CN"/>
                    </w:rPr>
                    <w:t>委托有资质单位处理</w:t>
                  </w:r>
                  <w:r>
                    <w:rPr>
                      <w:rFonts w:hint="eastAsia" w:ascii="Times New Roman" w:hAnsi="Times New Roman" w:cs="Times New Roman"/>
                      <w:sz w:val="21"/>
                      <w:szCs w:val="21"/>
                      <w:highlight w:val="none"/>
                      <w:lang w:val="en-US" w:eastAsia="zh-CN"/>
                    </w:rPr>
                    <w:t>。</w:t>
                  </w:r>
                </w:p>
              </w:tc>
              <w:tc>
                <w:tcPr>
                  <w:tcW w:w="2017" w:type="dxa"/>
                  <w:noWrap w:val="0"/>
                  <w:vAlign w:val="center"/>
                </w:tcPr>
                <w:p w14:paraId="471A829D">
                  <w:pPr>
                    <w:pStyle w:val="20"/>
                    <w:spacing w:after="0" w:line="240" w:lineRule="atLeast"/>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新建</w:t>
                  </w:r>
                  <w:r>
                    <w:rPr>
                      <w:rFonts w:hint="eastAsia" w:ascii="Times New Roman" w:hAnsi="Times New Roman" w:cs="Times New Roman"/>
                      <w:sz w:val="21"/>
                      <w:szCs w:val="21"/>
                      <w:highlight w:val="none"/>
                      <w:lang w:val="en-US" w:eastAsia="zh-CN"/>
                    </w:rPr>
                    <w:t>50m</w:t>
                  </w:r>
                  <w:r>
                    <w:rPr>
                      <w:rFonts w:hint="eastAsia" w:ascii="Times New Roman" w:hAnsi="Times New Roman" w:cs="Times New Roman"/>
                      <w:sz w:val="21"/>
                      <w:szCs w:val="21"/>
                      <w:highlight w:val="none"/>
                      <w:vertAlign w:val="superscript"/>
                      <w:lang w:val="en-US" w:eastAsia="zh-CN"/>
                    </w:rPr>
                    <w:t>2</w:t>
                  </w:r>
                  <w:r>
                    <w:rPr>
                      <w:rFonts w:hint="eastAsia" w:cs="Times New Roman"/>
                      <w:sz w:val="21"/>
                      <w:szCs w:val="21"/>
                      <w:highlight w:val="none"/>
                      <w:lang w:val="en-US" w:eastAsia="zh-CN"/>
                    </w:rPr>
                    <w:t>危废暂存间，用于暂存新增废液压油（桶）、</w:t>
                  </w:r>
                  <w:r>
                    <w:rPr>
                      <w:rFonts w:hint="eastAsia" w:ascii="Times New Roman" w:hAnsi="Times New Roman" w:cs="Times New Roman"/>
                      <w:sz w:val="21"/>
                      <w:szCs w:val="21"/>
                      <w:highlight w:val="none"/>
                      <w:lang w:val="en-US" w:eastAsia="zh-CN"/>
                    </w:rPr>
                    <w:t>废漆桶、废过滤棉、漆渣、废封装料桶、废切削液、含油抹布及手套等危险废物。</w:t>
                  </w:r>
                </w:p>
              </w:tc>
              <w:tc>
                <w:tcPr>
                  <w:tcW w:w="2043" w:type="dxa"/>
                  <w:noWrap w:val="0"/>
                  <w:vAlign w:val="center"/>
                </w:tcPr>
                <w:p w14:paraId="7729176A">
                  <w:pPr>
                    <w:pStyle w:val="20"/>
                    <w:spacing w:after="0" w:line="240" w:lineRule="atLeast"/>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新建</w:t>
                  </w:r>
                  <w:r>
                    <w:rPr>
                      <w:rFonts w:hint="eastAsia" w:ascii="Times New Roman" w:hAnsi="Times New Roman" w:cs="Times New Roman"/>
                      <w:sz w:val="21"/>
                      <w:szCs w:val="21"/>
                      <w:highlight w:val="none"/>
                      <w:lang w:val="en-US" w:eastAsia="zh-CN"/>
                    </w:rPr>
                    <w:t>50m</w:t>
                  </w:r>
                  <w:r>
                    <w:rPr>
                      <w:rFonts w:hint="eastAsia" w:ascii="Times New Roman" w:hAnsi="Times New Roman" w:cs="Times New Roman"/>
                      <w:sz w:val="21"/>
                      <w:szCs w:val="21"/>
                      <w:highlight w:val="none"/>
                      <w:vertAlign w:val="superscript"/>
                      <w:lang w:val="en-US" w:eastAsia="zh-CN"/>
                    </w:rPr>
                    <w:t>2</w:t>
                  </w:r>
                  <w:r>
                    <w:rPr>
                      <w:rFonts w:hint="eastAsia" w:cs="Times New Roman"/>
                      <w:sz w:val="21"/>
                      <w:szCs w:val="21"/>
                      <w:highlight w:val="none"/>
                      <w:lang w:val="en-US" w:eastAsia="zh-CN"/>
                    </w:rPr>
                    <w:t>危废暂存间，用于暂存废液压油（桶）、</w:t>
                  </w:r>
                  <w:r>
                    <w:rPr>
                      <w:rFonts w:hint="eastAsia" w:ascii="Times New Roman" w:hAnsi="Times New Roman" w:cs="Times New Roman"/>
                      <w:sz w:val="21"/>
                      <w:szCs w:val="21"/>
                      <w:highlight w:val="none"/>
                      <w:lang w:val="en-US" w:eastAsia="zh-CN"/>
                    </w:rPr>
                    <w:t>废漆桶、废过滤棉、漆渣、废封装料桶、废切削液、含油抹布及手套等危险废物，定期</w:t>
                  </w:r>
                  <w:r>
                    <w:rPr>
                      <w:rFonts w:hint="default" w:ascii="Times New Roman" w:hAnsi="Times New Roman" w:cs="Times New Roman"/>
                      <w:sz w:val="21"/>
                      <w:szCs w:val="21"/>
                      <w:highlight w:val="none"/>
                      <w:lang w:val="en-US" w:eastAsia="zh-CN"/>
                    </w:rPr>
                    <w:t>委托有资质单位处理</w:t>
                  </w:r>
                  <w:r>
                    <w:rPr>
                      <w:rFonts w:hint="eastAsia" w:ascii="Times New Roman" w:hAnsi="Times New Roman" w:cs="Times New Roman"/>
                      <w:sz w:val="21"/>
                      <w:szCs w:val="21"/>
                      <w:highlight w:val="none"/>
                      <w:lang w:val="en-US" w:eastAsia="zh-CN"/>
                    </w:rPr>
                    <w:t>。</w:t>
                  </w:r>
                </w:p>
              </w:tc>
              <w:tc>
                <w:tcPr>
                  <w:tcW w:w="855" w:type="dxa"/>
                  <w:noWrap w:val="0"/>
                  <w:vAlign w:val="center"/>
                </w:tcPr>
                <w:p w14:paraId="36D94A0B">
                  <w:pPr>
                    <w:jc w:val="center"/>
                    <w:rPr>
                      <w:rFonts w:hint="default" w:ascii="Times New Roman" w:hAnsi="Times New Roman" w:eastAsia="宋体" w:cs="Times New Roman"/>
                      <w:bCs/>
                      <w:sz w:val="21"/>
                      <w:szCs w:val="21"/>
                      <w:lang w:eastAsia="zh-CN"/>
                    </w:rPr>
                  </w:pPr>
                  <w:r>
                    <w:rPr>
                      <w:rFonts w:hint="eastAsia" w:cs="Times New Roman"/>
                      <w:bCs/>
                      <w:sz w:val="21"/>
                      <w:szCs w:val="21"/>
                      <w:lang w:val="en-US" w:eastAsia="zh-CN"/>
                    </w:rPr>
                    <w:t>新建</w:t>
                  </w:r>
                </w:p>
              </w:tc>
            </w:tr>
            <w:tr w14:paraId="1028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888" w:hRule="atLeast"/>
                <w:jc w:val="center"/>
              </w:trPr>
              <w:tc>
                <w:tcPr>
                  <w:tcW w:w="463" w:type="dxa"/>
                  <w:vMerge w:val="continue"/>
                  <w:noWrap w:val="0"/>
                  <w:vAlign w:val="center"/>
                </w:tcPr>
                <w:p w14:paraId="1AC9D747">
                  <w:pPr>
                    <w:jc w:val="center"/>
                    <w:rPr>
                      <w:rFonts w:hint="default" w:ascii="Times New Roman" w:hAnsi="Times New Roman" w:cs="Times New Roman"/>
                      <w:bCs/>
                      <w:sz w:val="21"/>
                      <w:szCs w:val="21"/>
                    </w:rPr>
                  </w:pPr>
                </w:p>
              </w:tc>
              <w:tc>
                <w:tcPr>
                  <w:tcW w:w="351" w:type="dxa"/>
                  <w:vMerge w:val="restart"/>
                  <w:noWrap w:val="0"/>
                  <w:vAlign w:val="center"/>
                </w:tcPr>
                <w:p w14:paraId="4E1B8EF9">
                  <w:pPr>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color w:val="000000" w:themeColor="text1"/>
                      <w:sz w:val="21"/>
                      <w:szCs w:val="21"/>
                      <w14:textFill>
                        <w14:solidFill>
                          <w14:schemeClr w14:val="tx1"/>
                        </w14:solidFill>
                      </w14:textFill>
                    </w:rPr>
                    <w:t>土壤及地下</w:t>
                  </w:r>
                  <w:r>
                    <w:rPr>
                      <w:rFonts w:hint="default" w:ascii="Times New Roman" w:hAnsi="Times New Roman" w:cs="Times New Roman"/>
                      <w:bCs/>
                      <w:color w:val="000000" w:themeColor="text1"/>
                      <w:sz w:val="21"/>
                      <w:szCs w:val="21"/>
                      <w:lang w:val="en-US" w:eastAsia="zh-CN"/>
                      <w14:textFill>
                        <w14:solidFill>
                          <w14:schemeClr w14:val="tx1"/>
                        </w14:solidFill>
                      </w14:textFill>
                    </w:rPr>
                    <w:t>水</w:t>
                  </w:r>
                </w:p>
              </w:tc>
              <w:tc>
                <w:tcPr>
                  <w:tcW w:w="398" w:type="dxa"/>
                  <w:noWrap w:val="0"/>
                  <w:vAlign w:val="center"/>
                </w:tcPr>
                <w:p w14:paraId="045E361B">
                  <w:pPr>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一般防渗</w:t>
                  </w:r>
                </w:p>
              </w:tc>
              <w:tc>
                <w:tcPr>
                  <w:tcW w:w="1860" w:type="dxa"/>
                  <w:noWrap w:val="0"/>
                  <w:vAlign w:val="center"/>
                </w:tcPr>
                <w:p w14:paraId="6BB09466">
                  <w:pPr>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cs="Times New Roman"/>
                      <w:color w:val="000000" w:themeColor="text1"/>
                      <w:sz w:val="21"/>
                      <w:szCs w:val="21"/>
                      <w:highlight w:val="none"/>
                      <w14:textFill>
                        <w14:solidFill>
                          <w14:schemeClr w14:val="tx1"/>
                        </w14:solidFill>
                      </w14:textFill>
                    </w:rPr>
                    <w:t>生产区域等效黏土防渗层Mb≧1.5m，K≦1*10</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cm/s</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2017" w:type="dxa"/>
                  <w:noWrap w:val="0"/>
                  <w:vAlign w:val="center"/>
                </w:tcPr>
                <w:p w14:paraId="2E62B813">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2043" w:type="dxa"/>
                  <w:noWrap w:val="0"/>
                  <w:vAlign w:val="center"/>
                </w:tcPr>
                <w:p w14:paraId="78E2E3A4">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生产区域等效黏土防渗层Mb≧1.5m，K≦1*10</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cm/s</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855" w:type="dxa"/>
                  <w:noWrap w:val="0"/>
                  <w:vAlign w:val="center"/>
                </w:tcPr>
                <w:p w14:paraId="4C806156">
                  <w:pPr>
                    <w:jc w:val="center"/>
                    <w:rPr>
                      <w:rFonts w:hint="eastAsia" w:ascii="Times New Roman" w:hAnsi="Times New Roman" w:eastAsia="宋体" w:cs="Times New Roman"/>
                      <w:bCs/>
                      <w:sz w:val="21"/>
                      <w:szCs w:val="21"/>
                      <w:lang w:val="en-US" w:eastAsia="zh-CN"/>
                    </w:rPr>
                  </w:pPr>
                  <w:r>
                    <w:rPr>
                      <w:rFonts w:hint="eastAsia" w:cs="Times New Roman"/>
                      <w:bCs/>
                      <w:sz w:val="21"/>
                      <w:szCs w:val="21"/>
                      <w:lang w:val="en-US" w:eastAsia="zh-CN"/>
                    </w:rPr>
                    <w:t>/</w:t>
                  </w:r>
                </w:p>
              </w:tc>
            </w:tr>
            <w:tr w14:paraId="3057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32" w:hRule="atLeast"/>
                <w:jc w:val="center"/>
              </w:trPr>
              <w:tc>
                <w:tcPr>
                  <w:tcW w:w="463" w:type="dxa"/>
                  <w:vMerge w:val="continue"/>
                  <w:noWrap w:val="0"/>
                  <w:vAlign w:val="center"/>
                </w:tcPr>
                <w:p w14:paraId="71926413">
                  <w:pPr>
                    <w:jc w:val="center"/>
                    <w:rPr>
                      <w:rFonts w:hint="default" w:ascii="Times New Roman" w:hAnsi="Times New Roman" w:cs="Times New Roman"/>
                      <w:sz w:val="21"/>
                      <w:szCs w:val="21"/>
                    </w:rPr>
                  </w:pPr>
                </w:p>
              </w:tc>
              <w:tc>
                <w:tcPr>
                  <w:tcW w:w="351" w:type="dxa"/>
                  <w:vMerge w:val="continue"/>
                  <w:noWrap w:val="0"/>
                  <w:vAlign w:val="center"/>
                </w:tcPr>
                <w:p w14:paraId="78977412">
                  <w:pPr>
                    <w:jc w:val="center"/>
                    <w:rPr>
                      <w:rFonts w:hint="default" w:ascii="Times New Roman" w:hAnsi="Times New Roman" w:cs="Times New Roman"/>
                      <w:sz w:val="21"/>
                      <w:szCs w:val="21"/>
                    </w:rPr>
                  </w:pPr>
                </w:p>
              </w:tc>
              <w:tc>
                <w:tcPr>
                  <w:tcW w:w="398" w:type="dxa"/>
                  <w:noWrap w:val="0"/>
                  <w:vAlign w:val="center"/>
                </w:tcPr>
                <w:p w14:paraId="39D97DE3">
                  <w:pPr>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重点防渗</w:t>
                  </w:r>
                </w:p>
              </w:tc>
              <w:tc>
                <w:tcPr>
                  <w:tcW w:w="1860" w:type="dxa"/>
                  <w:noWrap w:val="0"/>
                  <w:vAlign w:val="center"/>
                </w:tcPr>
                <w:p w14:paraId="1E281DA0">
                  <w:pPr>
                    <w:jc w:val="center"/>
                    <w:rPr>
                      <w:rFonts w:hint="default" w:ascii="Times New Roman" w:hAnsi="Times New Roman" w:cs="Times New Roman"/>
                      <w:bCs/>
                      <w:sz w:val="21"/>
                      <w:szCs w:val="21"/>
                      <w:highlight w:val="yellow"/>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2017" w:type="dxa"/>
                  <w:noWrap w:val="0"/>
                  <w:vAlign w:val="center"/>
                </w:tcPr>
                <w:p w14:paraId="79A2810E">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新增化学品库</w:t>
                  </w:r>
                  <w:r>
                    <w:rPr>
                      <w:rFonts w:hint="default" w:ascii="Times New Roman" w:hAnsi="Times New Roman" w:cs="Times New Roman"/>
                      <w:color w:val="000000"/>
                      <w:sz w:val="21"/>
                      <w:szCs w:val="21"/>
                      <w:lang w:val="en-US" w:eastAsia="zh-CN"/>
                    </w:rPr>
                    <w:t>、喷漆房、</w:t>
                  </w:r>
                  <w:r>
                    <w:rPr>
                      <w:rFonts w:hint="eastAsia" w:cs="Times New Roman"/>
                      <w:color w:val="000000"/>
                      <w:sz w:val="21"/>
                      <w:szCs w:val="21"/>
                      <w:lang w:val="en-US" w:eastAsia="zh-CN"/>
                    </w:rPr>
                    <w:t>事故应急池</w:t>
                  </w:r>
                  <w:r>
                    <w:rPr>
                      <w:rFonts w:hint="default" w:ascii="Times New Roman" w:hAnsi="Times New Roman" w:cs="Times New Roman"/>
                      <w:color w:val="000000"/>
                      <w:sz w:val="21"/>
                      <w:szCs w:val="21"/>
                      <w:lang w:val="en-US" w:eastAsia="zh-CN"/>
                    </w:rPr>
                    <w:t>和危废暂存间</w:t>
                  </w:r>
                  <w:r>
                    <w:rPr>
                      <w:rFonts w:hint="default" w:ascii="Times New Roman" w:hAnsi="Times New Roman" w:cs="Times New Roman"/>
                      <w:color w:val="000000" w:themeColor="text1"/>
                      <w:sz w:val="21"/>
                      <w:szCs w:val="21"/>
                      <w:highlight w:val="none"/>
                      <w14:textFill>
                        <w14:solidFill>
                          <w14:schemeClr w14:val="tx1"/>
                        </w14:solidFill>
                      </w14:textFill>
                    </w:rPr>
                    <w:t>等区域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等效黏土防渗层Mb≧6m，K≦1×10</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cm/s</w:t>
                  </w:r>
                  <w:r>
                    <w:rPr>
                      <w:rFonts w:hint="eastAsia" w:cs="Times New Roman"/>
                      <w:color w:val="000000" w:themeColor="text1"/>
                      <w:sz w:val="21"/>
                      <w:szCs w:val="21"/>
                      <w:highlight w:val="none"/>
                      <w:lang w:val="en-US" w:eastAsia="zh-CN"/>
                      <w14:textFill>
                        <w14:solidFill>
                          <w14:schemeClr w14:val="tx1"/>
                        </w14:solidFill>
                      </w14:textFill>
                    </w:rPr>
                    <w:t>或参照GB18598执行</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2043" w:type="dxa"/>
                  <w:noWrap w:val="0"/>
                  <w:vAlign w:val="center"/>
                </w:tcPr>
                <w:p w14:paraId="76C63C60">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化学品库</w:t>
                  </w:r>
                  <w:r>
                    <w:rPr>
                      <w:rFonts w:hint="default" w:ascii="Times New Roman" w:hAnsi="Times New Roman" w:cs="Times New Roman"/>
                      <w:color w:val="000000"/>
                      <w:sz w:val="21"/>
                      <w:szCs w:val="21"/>
                      <w:lang w:val="en-US" w:eastAsia="zh-CN"/>
                    </w:rPr>
                    <w:t>、喷漆房</w:t>
                  </w:r>
                  <w:r>
                    <w:rPr>
                      <w:rFonts w:hint="eastAsia" w:cs="Times New Roman"/>
                      <w:color w:val="000000"/>
                      <w:sz w:val="21"/>
                      <w:szCs w:val="21"/>
                      <w:lang w:val="en-US" w:eastAsia="zh-CN"/>
                    </w:rPr>
                    <w:t>、事故应急池</w:t>
                  </w:r>
                  <w:r>
                    <w:rPr>
                      <w:rFonts w:hint="default" w:ascii="Times New Roman" w:hAnsi="Times New Roman" w:cs="Times New Roman"/>
                      <w:color w:val="000000"/>
                      <w:sz w:val="21"/>
                      <w:szCs w:val="21"/>
                      <w:lang w:val="en-US" w:eastAsia="zh-CN"/>
                    </w:rPr>
                    <w:t>和危废暂存间</w:t>
                  </w:r>
                  <w:r>
                    <w:rPr>
                      <w:rFonts w:hint="default" w:ascii="Times New Roman" w:hAnsi="Times New Roman" w:cs="Times New Roman"/>
                      <w:color w:val="000000" w:themeColor="text1"/>
                      <w:sz w:val="21"/>
                      <w:szCs w:val="21"/>
                      <w:highlight w:val="none"/>
                      <w14:textFill>
                        <w14:solidFill>
                          <w14:schemeClr w14:val="tx1"/>
                        </w14:solidFill>
                      </w14:textFill>
                    </w:rPr>
                    <w:t>等区域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等效黏土防渗层Mb≧6m，K≦1×10</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cs="Times New Roman"/>
                      <w:color w:val="000000" w:themeColor="text1"/>
                      <w:sz w:val="21"/>
                      <w:szCs w:val="21"/>
                      <w:highlight w:val="none"/>
                      <w14:textFill>
                        <w14:solidFill>
                          <w14:schemeClr w14:val="tx1"/>
                        </w14:solidFill>
                      </w14:textFill>
                    </w:rPr>
                    <w:t>cm/s</w:t>
                  </w:r>
                  <w:r>
                    <w:rPr>
                      <w:rFonts w:hint="eastAsia" w:cs="Times New Roman"/>
                      <w:color w:val="000000" w:themeColor="text1"/>
                      <w:sz w:val="21"/>
                      <w:szCs w:val="21"/>
                      <w:highlight w:val="none"/>
                      <w:lang w:val="en-US" w:eastAsia="zh-CN"/>
                      <w14:textFill>
                        <w14:solidFill>
                          <w14:schemeClr w14:val="tx1"/>
                        </w14:solidFill>
                      </w14:textFill>
                    </w:rPr>
                    <w:t>或参照GB18598执行</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55" w:type="dxa"/>
                  <w:noWrap w:val="0"/>
                  <w:vAlign w:val="center"/>
                </w:tcPr>
                <w:p w14:paraId="625700DC">
                  <w:pPr>
                    <w:jc w:val="center"/>
                    <w:rPr>
                      <w:rFonts w:hint="default" w:ascii="Times New Roman" w:hAnsi="Times New Roman" w:cs="Times New Roman"/>
                      <w:bCs/>
                      <w:sz w:val="21"/>
                      <w:szCs w:val="21"/>
                    </w:rPr>
                  </w:pPr>
                  <w:r>
                    <w:rPr>
                      <w:rFonts w:hint="eastAsia" w:cs="Times New Roman"/>
                      <w:bCs/>
                      <w:sz w:val="21"/>
                      <w:szCs w:val="21"/>
                      <w:lang w:val="en-US" w:eastAsia="zh-CN"/>
                    </w:rPr>
                    <w:t>新建</w:t>
                  </w:r>
                </w:p>
              </w:tc>
            </w:tr>
            <w:tr w14:paraId="4ECD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63" w:type="dxa"/>
                  <w:vMerge w:val="continue"/>
                  <w:noWrap w:val="0"/>
                  <w:vAlign w:val="center"/>
                </w:tcPr>
                <w:p w14:paraId="68BB6B70">
                  <w:pPr>
                    <w:jc w:val="center"/>
                    <w:rPr>
                      <w:rFonts w:hint="default" w:ascii="Times New Roman" w:hAnsi="Times New Roman" w:cs="Times New Roman"/>
                      <w:bCs/>
                      <w:sz w:val="21"/>
                      <w:szCs w:val="21"/>
                    </w:rPr>
                  </w:pPr>
                </w:p>
              </w:tc>
              <w:tc>
                <w:tcPr>
                  <w:tcW w:w="749" w:type="dxa"/>
                  <w:gridSpan w:val="2"/>
                  <w:noWrap w:val="0"/>
                  <w:vAlign w:val="center"/>
                </w:tcPr>
                <w:p w14:paraId="7F959CEB">
                  <w:pPr>
                    <w:jc w:val="center"/>
                    <w:rPr>
                      <w:rFonts w:hint="default" w:ascii="Times New Roman" w:hAnsi="Times New Roman" w:cs="Times New Roman"/>
                      <w:bCs/>
                      <w:sz w:val="21"/>
                      <w:szCs w:val="21"/>
                    </w:rPr>
                  </w:pPr>
                  <w:r>
                    <w:rPr>
                      <w:rFonts w:hint="default" w:ascii="Times New Roman" w:hAnsi="Times New Roman" w:cs="Times New Roman"/>
                      <w:color w:val="000000" w:themeColor="text1"/>
                      <w:sz w:val="21"/>
                      <w:szCs w:val="21"/>
                      <w14:textFill>
                        <w14:solidFill>
                          <w14:schemeClr w14:val="tx1"/>
                        </w14:solidFill>
                      </w14:textFill>
                    </w:rPr>
                    <w:t>环境风险</w:t>
                  </w:r>
                </w:p>
              </w:tc>
              <w:tc>
                <w:tcPr>
                  <w:tcW w:w="1860" w:type="dxa"/>
                  <w:noWrap w:val="0"/>
                  <w:vAlign w:val="center"/>
                </w:tcPr>
                <w:p w14:paraId="0B326188">
                  <w:pPr>
                    <w:jc w:val="center"/>
                    <w:rPr>
                      <w:rFonts w:hint="eastAsia" w:ascii="Times New Roman" w:hAnsi="Times New Roman" w:eastAsia="宋体" w:cs="Times New Roman"/>
                      <w:sz w:val="21"/>
                      <w:szCs w:val="21"/>
                      <w:lang w:val="en-US" w:eastAsia="zh-CN"/>
                    </w:rPr>
                  </w:pPr>
                  <w:r>
                    <w:rPr>
                      <w:rFonts w:hint="eastAsia" w:ascii="宋体" w:hAnsi="宋体" w:eastAsia="宋体" w:cs="宋体"/>
                      <w:color w:val="000000" w:themeColor="text1"/>
                      <w:spacing w:val="-1"/>
                      <w:position w:val="0"/>
                      <w:sz w:val="21"/>
                      <w:szCs w:val="21"/>
                      <w:u w:val="none"/>
                      <w:lang w:eastAsia="zh-CN"/>
                      <w14:textFill>
                        <w14:solidFill>
                          <w14:schemeClr w14:val="tx1"/>
                        </w14:solidFill>
                      </w14:textFill>
                    </w:rPr>
                    <w:t>已</w:t>
                  </w:r>
                  <w:r>
                    <w:rPr>
                      <w:rFonts w:hint="eastAsia" w:ascii="宋体" w:hAnsi="宋体" w:eastAsia="宋体" w:cs="宋体"/>
                      <w:color w:val="000000" w:themeColor="text1"/>
                      <w:spacing w:val="-1"/>
                      <w:position w:val="0"/>
                      <w:sz w:val="21"/>
                      <w:szCs w:val="21"/>
                      <w:u w:val="none"/>
                      <w14:textFill>
                        <w14:solidFill>
                          <w14:schemeClr w14:val="tx1"/>
                        </w14:solidFill>
                      </w14:textFill>
                    </w:rPr>
                    <w:t>制定</w:t>
                  </w:r>
                  <w:r>
                    <w:rPr>
                      <w:rFonts w:hint="eastAsia" w:ascii="宋体" w:hAnsi="宋体" w:cs="宋体"/>
                      <w:color w:val="000000" w:themeColor="text1"/>
                      <w:spacing w:val="-1"/>
                      <w:position w:val="0"/>
                      <w:sz w:val="21"/>
                      <w:szCs w:val="21"/>
                      <w:u w:val="none"/>
                      <w:lang w:val="en-US" w:eastAsia="zh-CN"/>
                      <w14:textFill>
                        <w14:solidFill>
                          <w14:schemeClr w14:val="tx1"/>
                        </w14:solidFill>
                      </w14:textFill>
                    </w:rPr>
                    <w:t>突发环境事件</w:t>
                  </w:r>
                  <w:r>
                    <w:rPr>
                      <w:rFonts w:hint="eastAsia" w:ascii="宋体" w:hAnsi="宋体" w:eastAsia="宋体" w:cs="宋体"/>
                      <w:color w:val="000000" w:themeColor="text1"/>
                      <w:spacing w:val="-1"/>
                      <w:position w:val="0"/>
                      <w:sz w:val="21"/>
                      <w:szCs w:val="21"/>
                      <w:u w:val="none"/>
                      <w14:textFill>
                        <w14:solidFill>
                          <w14:schemeClr w14:val="tx1"/>
                        </w14:solidFill>
                      </w14:textFill>
                    </w:rPr>
                    <w:t>应急预案</w:t>
                  </w:r>
                  <w:r>
                    <w:rPr>
                      <w:rFonts w:hint="eastAsia" w:ascii="宋体" w:hAnsi="宋体" w:cs="宋体"/>
                      <w:color w:val="000000" w:themeColor="text1"/>
                      <w:spacing w:val="-1"/>
                      <w:position w:val="0"/>
                      <w:sz w:val="21"/>
                      <w:szCs w:val="21"/>
                      <w:u w:val="none"/>
                      <w:lang w:eastAsia="zh-CN"/>
                      <w14:textFill>
                        <w14:solidFill>
                          <w14:schemeClr w14:val="tx1"/>
                        </w14:solidFill>
                      </w14:textFill>
                    </w:rPr>
                    <w:t>，</w:t>
                  </w:r>
                  <w:r>
                    <w:rPr>
                      <w:rFonts w:hint="eastAsia" w:ascii="宋体" w:hAnsi="宋体" w:eastAsia="宋体" w:cs="宋体"/>
                      <w:color w:val="000000" w:themeColor="text1"/>
                      <w:spacing w:val="-1"/>
                      <w:position w:val="0"/>
                      <w:sz w:val="21"/>
                      <w:szCs w:val="21"/>
                      <w:u w:val="none"/>
                      <w14:textFill>
                        <w14:solidFill>
                          <w14:schemeClr w14:val="tx1"/>
                        </w14:solidFill>
                      </w14:textFill>
                    </w:rPr>
                    <w:t>消防系统</w:t>
                  </w:r>
                  <w:r>
                    <w:rPr>
                      <w:rFonts w:hint="eastAsia" w:ascii="宋体" w:hAnsi="宋体" w:cs="宋体"/>
                      <w:color w:val="000000" w:themeColor="text1"/>
                      <w:spacing w:val="-1"/>
                      <w:position w:val="0"/>
                      <w:sz w:val="21"/>
                      <w:szCs w:val="21"/>
                      <w:u w:val="none"/>
                      <w:lang w:eastAsia="zh-CN"/>
                      <w14:textFill>
                        <w14:solidFill>
                          <w14:schemeClr w14:val="tx1"/>
                        </w14:solidFill>
                      </w14:textFill>
                    </w:rPr>
                    <w:t>。</w:t>
                  </w:r>
                </w:p>
              </w:tc>
              <w:tc>
                <w:tcPr>
                  <w:tcW w:w="2017" w:type="dxa"/>
                  <w:noWrap w:val="0"/>
                  <w:vAlign w:val="center"/>
                </w:tcPr>
                <w:p w14:paraId="40A8781E">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宋体" w:hAnsi="宋体" w:cs="宋体"/>
                      <w:color w:val="000000"/>
                      <w:kern w:val="2"/>
                      <w:sz w:val="22"/>
                      <w:szCs w:val="22"/>
                      <w:highlight w:val="none"/>
                      <w:lang w:val="en-US" w:eastAsia="zh-CN"/>
                    </w:rPr>
                    <w:t>新增</w:t>
                  </w: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lang w:val="en-US" w:eastAsia="zh-CN"/>
                      <w14:textFill>
                        <w14:solidFill>
                          <w14:schemeClr w14:val="tx1"/>
                        </w14:solidFill>
                      </w14:textFill>
                    </w:rPr>
                    <w:t>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宋体" w:hAnsi="宋体" w:cs="宋体"/>
                      <w:color w:val="000000"/>
                      <w:kern w:val="2"/>
                      <w:sz w:val="22"/>
                      <w:szCs w:val="22"/>
                      <w:highlight w:val="none"/>
                      <w:lang w:val="en-US" w:eastAsia="zh-CN"/>
                    </w:rPr>
                    <w:t>事故应急池，修订突发环境事件</w:t>
                  </w:r>
                  <w:r>
                    <w:rPr>
                      <w:rFonts w:hint="default" w:ascii="宋体" w:hAnsi="宋体" w:eastAsia="宋体" w:cs="宋体"/>
                      <w:color w:val="000000"/>
                      <w:kern w:val="2"/>
                      <w:sz w:val="22"/>
                      <w:szCs w:val="22"/>
                      <w:highlight w:val="none"/>
                      <w:lang w:val="en-US" w:eastAsia="zh-CN"/>
                    </w:rPr>
                    <w:t>应急预案</w:t>
                  </w:r>
                  <w:r>
                    <w:rPr>
                      <w:rFonts w:hint="eastAsia" w:ascii="宋体" w:hAnsi="宋体" w:cs="宋体"/>
                      <w:color w:val="000000"/>
                      <w:kern w:val="2"/>
                      <w:sz w:val="22"/>
                      <w:szCs w:val="22"/>
                      <w:highlight w:val="none"/>
                      <w:lang w:val="en-US" w:eastAsia="zh-CN"/>
                    </w:rPr>
                    <w:t>并定期演练。</w:t>
                  </w:r>
                </w:p>
              </w:tc>
              <w:tc>
                <w:tcPr>
                  <w:tcW w:w="2043" w:type="dxa"/>
                  <w:noWrap w:val="0"/>
                  <w:vAlign w:val="center"/>
                </w:tcPr>
                <w:p w14:paraId="566ACA12">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宋体" w:hAnsi="宋体" w:cs="宋体"/>
                      <w:color w:val="000000"/>
                      <w:kern w:val="2"/>
                      <w:sz w:val="22"/>
                      <w:szCs w:val="22"/>
                      <w:highlight w:val="none"/>
                      <w:lang w:val="en-US" w:eastAsia="zh-CN"/>
                    </w:rPr>
                    <w:t>修订突发环境事件</w:t>
                  </w:r>
                  <w:r>
                    <w:rPr>
                      <w:rFonts w:hint="default" w:ascii="宋体" w:hAnsi="宋体" w:eastAsia="宋体" w:cs="宋体"/>
                      <w:color w:val="000000"/>
                      <w:kern w:val="2"/>
                      <w:sz w:val="22"/>
                      <w:szCs w:val="22"/>
                      <w:highlight w:val="none"/>
                      <w:lang w:val="en-US" w:eastAsia="zh-CN"/>
                    </w:rPr>
                    <w:t>应急预案</w:t>
                  </w:r>
                  <w:r>
                    <w:rPr>
                      <w:rFonts w:hint="eastAsia" w:ascii="宋体" w:hAnsi="宋体" w:cs="宋体"/>
                      <w:color w:val="000000"/>
                      <w:kern w:val="2"/>
                      <w:sz w:val="22"/>
                      <w:szCs w:val="22"/>
                      <w:highlight w:val="none"/>
                      <w:lang w:val="en-US" w:eastAsia="zh-CN"/>
                    </w:rPr>
                    <w:t>，新增</w:t>
                  </w: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lang w:val="en-US" w:eastAsia="zh-CN"/>
                      <w14:textFill>
                        <w14:solidFill>
                          <w14:schemeClr w14:val="tx1"/>
                        </w14:solidFill>
                      </w14:textFill>
                    </w:rPr>
                    <w:t>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宋体" w:hAnsi="宋体" w:cs="宋体"/>
                      <w:color w:val="000000"/>
                      <w:kern w:val="2"/>
                      <w:sz w:val="22"/>
                      <w:szCs w:val="22"/>
                      <w:highlight w:val="none"/>
                      <w:lang w:val="en-US" w:eastAsia="zh-CN"/>
                    </w:rPr>
                    <w:t>事故应急及</w:t>
                  </w:r>
                  <w:r>
                    <w:rPr>
                      <w:rFonts w:hint="eastAsia" w:cs="Times New Roman"/>
                      <w:sz w:val="21"/>
                      <w:szCs w:val="21"/>
                      <w:highlight w:val="none"/>
                      <w:lang w:val="en-US" w:eastAsia="zh-CN"/>
                    </w:rPr>
                    <w:t>5</w:t>
                  </w:r>
                  <w:r>
                    <w:rPr>
                      <w:rFonts w:hint="eastAsia" w:ascii="Times New Roman" w:hAnsi="Times New Roman" w:cs="Times New Roman"/>
                      <w:sz w:val="21"/>
                      <w:szCs w:val="21"/>
                      <w:highlight w:val="none"/>
                      <w:lang w:val="en-US" w:eastAsia="zh-CN"/>
                    </w:rPr>
                    <w:t>0m</w:t>
                  </w:r>
                  <w:r>
                    <w:rPr>
                      <w:rFonts w:hint="eastAsia" w:ascii="Times New Roman" w:hAnsi="Times New Roman" w:cs="Times New Roman"/>
                      <w:sz w:val="21"/>
                      <w:szCs w:val="21"/>
                      <w:highlight w:val="none"/>
                      <w:vertAlign w:val="superscript"/>
                      <w:lang w:val="en-US" w:eastAsia="zh-CN"/>
                    </w:rPr>
                    <w:t>2</w:t>
                  </w:r>
                  <w:r>
                    <w:rPr>
                      <w:rFonts w:hint="eastAsia" w:cs="Times New Roman"/>
                      <w:sz w:val="21"/>
                      <w:szCs w:val="21"/>
                      <w:highlight w:val="none"/>
                      <w:lang w:val="en-US" w:eastAsia="zh-CN"/>
                    </w:rPr>
                    <w:t>危废暂存间</w:t>
                  </w:r>
                  <w:r>
                    <w:rPr>
                      <w:rFonts w:hint="eastAsia" w:ascii="宋体" w:hAnsi="宋体" w:cs="宋体"/>
                      <w:color w:val="000000"/>
                      <w:kern w:val="2"/>
                      <w:sz w:val="22"/>
                      <w:szCs w:val="22"/>
                      <w:highlight w:val="none"/>
                      <w:lang w:val="en-US" w:eastAsia="zh-CN"/>
                    </w:rPr>
                    <w:t>。</w:t>
                  </w:r>
                </w:p>
              </w:tc>
              <w:tc>
                <w:tcPr>
                  <w:tcW w:w="855" w:type="dxa"/>
                  <w:noWrap w:val="0"/>
                  <w:vAlign w:val="center"/>
                </w:tcPr>
                <w:p w14:paraId="1BD01D28">
                  <w:pPr>
                    <w:jc w:val="center"/>
                    <w:rPr>
                      <w:rFonts w:hint="default" w:ascii="Times New Roman" w:hAnsi="Times New Roman" w:eastAsia="宋体" w:cs="Times New Roman"/>
                      <w:bCs/>
                      <w:sz w:val="21"/>
                      <w:szCs w:val="21"/>
                      <w:lang w:val="en-US" w:eastAsia="zh-CN"/>
                    </w:rPr>
                  </w:pPr>
                  <w:r>
                    <w:rPr>
                      <w:rFonts w:hint="eastAsia" w:cs="Times New Roman"/>
                      <w:bCs/>
                      <w:sz w:val="21"/>
                      <w:szCs w:val="21"/>
                      <w:lang w:val="en-US" w:eastAsia="zh-CN"/>
                    </w:rPr>
                    <w:t>新建</w:t>
                  </w:r>
                </w:p>
              </w:tc>
            </w:tr>
          </w:tbl>
          <w:p w14:paraId="5735626B">
            <w:pPr>
              <w:bidi w:val="0"/>
            </w:pPr>
          </w:p>
          <w:p w14:paraId="1659F8F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宋体" w:hAnsi="宋体" w:eastAsia="宋体" w:cs="宋体"/>
                <w:b/>
                <w:bCs/>
                <w:sz w:val="22"/>
                <w:szCs w:val="22"/>
                <w:lang w:val="en-US" w:eastAsia="zh-CN"/>
              </w:rPr>
              <w:t>表</w:t>
            </w:r>
            <w:r>
              <w:rPr>
                <w:rFonts w:hint="default" w:ascii="Times New Roman" w:hAnsi="Times New Roman" w:eastAsia="宋体" w:cs="Times New Roman"/>
                <w:b/>
                <w:bCs/>
                <w:sz w:val="22"/>
                <w:szCs w:val="22"/>
                <w:highlight w:val="none"/>
                <w:lang w:val="en-US" w:eastAsia="zh-CN"/>
              </w:rPr>
              <w:t>2-</w:t>
            </w:r>
            <w:r>
              <w:rPr>
                <w:rFonts w:hint="eastAsia" w:cs="Times New Roman"/>
                <w:b/>
                <w:bCs/>
                <w:sz w:val="22"/>
                <w:szCs w:val="22"/>
                <w:highlight w:val="none"/>
                <w:lang w:val="en-US" w:eastAsia="zh-CN"/>
              </w:rPr>
              <w:t>4</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本项目与</w:t>
            </w:r>
            <w:r>
              <w:rPr>
                <w:rFonts w:hint="eastAsia" w:ascii="宋体" w:hAnsi="宋体" w:cs="宋体"/>
                <w:b/>
                <w:bCs/>
                <w:sz w:val="22"/>
                <w:szCs w:val="22"/>
                <w:highlight w:val="none"/>
                <w:lang w:val="en-US" w:eastAsia="zh-CN"/>
              </w:rPr>
              <w:t>现有工程依托情况及</w:t>
            </w:r>
            <w:r>
              <w:rPr>
                <w:rFonts w:hint="eastAsia" w:ascii="宋体" w:hAnsi="宋体" w:cs="宋体"/>
                <w:b/>
                <w:bCs/>
                <w:sz w:val="22"/>
                <w:szCs w:val="22"/>
                <w:lang w:val="en-US" w:eastAsia="zh-CN"/>
              </w:rPr>
              <w:t>其可行性分析</w:t>
            </w:r>
          </w:p>
          <w:tbl>
            <w:tblPr>
              <w:tblStyle w:val="24"/>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01"/>
              <w:gridCol w:w="780"/>
              <w:gridCol w:w="2086"/>
              <w:gridCol w:w="4546"/>
            </w:tblGrid>
            <w:tr w14:paraId="6B39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07" w:hRule="atLeast"/>
                <w:jc w:val="center"/>
              </w:trPr>
              <w:tc>
                <w:tcPr>
                  <w:tcW w:w="375" w:type="pct"/>
                  <w:tcBorders>
                    <w:tl2br w:val="nil"/>
                    <w:tr2bl w:val="nil"/>
                  </w:tcBorders>
                  <w:noWrap/>
                  <w:tcMar>
                    <w:top w:w="57" w:type="dxa"/>
                    <w:left w:w="57" w:type="dxa"/>
                    <w:bottom w:w="57" w:type="dxa"/>
                    <w:right w:w="57" w:type="dxa"/>
                  </w:tcMar>
                  <w:vAlign w:val="center"/>
                </w:tcPr>
                <w:p w14:paraId="4DA54B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default" w:ascii="Times New Roman" w:hAnsi="Times New Roman" w:eastAsia="宋体" w:cs="Times New Roman"/>
                      <w:b/>
                      <w:bCs/>
                      <w:color w:val="000000"/>
                      <w:kern w:val="2"/>
                      <w:sz w:val="21"/>
                      <w:szCs w:val="21"/>
                      <w:highlight w:val="none"/>
                      <w:lang w:val="en-US" w:eastAsia="zh-CN"/>
                    </w:rPr>
                    <w:t>工程类别</w:t>
                  </w:r>
                </w:p>
              </w:tc>
              <w:tc>
                <w:tcPr>
                  <w:tcW w:w="486" w:type="pct"/>
                  <w:tcBorders>
                    <w:tl2br w:val="nil"/>
                    <w:tr2bl w:val="nil"/>
                  </w:tcBorders>
                  <w:noWrap/>
                  <w:tcMar>
                    <w:top w:w="57" w:type="dxa"/>
                    <w:left w:w="57" w:type="dxa"/>
                    <w:bottom w:w="57" w:type="dxa"/>
                    <w:right w:w="57" w:type="dxa"/>
                  </w:tcMar>
                  <w:vAlign w:val="center"/>
                </w:tcPr>
                <w:p w14:paraId="0B42AF4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default" w:ascii="Times New Roman" w:hAnsi="Times New Roman" w:eastAsia="宋体" w:cs="Times New Roman"/>
                      <w:b/>
                      <w:bCs/>
                      <w:color w:val="000000"/>
                      <w:kern w:val="2"/>
                      <w:sz w:val="21"/>
                      <w:szCs w:val="21"/>
                      <w:highlight w:val="none"/>
                      <w:lang w:val="en-US" w:eastAsia="zh-CN"/>
                    </w:rPr>
                    <w:t>单项工程名称</w:t>
                  </w:r>
                </w:p>
              </w:tc>
              <w:tc>
                <w:tcPr>
                  <w:tcW w:w="1301" w:type="pct"/>
                  <w:tcBorders>
                    <w:tl2br w:val="nil"/>
                    <w:tr2bl w:val="nil"/>
                  </w:tcBorders>
                  <w:noWrap/>
                  <w:tcMar>
                    <w:top w:w="57" w:type="dxa"/>
                    <w:left w:w="57" w:type="dxa"/>
                    <w:bottom w:w="57" w:type="dxa"/>
                    <w:right w:w="57" w:type="dxa"/>
                  </w:tcMar>
                  <w:vAlign w:val="center"/>
                </w:tcPr>
                <w:p w14:paraId="10BB32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依托工程内容</w:t>
                  </w:r>
                </w:p>
              </w:tc>
              <w:tc>
                <w:tcPr>
                  <w:tcW w:w="2836" w:type="pct"/>
                  <w:tcBorders>
                    <w:tl2br w:val="nil"/>
                    <w:tr2bl w:val="nil"/>
                  </w:tcBorders>
                  <w:noWrap/>
                  <w:tcMar>
                    <w:top w:w="57" w:type="dxa"/>
                    <w:left w:w="57" w:type="dxa"/>
                    <w:bottom w:w="57" w:type="dxa"/>
                    <w:right w:w="57" w:type="dxa"/>
                  </w:tcMar>
                  <w:vAlign w:val="center"/>
                </w:tcPr>
                <w:p w14:paraId="0EA4F2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依托可行性分析</w:t>
                  </w:r>
                </w:p>
              </w:tc>
            </w:tr>
            <w:tr w14:paraId="43DA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2" w:hRule="atLeast"/>
                <w:jc w:val="center"/>
              </w:trPr>
              <w:tc>
                <w:tcPr>
                  <w:tcW w:w="375" w:type="pct"/>
                  <w:vMerge w:val="restart"/>
                  <w:tcBorders>
                    <w:tl2br w:val="nil"/>
                    <w:tr2bl w:val="nil"/>
                  </w:tcBorders>
                  <w:noWrap/>
                  <w:tcMar>
                    <w:top w:w="57" w:type="dxa"/>
                    <w:left w:w="57" w:type="dxa"/>
                    <w:bottom w:w="57" w:type="dxa"/>
                    <w:right w:w="57" w:type="dxa"/>
                  </w:tcMar>
                  <w:vAlign w:val="center"/>
                </w:tcPr>
                <w:p w14:paraId="3C84C27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主体工程</w:t>
                  </w:r>
                </w:p>
              </w:tc>
              <w:tc>
                <w:tcPr>
                  <w:tcW w:w="486" w:type="pct"/>
                  <w:tcBorders>
                    <w:tl2br w:val="nil"/>
                    <w:tr2bl w:val="nil"/>
                  </w:tcBorders>
                  <w:noWrap/>
                  <w:tcMar>
                    <w:top w:w="57" w:type="dxa"/>
                    <w:left w:w="57" w:type="dxa"/>
                    <w:bottom w:w="57" w:type="dxa"/>
                    <w:right w:w="57" w:type="dxa"/>
                  </w:tcMar>
                  <w:vAlign w:val="center"/>
                </w:tcPr>
                <w:p w14:paraId="588DB7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A车间</w:t>
                  </w:r>
                </w:p>
              </w:tc>
              <w:tc>
                <w:tcPr>
                  <w:tcW w:w="1301" w:type="pct"/>
                  <w:tcBorders>
                    <w:tl2br w:val="nil"/>
                    <w:tr2bl w:val="nil"/>
                  </w:tcBorders>
                  <w:noWrap/>
                  <w:tcMar>
                    <w:top w:w="57" w:type="dxa"/>
                    <w:left w:w="57" w:type="dxa"/>
                    <w:bottom w:w="57" w:type="dxa"/>
                    <w:right w:w="57" w:type="dxa"/>
                  </w:tcMar>
                  <w:vAlign w:val="center"/>
                </w:tcPr>
                <w:p w14:paraId="1A0486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bCs/>
                      <w:sz w:val="21"/>
                      <w:szCs w:val="21"/>
                      <w:lang w:val="en-US" w:eastAsia="zh-CN"/>
                    </w:rPr>
                    <w:t>钢结构厂房，1</w:t>
                  </w:r>
                  <w:r>
                    <w:rPr>
                      <w:rFonts w:hint="eastAsia" w:cs="Times New Roman"/>
                      <w:bCs/>
                      <w:sz w:val="21"/>
                      <w:szCs w:val="21"/>
                      <w:lang w:val="en-US" w:eastAsia="zh-CN"/>
                    </w:rPr>
                    <w:t>F</w:t>
                  </w:r>
                  <w:r>
                    <w:rPr>
                      <w:rFonts w:hint="default" w:ascii="Times New Roman" w:hAnsi="Times New Roman" w:cs="Times New Roman"/>
                      <w:bCs/>
                      <w:sz w:val="21"/>
                      <w:szCs w:val="21"/>
                      <w:lang w:val="en-US" w:eastAsia="zh-CN"/>
                    </w:rPr>
                    <w:t>，60</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48</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12</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，位于厂区中间位置</w:t>
                  </w:r>
                  <w:r>
                    <w:rPr>
                      <w:rFonts w:hint="default" w:ascii="Times New Roman" w:hAnsi="Times New Roman" w:cs="Times New Roman"/>
                      <w:color w:val="000000"/>
                      <w:kern w:val="2"/>
                      <w:sz w:val="21"/>
                      <w:szCs w:val="21"/>
                      <w:highlight w:val="none"/>
                      <w:lang w:val="en-US" w:eastAsia="zh-CN"/>
                    </w:rPr>
                    <w:t>。</w:t>
                  </w:r>
                </w:p>
              </w:tc>
              <w:tc>
                <w:tcPr>
                  <w:tcW w:w="2836" w:type="pct"/>
                  <w:tcBorders>
                    <w:tl2br w:val="nil"/>
                    <w:tr2bl w:val="nil"/>
                  </w:tcBorders>
                  <w:noWrap/>
                  <w:tcMar>
                    <w:top w:w="57" w:type="dxa"/>
                    <w:left w:w="57" w:type="dxa"/>
                    <w:bottom w:w="57" w:type="dxa"/>
                    <w:right w:w="57" w:type="dxa"/>
                  </w:tcMar>
                  <w:vAlign w:val="center"/>
                </w:tcPr>
                <w:p w14:paraId="48235C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车间内原有原料区300m</w:t>
                  </w:r>
                  <w:r>
                    <w:rPr>
                      <w:rFonts w:hint="default" w:ascii="Times New Roman" w:hAnsi="Times New Roman" w:cs="Times New Roman"/>
                      <w:color w:val="000000"/>
                      <w:kern w:val="2"/>
                      <w:sz w:val="21"/>
                      <w:szCs w:val="21"/>
                      <w:highlight w:val="none"/>
                      <w:vertAlign w:val="superscript"/>
                      <w:lang w:val="en-US" w:eastAsia="zh-CN"/>
                    </w:rPr>
                    <w:t>2</w:t>
                  </w:r>
                  <w:r>
                    <w:rPr>
                      <w:rFonts w:hint="default" w:ascii="Times New Roman" w:hAnsi="Times New Roman" w:cs="Times New Roman"/>
                      <w:color w:val="000000"/>
                      <w:kern w:val="2"/>
                      <w:sz w:val="21"/>
                      <w:szCs w:val="21"/>
                      <w:highlight w:val="none"/>
                      <w:lang w:val="en-US" w:eastAsia="zh-CN"/>
                    </w:rPr>
                    <w:t>，成品区500m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2"/>
                      <w:sz w:val="21"/>
                      <w:szCs w:val="21"/>
                      <w:highlight w:val="none"/>
                      <w:lang w:val="en-US" w:eastAsia="zh-CN"/>
                    </w:rPr>
                    <w:t>，</w:t>
                  </w:r>
                  <w:r>
                    <w:rPr>
                      <w:rFonts w:hint="default" w:ascii="Times New Roman" w:hAnsi="Times New Roman" w:cs="Times New Roman"/>
                      <w:color w:val="000000"/>
                      <w:kern w:val="2"/>
                      <w:sz w:val="21"/>
                      <w:szCs w:val="21"/>
                      <w:highlight w:val="none"/>
                      <w:lang w:val="en-US" w:eastAsia="zh-CN"/>
                    </w:rPr>
                    <w:t>焊接区400m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2"/>
                      <w:sz w:val="21"/>
                      <w:szCs w:val="21"/>
                      <w:highlight w:val="none"/>
                      <w:lang w:val="en-US" w:eastAsia="zh-CN"/>
                    </w:rPr>
                    <w:t>，</w:t>
                  </w:r>
                  <w:r>
                    <w:rPr>
                      <w:rFonts w:hint="default" w:ascii="Times New Roman" w:hAnsi="Times New Roman" w:cs="Times New Roman"/>
                      <w:color w:val="000000"/>
                      <w:kern w:val="2"/>
                      <w:sz w:val="21"/>
                      <w:szCs w:val="21"/>
                      <w:highlight w:val="none"/>
                      <w:lang w:val="en-US" w:eastAsia="zh-CN"/>
                    </w:rPr>
                    <w:t>装配区500m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0"/>
                      <w:sz w:val="21"/>
                      <w:szCs w:val="21"/>
                      <w:lang w:val="en-US" w:eastAsia="zh-CN"/>
                    </w:rPr>
                    <w:t>。</w:t>
                  </w:r>
                  <w:r>
                    <w:rPr>
                      <w:rFonts w:hint="default" w:ascii="Times New Roman" w:hAnsi="Times New Roman" w:cs="Times New Roman"/>
                      <w:color w:val="000000"/>
                      <w:kern w:val="2"/>
                      <w:sz w:val="21"/>
                      <w:szCs w:val="21"/>
                      <w:highlight w:val="none"/>
                      <w:lang w:val="en-US" w:eastAsia="zh-CN"/>
                    </w:rPr>
                    <w:t>本次计划</w:t>
                  </w:r>
                  <w:r>
                    <w:rPr>
                      <w:rFonts w:hint="eastAsia" w:ascii="Times New Roman" w:hAnsi="Times New Roman" w:cs="Times New Roman"/>
                      <w:color w:val="000000"/>
                      <w:kern w:val="2"/>
                      <w:sz w:val="21"/>
                      <w:szCs w:val="21"/>
                      <w:highlight w:val="none"/>
                      <w:lang w:val="en-US" w:eastAsia="zh-CN"/>
                    </w:rPr>
                    <w:t>焊接</w:t>
                  </w:r>
                  <w:r>
                    <w:rPr>
                      <w:rFonts w:hint="default" w:ascii="Times New Roman" w:hAnsi="Times New Roman" w:cs="Times New Roman"/>
                      <w:color w:val="000000"/>
                      <w:kern w:val="2"/>
                      <w:sz w:val="21"/>
                      <w:szCs w:val="21"/>
                      <w:highlight w:val="none"/>
                      <w:lang w:val="en-US" w:eastAsia="zh-CN"/>
                    </w:rPr>
                    <w:t>区移至C厂房内，</w:t>
                  </w:r>
                  <w:r>
                    <w:rPr>
                      <w:rFonts w:hint="default" w:ascii="Times New Roman" w:hAnsi="Times New Roman" w:cs="Times New Roman"/>
                      <w:color w:val="000000"/>
                      <w:kern w:val="0"/>
                      <w:sz w:val="21"/>
                      <w:szCs w:val="21"/>
                      <w:lang w:val="en-US" w:eastAsia="zh-CN"/>
                    </w:rPr>
                    <w:t>原料区</w:t>
                  </w:r>
                  <w:r>
                    <w:rPr>
                      <w:rFonts w:hint="eastAsia" w:ascii="Times New Roman" w:hAnsi="Times New Roman" w:cs="Times New Roman"/>
                      <w:color w:val="000000"/>
                      <w:kern w:val="0"/>
                      <w:sz w:val="21"/>
                      <w:szCs w:val="21"/>
                      <w:lang w:val="en-US" w:eastAsia="zh-CN"/>
                    </w:rPr>
                    <w:t>增加至800</w:t>
                  </w:r>
                  <w:r>
                    <w:rPr>
                      <w:rFonts w:hint="default" w:ascii="Times New Roman" w:hAnsi="Times New Roman" w:cs="Times New Roman"/>
                      <w:color w:val="000000"/>
                      <w:kern w:val="2"/>
                      <w:sz w:val="21"/>
                      <w:szCs w:val="21"/>
                      <w:highlight w:val="none"/>
                      <w:lang w:val="en-US" w:eastAsia="zh-CN"/>
                    </w:rPr>
                    <w:t>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0"/>
                      <w:sz w:val="21"/>
                      <w:szCs w:val="21"/>
                      <w:lang w:val="en-US" w:eastAsia="zh-CN"/>
                    </w:rPr>
                    <w:t>，成品区增加至1000</w:t>
                  </w:r>
                  <w:r>
                    <w:rPr>
                      <w:rFonts w:hint="default" w:ascii="Times New Roman" w:hAnsi="Times New Roman" w:cs="Times New Roman"/>
                      <w:color w:val="000000"/>
                      <w:kern w:val="2"/>
                      <w:sz w:val="21"/>
                      <w:szCs w:val="21"/>
                      <w:highlight w:val="none"/>
                      <w:lang w:val="en-US" w:eastAsia="zh-CN"/>
                    </w:rPr>
                    <w:t>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2"/>
                      <w:sz w:val="21"/>
                      <w:szCs w:val="21"/>
                      <w:highlight w:val="none"/>
                      <w:lang w:val="en-US" w:eastAsia="zh-CN"/>
                    </w:rPr>
                    <w:t>，</w:t>
                  </w:r>
                  <w:r>
                    <w:rPr>
                      <w:rFonts w:hint="default" w:ascii="Times New Roman" w:hAnsi="Times New Roman" w:cs="Times New Roman"/>
                      <w:color w:val="000000"/>
                      <w:kern w:val="2"/>
                      <w:sz w:val="21"/>
                      <w:szCs w:val="21"/>
                      <w:highlight w:val="none"/>
                      <w:lang w:val="en-US" w:eastAsia="zh-CN"/>
                    </w:rPr>
                    <w:t>装配区</w:t>
                  </w:r>
                  <w:r>
                    <w:rPr>
                      <w:rFonts w:hint="eastAsia" w:ascii="Times New Roman" w:hAnsi="Times New Roman" w:cs="Times New Roman"/>
                      <w:color w:val="000000"/>
                      <w:kern w:val="0"/>
                      <w:sz w:val="21"/>
                      <w:szCs w:val="21"/>
                      <w:lang w:val="en-US" w:eastAsia="zh-CN"/>
                    </w:rPr>
                    <w:t>800</w:t>
                  </w:r>
                  <w:r>
                    <w:rPr>
                      <w:rFonts w:hint="default" w:ascii="Times New Roman" w:hAnsi="Times New Roman" w:cs="Times New Roman"/>
                      <w:color w:val="000000"/>
                      <w:kern w:val="2"/>
                      <w:sz w:val="21"/>
                      <w:szCs w:val="21"/>
                      <w:highlight w:val="none"/>
                      <w:lang w:val="en-US" w:eastAsia="zh-CN"/>
                    </w:rPr>
                    <w:t>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0"/>
                      <w:sz w:val="21"/>
                      <w:szCs w:val="21"/>
                      <w:lang w:val="en-US" w:eastAsia="zh-CN"/>
                    </w:rPr>
                    <w:t>。</w:t>
                  </w:r>
                  <w:r>
                    <w:rPr>
                      <w:rFonts w:hint="default" w:ascii="Times New Roman" w:hAnsi="Times New Roman" w:cs="Times New Roman"/>
                      <w:color w:val="000000"/>
                      <w:kern w:val="2"/>
                      <w:sz w:val="21"/>
                      <w:szCs w:val="21"/>
                      <w:highlight w:val="none"/>
                      <w:lang w:val="en-US" w:eastAsia="zh-CN"/>
                    </w:rPr>
                    <w:t>生产车间内已预留好空间，</w:t>
                  </w:r>
                  <w:r>
                    <w:rPr>
                      <w:rFonts w:hint="eastAsia" w:ascii="Times New Roman" w:hAnsi="Times New Roman" w:cs="Times New Roman"/>
                      <w:color w:val="000000"/>
                      <w:kern w:val="2"/>
                      <w:sz w:val="21"/>
                      <w:szCs w:val="21"/>
                      <w:highlight w:val="none"/>
                      <w:lang w:val="en-US" w:eastAsia="zh-CN"/>
                    </w:rPr>
                    <w:t>能够满足规划要求，</w:t>
                  </w:r>
                  <w:r>
                    <w:rPr>
                      <w:rFonts w:hint="default" w:ascii="Times New Roman" w:hAnsi="Times New Roman" w:cs="Times New Roman"/>
                      <w:color w:val="000000"/>
                      <w:kern w:val="2"/>
                      <w:sz w:val="21"/>
                      <w:szCs w:val="21"/>
                      <w:highlight w:val="none"/>
                      <w:lang w:val="en-US" w:eastAsia="zh-CN"/>
                    </w:rPr>
                    <w:t>故依托可行。</w:t>
                  </w:r>
                </w:p>
              </w:tc>
            </w:tr>
            <w:tr w14:paraId="17FC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2" w:hRule="atLeast"/>
                <w:jc w:val="center"/>
              </w:trPr>
              <w:tc>
                <w:tcPr>
                  <w:tcW w:w="375" w:type="pct"/>
                  <w:vMerge w:val="continue"/>
                  <w:tcBorders>
                    <w:tl2br w:val="nil"/>
                    <w:tr2bl w:val="nil"/>
                  </w:tcBorders>
                  <w:noWrap/>
                  <w:tcMar>
                    <w:top w:w="57" w:type="dxa"/>
                    <w:left w:w="57" w:type="dxa"/>
                    <w:bottom w:w="57" w:type="dxa"/>
                    <w:right w:w="57" w:type="dxa"/>
                  </w:tcMar>
                  <w:vAlign w:val="center"/>
                </w:tcPr>
                <w:p w14:paraId="783625F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486" w:type="pct"/>
                  <w:tcBorders>
                    <w:tl2br w:val="nil"/>
                    <w:tr2bl w:val="nil"/>
                  </w:tcBorders>
                  <w:noWrap/>
                  <w:tcMar>
                    <w:top w:w="57" w:type="dxa"/>
                    <w:left w:w="57" w:type="dxa"/>
                    <w:bottom w:w="57" w:type="dxa"/>
                    <w:right w:w="57" w:type="dxa"/>
                  </w:tcMar>
                  <w:vAlign w:val="center"/>
                </w:tcPr>
                <w:p w14:paraId="014492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B车间</w:t>
                  </w:r>
                </w:p>
              </w:tc>
              <w:tc>
                <w:tcPr>
                  <w:tcW w:w="1301" w:type="pct"/>
                  <w:tcBorders>
                    <w:tl2br w:val="nil"/>
                    <w:tr2bl w:val="nil"/>
                  </w:tcBorders>
                  <w:noWrap/>
                  <w:tcMar>
                    <w:top w:w="57" w:type="dxa"/>
                    <w:left w:w="57" w:type="dxa"/>
                    <w:bottom w:w="57" w:type="dxa"/>
                    <w:right w:w="57" w:type="dxa"/>
                  </w:tcMar>
                  <w:vAlign w:val="center"/>
                </w:tcPr>
                <w:p w14:paraId="5D816C0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cs="Times New Roman"/>
                      <w:bCs/>
                      <w:sz w:val="21"/>
                      <w:szCs w:val="21"/>
                      <w:lang w:val="en-US" w:eastAsia="zh-CN"/>
                    </w:rPr>
                    <w:t>钢结构厂房，1</w:t>
                  </w:r>
                  <w:r>
                    <w:rPr>
                      <w:rFonts w:hint="eastAsia" w:cs="Times New Roman"/>
                      <w:bCs/>
                      <w:sz w:val="21"/>
                      <w:szCs w:val="21"/>
                      <w:lang w:val="en-US" w:eastAsia="zh-CN"/>
                    </w:rPr>
                    <w:t>F</w:t>
                  </w:r>
                  <w:r>
                    <w:rPr>
                      <w:rFonts w:hint="default" w:ascii="Times New Roman" w:hAnsi="Times New Roman" w:cs="Times New Roman"/>
                      <w:bCs/>
                      <w:sz w:val="21"/>
                      <w:szCs w:val="21"/>
                      <w:lang w:val="en-US" w:eastAsia="zh-CN"/>
                    </w:rPr>
                    <w:t>，60</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48</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12</w:t>
                  </w:r>
                  <w:r>
                    <w:rPr>
                      <w:rFonts w:hint="eastAsia" w:cs="Times New Roman"/>
                      <w:bCs/>
                      <w:sz w:val="21"/>
                      <w:szCs w:val="21"/>
                      <w:lang w:val="en-US" w:eastAsia="zh-CN"/>
                    </w:rPr>
                    <w:t>m</w:t>
                  </w:r>
                  <w:r>
                    <w:rPr>
                      <w:rFonts w:hint="default" w:ascii="Times New Roman" w:hAnsi="Times New Roman" w:cs="Times New Roman"/>
                      <w:bCs/>
                      <w:sz w:val="21"/>
                      <w:szCs w:val="21"/>
                      <w:lang w:val="en-US" w:eastAsia="zh-CN"/>
                    </w:rPr>
                    <w:t>，位于厂区南侧</w:t>
                  </w:r>
                  <w:r>
                    <w:rPr>
                      <w:rFonts w:hint="default" w:ascii="Times New Roman" w:hAnsi="Times New Roman" w:cs="Times New Roman"/>
                      <w:color w:val="000000"/>
                      <w:kern w:val="0"/>
                      <w:sz w:val="21"/>
                      <w:szCs w:val="21"/>
                      <w:lang w:eastAsia="zh-CN" w:bidi="ar"/>
                    </w:rPr>
                    <w:t>。</w:t>
                  </w:r>
                </w:p>
              </w:tc>
              <w:tc>
                <w:tcPr>
                  <w:tcW w:w="2836" w:type="pct"/>
                  <w:tcBorders>
                    <w:tl2br w:val="nil"/>
                    <w:tr2bl w:val="nil"/>
                  </w:tcBorders>
                  <w:noWrap/>
                  <w:tcMar>
                    <w:top w:w="57" w:type="dxa"/>
                    <w:left w:w="57" w:type="dxa"/>
                    <w:bottom w:w="57" w:type="dxa"/>
                    <w:right w:w="57" w:type="dxa"/>
                  </w:tcMar>
                  <w:vAlign w:val="center"/>
                </w:tcPr>
                <w:p w14:paraId="6699A9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车间内原有原料区</w:t>
                  </w:r>
                  <w:r>
                    <w:rPr>
                      <w:rFonts w:hint="eastAsia" w:ascii="Times New Roman" w:hAnsi="Times New Roman" w:cs="Times New Roman"/>
                      <w:color w:val="000000"/>
                      <w:kern w:val="2"/>
                      <w:sz w:val="21"/>
                      <w:szCs w:val="21"/>
                      <w:highlight w:val="none"/>
                      <w:lang w:val="en-US" w:eastAsia="zh-CN"/>
                    </w:rPr>
                    <w:t>8</w:t>
                  </w:r>
                  <w:r>
                    <w:rPr>
                      <w:rFonts w:hint="default" w:ascii="Times New Roman" w:hAnsi="Times New Roman" w:cs="Times New Roman"/>
                      <w:color w:val="000000"/>
                      <w:kern w:val="2"/>
                      <w:sz w:val="21"/>
                      <w:szCs w:val="21"/>
                      <w:highlight w:val="none"/>
                      <w:lang w:val="en-US" w:eastAsia="zh-CN"/>
                    </w:rPr>
                    <w:t>00m</w:t>
                  </w:r>
                  <w:r>
                    <w:rPr>
                      <w:rFonts w:hint="default" w:ascii="Times New Roman" w:hAnsi="Times New Roman" w:cs="Times New Roman"/>
                      <w:color w:val="000000"/>
                      <w:kern w:val="2"/>
                      <w:sz w:val="21"/>
                      <w:szCs w:val="21"/>
                      <w:highlight w:val="none"/>
                      <w:vertAlign w:val="superscript"/>
                      <w:lang w:val="en-US" w:eastAsia="zh-CN"/>
                    </w:rPr>
                    <w:t>2</w:t>
                  </w:r>
                  <w:r>
                    <w:rPr>
                      <w:rFonts w:hint="default" w:ascii="Times New Roman" w:hAnsi="Times New Roman" w:cs="Times New Roman"/>
                      <w:color w:val="000000"/>
                      <w:kern w:val="2"/>
                      <w:sz w:val="21"/>
                      <w:szCs w:val="21"/>
                      <w:highlight w:val="none"/>
                      <w:lang w:val="en-US" w:eastAsia="zh-CN"/>
                    </w:rPr>
                    <w:t>，成品区500m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2"/>
                      <w:sz w:val="21"/>
                      <w:szCs w:val="21"/>
                      <w:highlight w:val="none"/>
                      <w:lang w:val="en-US" w:eastAsia="zh-CN"/>
                    </w:rPr>
                    <w:t>，</w:t>
                  </w:r>
                  <w:r>
                    <w:rPr>
                      <w:rFonts w:hint="default" w:ascii="Times New Roman" w:hAnsi="Times New Roman" w:cs="Times New Roman"/>
                      <w:color w:val="000000"/>
                      <w:kern w:val="2"/>
                      <w:sz w:val="21"/>
                      <w:szCs w:val="21"/>
                      <w:highlight w:val="none"/>
                      <w:lang w:val="en-US" w:eastAsia="zh-CN"/>
                    </w:rPr>
                    <w:t>装配区500m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0"/>
                      <w:sz w:val="21"/>
                      <w:szCs w:val="21"/>
                      <w:lang w:val="en-US" w:eastAsia="zh-CN"/>
                    </w:rPr>
                    <w:t>。</w:t>
                  </w:r>
                  <w:r>
                    <w:rPr>
                      <w:rFonts w:hint="default" w:ascii="Times New Roman" w:hAnsi="Times New Roman" w:cs="Times New Roman"/>
                      <w:color w:val="000000"/>
                      <w:kern w:val="2"/>
                      <w:sz w:val="21"/>
                      <w:szCs w:val="21"/>
                      <w:highlight w:val="none"/>
                      <w:lang w:val="en-US" w:eastAsia="zh-CN"/>
                    </w:rPr>
                    <w:t>本次计划</w:t>
                  </w:r>
                  <w:r>
                    <w:rPr>
                      <w:rFonts w:hint="default" w:ascii="Times New Roman" w:hAnsi="Times New Roman" w:cs="Times New Roman"/>
                      <w:color w:val="000000"/>
                      <w:kern w:val="0"/>
                      <w:sz w:val="21"/>
                      <w:szCs w:val="21"/>
                      <w:lang w:val="en-US" w:eastAsia="zh-CN"/>
                    </w:rPr>
                    <w:t>原料区</w:t>
                  </w:r>
                  <w:r>
                    <w:rPr>
                      <w:rFonts w:hint="eastAsia" w:ascii="Times New Roman" w:hAnsi="Times New Roman" w:cs="Times New Roman"/>
                      <w:color w:val="000000"/>
                      <w:kern w:val="0"/>
                      <w:sz w:val="21"/>
                      <w:szCs w:val="21"/>
                      <w:lang w:val="en-US" w:eastAsia="zh-CN"/>
                    </w:rPr>
                    <w:t>增加至800</w:t>
                  </w:r>
                  <w:r>
                    <w:rPr>
                      <w:rFonts w:hint="default" w:ascii="Times New Roman" w:hAnsi="Times New Roman" w:cs="Times New Roman"/>
                      <w:color w:val="000000"/>
                      <w:kern w:val="2"/>
                      <w:sz w:val="21"/>
                      <w:szCs w:val="21"/>
                      <w:highlight w:val="none"/>
                      <w:lang w:val="en-US" w:eastAsia="zh-CN"/>
                    </w:rPr>
                    <w:t>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0"/>
                      <w:sz w:val="21"/>
                      <w:szCs w:val="21"/>
                      <w:lang w:val="en-US" w:eastAsia="zh-CN"/>
                    </w:rPr>
                    <w:t>，成品区增加至900</w:t>
                  </w:r>
                  <w:r>
                    <w:rPr>
                      <w:rFonts w:hint="default" w:ascii="Times New Roman" w:hAnsi="Times New Roman" w:cs="Times New Roman"/>
                      <w:color w:val="000000"/>
                      <w:kern w:val="2"/>
                      <w:sz w:val="21"/>
                      <w:szCs w:val="21"/>
                      <w:highlight w:val="none"/>
                      <w:lang w:val="en-US" w:eastAsia="zh-CN"/>
                    </w:rPr>
                    <w:t>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2"/>
                      <w:sz w:val="21"/>
                      <w:szCs w:val="21"/>
                      <w:highlight w:val="none"/>
                      <w:lang w:val="en-US" w:eastAsia="zh-CN"/>
                    </w:rPr>
                    <w:t>，</w:t>
                  </w:r>
                  <w:r>
                    <w:rPr>
                      <w:rFonts w:hint="default" w:ascii="Times New Roman" w:hAnsi="Times New Roman" w:cs="Times New Roman"/>
                      <w:color w:val="000000"/>
                      <w:kern w:val="2"/>
                      <w:sz w:val="21"/>
                      <w:szCs w:val="21"/>
                      <w:highlight w:val="none"/>
                      <w:lang w:val="en-US" w:eastAsia="zh-CN"/>
                    </w:rPr>
                    <w:t>装配区</w:t>
                  </w:r>
                  <w:r>
                    <w:rPr>
                      <w:rFonts w:hint="eastAsia" w:ascii="Times New Roman" w:hAnsi="Times New Roman" w:cs="Times New Roman"/>
                      <w:color w:val="000000"/>
                      <w:kern w:val="0"/>
                      <w:sz w:val="21"/>
                      <w:szCs w:val="21"/>
                      <w:lang w:val="en-US" w:eastAsia="zh-CN"/>
                    </w:rPr>
                    <w:t>增加至</w:t>
                  </w:r>
                  <w:r>
                    <w:rPr>
                      <w:rFonts w:hint="eastAsia" w:cs="Times New Roman"/>
                      <w:color w:val="000000"/>
                      <w:kern w:val="2"/>
                      <w:sz w:val="21"/>
                      <w:szCs w:val="21"/>
                      <w:highlight w:val="none"/>
                      <w:lang w:val="en-US" w:eastAsia="zh-CN"/>
                    </w:rPr>
                    <w:t>10</w:t>
                  </w:r>
                  <w:r>
                    <w:rPr>
                      <w:rFonts w:hint="eastAsia" w:ascii="Times New Roman" w:hAnsi="Times New Roman" w:cs="Times New Roman"/>
                      <w:color w:val="000000"/>
                      <w:kern w:val="2"/>
                      <w:sz w:val="21"/>
                      <w:szCs w:val="21"/>
                      <w:highlight w:val="none"/>
                      <w:lang w:val="en-US" w:eastAsia="zh-CN"/>
                    </w:rPr>
                    <w:t>00</w:t>
                  </w:r>
                  <w:r>
                    <w:rPr>
                      <w:rFonts w:hint="default" w:ascii="Times New Roman" w:hAnsi="Times New Roman" w:cs="Times New Roman"/>
                      <w:color w:val="000000"/>
                      <w:kern w:val="2"/>
                      <w:sz w:val="21"/>
                      <w:szCs w:val="21"/>
                      <w:highlight w:val="none"/>
                      <w:lang w:val="en-US" w:eastAsia="zh-CN"/>
                    </w:rPr>
                    <w:t>m</w:t>
                  </w:r>
                  <w:r>
                    <w:rPr>
                      <w:rFonts w:hint="default" w:ascii="Times New Roman" w:hAnsi="Times New Roman" w:cs="Times New Roman"/>
                      <w:color w:val="000000"/>
                      <w:kern w:val="2"/>
                      <w:sz w:val="21"/>
                      <w:szCs w:val="21"/>
                      <w:highlight w:val="none"/>
                      <w:vertAlign w:val="superscript"/>
                      <w:lang w:val="en-US" w:eastAsia="zh-CN"/>
                    </w:rPr>
                    <w:t>2</w:t>
                  </w:r>
                  <w:r>
                    <w:rPr>
                      <w:rFonts w:hint="eastAsia" w:ascii="Times New Roman" w:hAnsi="Times New Roman" w:cs="Times New Roman"/>
                      <w:color w:val="000000"/>
                      <w:kern w:val="0"/>
                      <w:sz w:val="21"/>
                      <w:szCs w:val="21"/>
                      <w:lang w:val="en-US" w:eastAsia="zh-CN"/>
                    </w:rPr>
                    <w:t>。</w:t>
                  </w:r>
                  <w:r>
                    <w:rPr>
                      <w:rFonts w:hint="default" w:ascii="Times New Roman" w:hAnsi="Times New Roman" w:cs="Times New Roman"/>
                      <w:color w:val="000000"/>
                      <w:kern w:val="2"/>
                      <w:sz w:val="21"/>
                      <w:szCs w:val="21"/>
                      <w:highlight w:val="none"/>
                      <w:lang w:val="en-US" w:eastAsia="zh-CN"/>
                    </w:rPr>
                    <w:t>生产车间内已预留好空间，</w:t>
                  </w:r>
                  <w:r>
                    <w:rPr>
                      <w:rFonts w:hint="eastAsia" w:ascii="Times New Roman" w:hAnsi="Times New Roman" w:cs="Times New Roman"/>
                      <w:color w:val="000000"/>
                      <w:kern w:val="2"/>
                      <w:sz w:val="21"/>
                      <w:szCs w:val="21"/>
                      <w:highlight w:val="none"/>
                      <w:lang w:val="en-US" w:eastAsia="zh-CN"/>
                    </w:rPr>
                    <w:t>能够满足规划要求，</w:t>
                  </w:r>
                  <w:r>
                    <w:rPr>
                      <w:rFonts w:hint="default" w:ascii="Times New Roman" w:hAnsi="Times New Roman" w:cs="Times New Roman"/>
                      <w:color w:val="000000"/>
                      <w:kern w:val="2"/>
                      <w:sz w:val="21"/>
                      <w:szCs w:val="21"/>
                      <w:highlight w:val="none"/>
                      <w:lang w:val="en-US" w:eastAsia="zh-CN"/>
                    </w:rPr>
                    <w:t>故依托可行。</w:t>
                  </w:r>
                </w:p>
              </w:tc>
            </w:tr>
            <w:tr w14:paraId="3B53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42" w:hRule="atLeast"/>
                <w:jc w:val="center"/>
              </w:trPr>
              <w:tc>
                <w:tcPr>
                  <w:tcW w:w="375" w:type="pct"/>
                  <w:vMerge w:val="continue"/>
                  <w:tcBorders>
                    <w:tl2br w:val="nil"/>
                    <w:tr2bl w:val="nil"/>
                  </w:tcBorders>
                  <w:noWrap/>
                  <w:tcMar>
                    <w:top w:w="57" w:type="dxa"/>
                    <w:left w:w="57" w:type="dxa"/>
                    <w:bottom w:w="57" w:type="dxa"/>
                    <w:right w:w="57" w:type="dxa"/>
                  </w:tcMar>
                  <w:vAlign w:val="center"/>
                </w:tcPr>
                <w:p w14:paraId="6BD67C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486" w:type="pct"/>
                  <w:tcBorders>
                    <w:tl2br w:val="nil"/>
                    <w:tr2bl w:val="nil"/>
                  </w:tcBorders>
                  <w:shd w:val="clear" w:color="auto" w:fill="auto"/>
                  <w:noWrap/>
                  <w:tcMar>
                    <w:top w:w="57" w:type="dxa"/>
                    <w:left w:w="57" w:type="dxa"/>
                    <w:bottom w:w="57" w:type="dxa"/>
                    <w:right w:w="57" w:type="dxa"/>
                  </w:tcMar>
                  <w:vAlign w:val="center"/>
                </w:tcPr>
                <w:p w14:paraId="1FD279F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C车间</w:t>
                  </w:r>
                </w:p>
              </w:tc>
              <w:tc>
                <w:tcPr>
                  <w:tcW w:w="1301" w:type="pct"/>
                  <w:tcBorders>
                    <w:tl2br w:val="nil"/>
                    <w:tr2bl w:val="nil"/>
                  </w:tcBorders>
                  <w:shd w:val="clear" w:color="auto" w:fill="auto"/>
                  <w:noWrap/>
                  <w:tcMar>
                    <w:top w:w="57" w:type="dxa"/>
                    <w:left w:w="57" w:type="dxa"/>
                    <w:bottom w:w="57" w:type="dxa"/>
                    <w:right w:w="57" w:type="dxa"/>
                  </w:tcMar>
                  <w:vAlign w:val="center"/>
                </w:tcPr>
                <w:p w14:paraId="70A46AF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钢结构厂房，1</w:t>
                  </w:r>
                  <w:r>
                    <w:rPr>
                      <w:rFonts w:hint="eastAsia" w:cs="Times New Roman"/>
                      <w:bCs/>
                      <w:sz w:val="21"/>
                      <w:szCs w:val="21"/>
                      <w:lang w:val="en-US" w:eastAsia="zh-CN"/>
                    </w:rPr>
                    <w:t>F</w:t>
                  </w:r>
                  <w:r>
                    <w:rPr>
                      <w:rFonts w:hint="default" w:ascii="Times New Roman" w:hAnsi="Times New Roman" w:cs="Times New Roman"/>
                      <w:bCs/>
                      <w:sz w:val="21"/>
                      <w:szCs w:val="21"/>
                      <w:lang w:val="en-US" w:eastAsia="zh-CN"/>
                    </w:rPr>
                    <w:t>，</w:t>
                  </w:r>
                  <w:r>
                    <w:rPr>
                      <w:rFonts w:hint="eastAsia" w:cs="Times New Roman"/>
                      <w:bCs/>
                      <w:sz w:val="21"/>
                      <w:szCs w:val="21"/>
                      <w:lang w:val="en-US" w:eastAsia="zh-CN"/>
                    </w:rPr>
                    <w:t>15</w:t>
                  </w:r>
                  <w:r>
                    <w:rPr>
                      <w:rFonts w:hint="default" w:ascii="Times New Roman" w:hAnsi="Times New Roman" w:cs="Times New Roman"/>
                      <w:bCs/>
                      <w:sz w:val="21"/>
                      <w:szCs w:val="21"/>
                      <w:lang w:val="en-US" w:eastAsia="zh-CN"/>
                    </w:rPr>
                    <w:t>0</w:t>
                  </w:r>
                  <w:r>
                    <w:rPr>
                      <w:rFonts w:hint="eastAsia" w:cs="Times New Roman"/>
                      <w:bCs/>
                      <w:sz w:val="21"/>
                      <w:szCs w:val="21"/>
                      <w:lang w:val="en-US" w:eastAsia="zh-CN"/>
                    </w:rPr>
                    <w:t>m*30m*</w:t>
                  </w:r>
                  <w:r>
                    <w:rPr>
                      <w:rFonts w:hint="default" w:ascii="Times New Roman" w:hAnsi="Times New Roman" w:cs="Times New Roman"/>
                      <w:bCs/>
                      <w:sz w:val="21"/>
                      <w:szCs w:val="21"/>
                      <w:lang w:val="en-US" w:eastAsia="zh-CN"/>
                    </w:rPr>
                    <w:t>1</w:t>
                  </w:r>
                  <w:r>
                    <w:rPr>
                      <w:rFonts w:hint="eastAsia" w:cs="Times New Roman"/>
                      <w:bCs/>
                      <w:sz w:val="21"/>
                      <w:szCs w:val="21"/>
                      <w:lang w:val="en-US" w:eastAsia="zh-CN"/>
                    </w:rPr>
                    <w:t>9m</w:t>
                  </w:r>
                  <w:r>
                    <w:rPr>
                      <w:rFonts w:hint="default" w:ascii="Times New Roman" w:hAnsi="Times New Roman" w:cs="Times New Roman"/>
                      <w:bCs/>
                      <w:sz w:val="21"/>
                      <w:szCs w:val="21"/>
                      <w:lang w:val="en-US" w:eastAsia="zh-CN"/>
                    </w:rPr>
                    <w:t>，位于厂区西侧</w:t>
                  </w:r>
                  <w:r>
                    <w:rPr>
                      <w:rFonts w:hint="eastAsia" w:cs="Times New Roman"/>
                      <w:color w:val="000000"/>
                      <w:kern w:val="0"/>
                      <w:sz w:val="21"/>
                      <w:szCs w:val="21"/>
                      <w:lang w:val="en-US" w:eastAsia="zh-CN" w:bidi="ar"/>
                    </w:rPr>
                    <w:t>。</w:t>
                  </w:r>
                </w:p>
              </w:tc>
              <w:tc>
                <w:tcPr>
                  <w:tcW w:w="2836" w:type="pct"/>
                  <w:tcBorders>
                    <w:tl2br w:val="nil"/>
                    <w:tr2bl w:val="nil"/>
                  </w:tcBorders>
                  <w:noWrap/>
                  <w:tcMar>
                    <w:top w:w="57" w:type="dxa"/>
                    <w:left w:w="57" w:type="dxa"/>
                    <w:bottom w:w="57" w:type="dxa"/>
                    <w:right w:w="57" w:type="dxa"/>
                  </w:tcMar>
                  <w:vAlign w:val="center"/>
                </w:tcPr>
                <w:p w14:paraId="6E02AC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eastAsia" w:cs="Times New Roman"/>
                      <w:color w:val="000000"/>
                      <w:kern w:val="0"/>
                      <w:sz w:val="21"/>
                      <w:szCs w:val="21"/>
                      <w:lang w:val="en-US" w:eastAsia="zh-CN" w:bidi="ar"/>
                    </w:rPr>
                    <w:t>本项目新建</w:t>
                  </w:r>
                  <w:r>
                    <w:rPr>
                      <w:rFonts w:hint="default" w:ascii="Times New Roman" w:hAnsi="Times New Roman" w:cs="Times New Roman"/>
                      <w:color w:val="000000"/>
                      <w:kern w:val="0"/>
                      <w:sz w:val="21"/>
                      <w:szCs w:val="21"/>
                      <w:lang w:val="en-US" w:eastAsia="zh-CN" w:bidi="ar"/>
                    </w:rPr>
                    <w:t>喷漆房</w:t>
                  </w:r>
                  <w:r>
                    <w:rPr>
                      <w:rFonts w:hint="eastAsia" w:cs="Times New Roman"/>
                      <w:color w:val="000000"/>
                      <w:kern w:val="0"/>
                      <w:sz w:val="21"/>
                      <w:szCs w:val="21"/>
                      <w:lang w:val="en-US" w:eastAsia="zh-CN" w:bidi="ar"/>
                    </w:rPr>
                    <w:t>（10m*8m*6m）</w:t>
                  </w:r>
                  <w:r>
                    <w:rPr>
                      <w:rFonts w:hint="default" w:ascii="Times New Roman" w:hAnsi="Times New Roman" w:cs="Times New Roman"/>
                      <w:color w:val="000000"/>
                      <w:kern w:val="0"/>
                      <w:sz w:val="21"/>
                      <w:szCs w:val="21"/>
                      <w:lang w:val="en-US" w:eastAsia="zh-CN" w:bidi="ar"/>
                    </w:rPr>
                    <w:t>、</w:t>
                  </w:r>
                  <w:r>
                    <w:rPr>
                      <w:rFonts w:hint="eastAsia" w:cs="Times New Roman"/>
                      <w:color w:val="000000"/>
                      <w:kern w:val="0"/>
                      <w:sz w:val="21"/>
                      <w:szCs w:val="21"/>
                      <w:lang w:val="en-US" w:eastAsia="zh-CN" w:bidi="ar"/>
                    </w:rPr>
                    <w:t>喷砂</w:t>
                  </w:r>
                  <w:r>
                    <w:rPr>
                      <w:rFonts w:hint="default" w:ascii="Times New Roman" w:hAnsi="Times New Roman" w:cs="Times New Roman"/>
                      <w:color w:val="000000"/>
                      <w:kern w:val="0"/>
                      <w:sz w:val="21"/>
                      <w:szCs w:val="21"/>
                      <w:lang w:val="en-US" w:eastAsia="zh-CN" w:bidi="ar"/>
                    </w:rPr>
                    <w:t>房</w:t>
                  </w:r>
                  <w:r>
                    <w:rPr>
                      <w:rFonts w:hint="eastAsia" w:cs="Times New Roman"/>
                      <w:color w:val="000000"/>
                      <w:kern w:val="0"/>
                      <w:sz w:val="21"/>
                      <w:szCs w:val="21"/>
                      <w:lang w:val="en-US" w:eastAsia="zh-CN" w:bidi="ar"/>
                    </w:rPr>
                    <w:t>（10m*8m*6m）</w:t>
                  </w:r>
                  <w:r>
                    <w:rPr>
                      <w:rFonts w:hint="default" w:ascii="Times New Roman" w:hAnsi="Times New Roman" w:cs="Times New Roman"/>
                      <w:color w:val="000000"/>
                      <w:kern w:val="0"/>
                      <w:sz w:val="21"/>
                      <w:szCs w:val="21"/>
                      <w:lang w:val="en-US" w:eastAsia="zh-CN" w:bidi="ar"/>
                    </w:rPr>
                    <w:t>、</w:t>
                  </w:r>
                  <w:r>
                    <w:rPr>
                      <w:rFonts w:hint="eastAsia" w:cs="Times New Roman"/>
                      <w:color w:val="000000"/>
                      <w:kern w:val="0"/>
                      <w:sz w:val="21"/>
                      <w:szCs w:val="21"/>
                      <w:lang w:val="en-US" w:eastAsia="zh-CN" w:bidi="ar"/>
                    </w:rPr>
                    <w:t>喷塑房（6m*4m*5m），布设铆焊区、精加工区等区域，新增喷砂、喷塑、喷漆、浇注固化、烘干等生产工序，购置安装相关</w:t>
                  </w:r>
                  <w:r>
                    <w:rPr>
                      <w:rFonts w:hint="default" w:ascii="Times New Roman" w:hAnsi="Times New Roman" w:cs="Times New Roman"/>
                      <w:color w:val="000000"/>
                      <w:kern w:val="0"/>
                      <w:sz w:val="21"/>
                      <w:szCs w:val="21"/>
                      <w:lang w:val="en-US" w:eastAsia="zh-CN" w:bidi="ar"/>
                    </w:rPr>
                    <w:t>设备</w:t>
                  </w:r>
                  <w:r>
                    <w:rPr>
                      <w:rFonts w:hint="eastAsia" w:ascii="Times New Roman" w:hAnsi="Times New Roman" w:cs="Times New Roman"/>
                      <w:color w:val="000000"/>
                      <w:kern w:val="0"/>
                      <w:sz w:val="21"/>
                      <w:szCs w:val="21"/>
                      <w:lang w:val="en-US" w:eastAsia="zh-CN" w:bidi="ar"/>
                    </w:rPr>
                    <w:t>。</w:t>
                  </w:r>
                  <w:r>
                    <w:rPr>
                      <w:rFonts w:hint="default" w:ascii="Times New Roman" w:hAnsi="Times New Roman" w:cs="Times New Roman"/>
                      <w:color w:val="000000"/>
                      <w:kern w:val="2"/>
                      <w:sz w:val="21"/>
                      <w:szCs w:val="21"/>
                      <w:highlight w:val="none"/>
                      <w:lang w:val="en-US" w:eastAsia="zh-CN"/>
                    </w:rPr>
                    <w:t>生产车间内已预留好空间，</w:t>
                  </w:r>
                  <w:r>
                    <w:rPr>
                      <w:rFonts w:hint="eastAsia" w:ascii="Times New Roman" w:hAnsi="Times New Roman" w:cs="Times New Roman"/>
                      <w:color w:val="000000"/>
                      <w:kern w:val="2"/>
                      <w:sz w:val="21"/>
                      <w:szCs w:val="21"/>
                      <w:highlight w:val="none"/>
                      <w:lang w:val="en-US" w:eastAsia="zh-CN"/>
                    </w:rPr>
                    <w:t>能够满足规划要求，</w:t>
                  </w:r>
                  <w:r>
                    <w:rPr>
                      <w:rFonts w:hint="default" w:ascii="Times New Roman" w:hAnsi="Times New Roman" w:cs="Times New Roman"/>
                      <w:color w:val="000000"/>
                      <w:kern w:val="2"/>
                      <w:sz w:val="21"/>
                      <w:szCs w:val="21"/>
                      <w:highlight w:val="none"/>
                      <w:lang w:val="en-US" w:eastAsia="zh-CN"/>
                    </w:rPr>
                    <w:t>故依托可行。</w:t>
                  </w:r>
                </w:p>
              </w:tc>
            </w:tr>
            <w:tr w14:paraId="47A2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5" w:type="pct"/>
                  <w:tcBorders>
                    <w:tl2br w:val="nil"/>
                    <w:tr2bl w:val="nil"/>
                  </w:tcBorders>
                  <w:noWrap/>
                  <w:tcMar>
                    <w:top w:w="57" w:type="dxa"/>
                    <w:left w:w="57" w:type="dxa"/>
                    <w:bottom w:w="57" w:type="dxa"/>
                    <w:right w:w="57" w:type="dxa"/>
                  </w:tcMar>
                  <w:vAlign w:val="center"/>
                </w:tcPr>
                <w:p w14:paraId="5F909D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辅助工程</w:t>
                  </w:r>
                </w:p>
              </w:tc>
              <w:tc>
                <w:tcPr>
                  <w:tcW w:w="486" w:type="pct"/>
                  <w:tcBorders>
                    <w:tl2br w:val="nil"/>
                    <w:tr2bl w:val="nil"/>
                  </w:tcBorders>
                  <w:shd w:val="clear" w:color="auto" w:fill="auto"/>
                  <w:noWrap/>
                  <w:tcMar>
                    <w:top w:w="57" w:type="dxa"/>
                    <w:left w:w="57" w:type="dxa"/>
                    <w:bottom w:w="57" w:type="dxa"/>
                    <w:right w:w="57" w:type="dxa"/>
                  </w:tcMar>
                  <w:vAlign w:val="center"/>
                </w:tcPr>
                <w:p w14:paraId="3D123A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rPr>
                    <w:t>办公楼</w:t>
                  </w:r>
                </w:p>
              </w:tc>
              <w:tc>
                <w:tcPr>
                  <w:tcW w:w="1301" w:type="pct"/>
                  <w:tcBorders>
                    <w:tl2br w:val="nil"/>
                    <w:tr2bl w:val="nil"/>
                  </w:tcBorders>
                  <w:shd w:val="clear" w:color="auto" w:fill="auto"/>
                  <w:noWrap/>
                  <w:tcMar>
                    <w:top w:w="57" w:type="dxa"/>
                    <w:left w:w="57" w:type="dxa"/>
                    <w:bottom w:w="57" w:type="dxa"/>
                    <w:right w:w="57" w:type="dxa"/>
                  </w:tcMar>
                  <w:vAlign w:val="center"/>
                </w:tcPr>
                <w:p w14:paraId="15A217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themeColor="text1"/>
                      <w:sz w:val="21"/>
                      <w:szCs w:val="21"/>
                      <w:lang w:val="en-US" w:eastAsia="zh-CN"/>
                      <w14:textFill>
                        <w14:solidFill>
                          <w14:schemeClr w14:val="tx1"/>
                        </w14:solidFill>
                      </w14:textFill>
                    </w:rPr>
                    <w:t>二层办公楼，用于日常办公，</w:t>
                  </w:r>
                  <w:r>
                    <w:rPr>
                      <w:rFonts w:hint="eastAsia" w:cs="Times New Roman"/>
                      <w:color w:val="000000" w:themeColor="text1"/>
                      <w:sz w:val="21"/>
                      <w:szCs w:val="21"/>
                      <w:lang w:val="en-US" w:eastAsia="zh-CN"/>
                      <w14:textFill>
                        <w14:solidFill>
                          <w14:schemeClr w14:val="tx1"/>
                        </w14:solidFill>
                      </w14:textFill>
                    </w:rPr>
                    <w:t>建筑</w:t>
                  </w:r>
                  <w:r>
                    <w:rPr>
                      <w:rFonts w:hint="default" w:ascii="Times New Roman" w:hAnsi="Times New Roman" w:cs="Times New Roman"/>
                      <w:color w:val="000000" w:themeColor="text1"/>
                      <w:sz w:val="21"/>
                      <w:szCs w:val="21"/>
                      <w:lang w:val="en-US" w:eastAsia="zh-CN"/>
                      <w14:textFill>
                        <w14:solidFill>
                          <w14:schemeClr w14:val="tx1"/>
                        </w14:solidFill>
                      </w14:textFill>
                    </w:rPr>
                    <w:t>面积约</w:t>
                  </w:r>
                  <w:r>
                    <w:rPr>
                      <w:rFonts w:hint="eastAsia" w:cs="Times New Roman"/>
                      <w:color w:val="000000" w:themeColor="text1"/>
                      <w:sz w:val="21"/>
                      <w:szCs w:val="21"/>
                      <w:lang w:val="en-US" w:eastAsia="zh-CN"/>
                      <w14:textFill>
                        <w14:solidFill>
                          <w14:schemeClr w14:val="tx1"/>
                        </w14:solidFill>
                      </w14:textFill>
                    </w:rPr>
                    <w:t>40</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kern w:val="0"/>
                      <w:sz w:val="21"/>
                      <w:szCs w:val="21"/>
                      <w:lang w:val="en-US" w:eastAsia="zh-CN" w:bidi="ar"/>
                    </w:rPr>
                    <w:t>m</w:t>
                  </w:r>
                  <w:r>
                    <w:rPr>
                      <w:rFonts w:hint="eastAsia" w:cs="Times New Roman"/>
                      <w:color w:val="000000"/>
                      <w:kern w:val="0"/>
                      <w:sz w:val="21"/>
                      <w:szCs w:val="21"/>
                      <w:vertAlign w:val="superscript"/>
                      <w:lang w:val="en-US" w:eastAsia="zh-CN" w:bidi="ar"/>
                    </w:rPr>
                    <w:t>2</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2836" w:type="pct"/>
                  <w:tcBorders>
                    <w:tl2br w:val="nil"/>
                    <w:tr2bl w:val="nil"/>
                  </w:tcBorders>
                  <w:shd w:val="clear" w:color="auto" w:fill="auto"/>
                  <w:noWrap/>
                  <w:tcMar>
                    <w:top w:w="57" w:type="dxa"/>
                    <w:left w:w="57" w:type="dxa"/>
                    <w:bottom w:w="57" w:type="dxa"/>
                    <w:right w:w="57" w:type="dxa"/>
                  </w:tcMar>
                  <w:vAlign w:val="center"/>
                </w:tcPr>
                <w:p w14:paraId="562C2B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2"/>
                      <w:sz w:val="21"/>
                      <w:szCs w:val="21"/>
                      <w:highlight w:val="none"/>
                      <w:lang w:val="en-US" w:eastAsia="zh-CN" w:bidi="ar-SA"/>
                    </w:rPr>
                    <w:t>本项目仅增加劳动生产人员，不增加办公室管理人员，不增加办公室使用面积，故依托可行。</w:t>
                  </w:r>
                </w:p>
              </w:tc>
            </w:tr>
            <w:tr w14:paraId="6E25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928" w:hRule="atLeast"/>
                <w:jc w:val="center"/>
              </w:trPr>
              <w:tc>
                <w:tcPr>
                  <w:tcW w:w="375" w:type="pct"/>
                  <w:vMerge w:val="restart"/>
                  <w:tcBorders>
                    <w:tl2br w:val="nil"/>
                    <w:tr2bl w:val="nil"/>
                  </w:tcBorders>
                  <w:noWrap/>
                  <w:tcMar>
                    <w:top w:w="57" w:type="dxa"/>
                    <w:left w:w="57" w:type="dxa"/>
                    <w:bottom w:w="57" w:type="dxa"/>
                    <w:right w:w="57" w:type="dxa"/>
                  </w:tcMar>
                  <w:vAlign w:val="center"/>
                </w:tcPr>
                <w:p w14:paraId="5637D0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cs="Times New Roman"/>
                      <w:bCs/>
                      <w:sz w:val="21"/>
                      <w:szCs w:val="21"/>
                    </w:rPr>
                    <w:t>储运工程</w:t>
                  </w:r>
                </w:p>
              </w:tc>
              <w:tc>
                <w:tcPr>
                  <w:tcW w:w="486" w:type="pct"/>
                  <w:tcBorders>
                    <w:tl2br w:val="nil"/>
                    <w:tr2bl w:val="nil"/>
                  </w:tcBorders>
                  <w:shd w:val="clear" w:color="auto" w:fill="auto"/>
                  <w:noWrap/>
                  <w:tcMar>
                    <w:top w:w="57" w:type="dxa"/>
                    <w:left w:w="57" w:type="dxa"/>
                    <w:bottom w:w="57" w:type="dxa"/>
                    <w:right w:w="57" w:type="dxa"/>
                  </w:tcMar>
                  <w:vAlign w:val="center"/>
                </w:tcPr>
                <w:p w14:paraId="4D068DE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cs="Times New Roman"/>
                      <w:sz w:val="21"/>
                      <w:szCs w:val="21"/>
                      <w:lang w:val="en-US" w:eastAsia="zh-CN"/>
                    </w:rPr>
                    <w:t>原料区</w:t>
                  </w:r>
                  <w:r>
                    <w:rPr>
                      <w:rFonts w:hint="eastAsia" w:cs="Times New Roman"/>
                      <w:sz w:val="21"/>
                      <w:szCs w:val="21"/>
                      <w:lang w:val="en-US" w:eastAsia="zh-CN"/>
                    </w:rPr>
                    <w:t>及成品区</w:t>
                  </w:r>
                </w:p>
              </w:tc>
              <w:tc>
                <w:tcPr>
                  <w:tcW w:w="1301" w:type="pct"/>
                  <w:tcBorders>
                    <w:tl2br w:val="nil"/>
                    <w:tr2bl w:val="nil"/>
                  </w:tcBorders>
                  <w:shd w:val="clear" w:color="auto" w:fill="auto"/>
                  <w:noWrap/>
                  <w:tcMar>
                    <w:top w:w="57" w:type="dxa"/>
                    <w:left w:w="57" w:type="dxa"/>
                    <w:bottom w:w="57" w:type="dxa"/>
                    <w:right w:w="57" w:type="dxa"/>
                  </w:tcMar>
                  <w:vAlign w:val="center"/>
                </w:tcPr>
                <w:p w14:paraId="1CD1024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依托A、B生产车间，根据技改后原辅用料及生产情况优化布局</w:t>
                  </w:r>
                </w:p>
              </w:tc>
              <w:tc>
                <w:tcPr>
                  <w:tcW w:w="2836" w:type="pct"/>
                  <w:tcBorders>
                    <w:tl2br w:val="nil"/>
                    <w:tr2bl w:val="nil"/>
                  </w:tcBorders>
                  <w:shd w:val="clear" w:color="auto" w:fill="auto"/>
                  <w:noWrap/>
                  <w:tcMar>
                    <w:top w:w="57" w:type="dxa"/>
                    <w:left w:w="57" w:type="dxa"/>
                    <w:bottom w:w="57" w:type="dxa"/>
                    <w:right w:w="57" w:type="dxa"/>
                  </w:tcMar>
                  <w:vAlign w:val="center"/>
                </w:tcPr>
                <w:p w14:paraId="0DAE03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A车间：原焊接区迁移至C车间，原料区由300m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增加至800m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，成品区由500m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增加至1000m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，装配区由500m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增加至800m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，车间面积2880m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能够合理容纳及布局。B车间：原料区仍为800m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不变，成品区由500m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增加至900m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，装配区由500m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增加至1000m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，车间面积2880m</w:t>
                  </w:r>
                  <w:r>
                    <w:rPr>
                      <w:rFonts w:hint="eastAsia" w:cs="Times New Roman"/>
                      <w:color w:val="000000"/>
                      <w:kern w:val="2"/>
                      <w:sz w:val="21"/>
                      <w:szCs w:val="21"/>
                      <w:highlight w:val="none"/>
                      <w:vertAlign w:val="superscript"/>
                      <w:lang w:val="en-US" w:eastAsia="zh-CN" w:bidi="ar-SA"/>
                    </w:rPr>
                    <w:t>2</w:t>
                  </w:r>
                  <w:r>
                    <w:rPr>
                      <w:rFonts w:hint="eastAsia" w:cs="Times New Roman"/>
                      <w:color w:val="000000"/>
                      <w:kern w:val="2"/>
                      <w:sz w:val="21"/>
                      <w:szCs w:val="21"/>
                      <w:highlight w:val="none"/>
                      <w:lang w:val="en-US" w:eastAsia="zh-CN" w:bidi="ar-SA"/>
                    </w:rPr>
                    <w:t>能够合理容纳及布局。故依托可行。</w:t>
                  </w:r>
                </w:p>
              </w:tc>
            </w:tr>
            <w:tr w14:paraId="30A9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5" w:type="pct"/>
                  <w:vMerge w:val="restart"/>
                  <w:tcBorders>
                    <w:tl2br w:val="nil"/>
                    <w:tr2bl w:val="nil"/>
                  </w:tcBorders>
                  <w:noWrap/>
                  <w:tcMar>
                    <w:top w:w="57" w:type="dxa"/>
                    <w:left w:w="57" w:type="dxa"/>
                    <w:bottom w:w="57" w:type="dxa"/>
                    <w:right w:w="57" w:type="dxa"/>
                  </w:tcMar>
                  <w:vAlign w:val="center"/>
                </w:tcPr>
                <w:p w14:paraId="7A0BFF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公用工程</w:t>
                  </w:r>
                </w:p>
              </w:tc>
              <w:tc>
                <w:tcPr>
                  <w:tcW w:w="486" w:type="pct"/>
                  <w:tcBorders>
                    <w:tl2br w:val="nil"/>
                    <w:tr2bl w:val="nil"/>
                  </w:tcBorders>
                  <w:noWrap/>
                  <w:tcMar>
                    <w:top w:w="57" w:type="dxa"/>
                    <w:left w:w="57" w:type="dxa"/>
                    <w:bottom w:w="57" w:type="dxa"/>
                    <w:right w:w="57" w:type="dxa"/>
                  </w:tcMar>
                  <w:vAlign w:val="center"/>
                </w:tcPr>
                <w:p w14:paraId="6F567DF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供水</w:t>
                  </w:r>
                </w:p>
              </w:tc>
              <w:tc>
                <w:tcPr>
                  <w:tcW w:w="1301" w:type="pct"/>
                  <w:tcBorders>
                    <w:tl2br w:val="nil"/>
                    <w:tr2bl w:val="nil"/>
                  </w:tcBorders>
                  <w:shd w:val="clear" w:color="auto" w:fill="auto"/>
                  <w:noWrap/>
                  <w:tcMar>
                    <w:top w:w="57" w:type="dxa"/>
                    <w:left w:w="57" w:type="dxa"/>
                    <w:bottom w:w="57" w:type="dxa"/>
                    <w:right w:w="57" w:type="dxa"/>
                  </w:tcMar>
                  <w:vAlign w:val="center"/>
                </w:tcPr>
                <w:p w14:paraId="64798E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由市政管网供水。</w:t>
                  </w:r>
                </w:p>
              </w:tc>
              <w:tc>
                <w:tcPr>
                  <w:tcW w:w="2836" w:type="pct"/>
                  <w:tcBorders>
                    <w:tl2br w:val="nil"/>
                    <w:tr2bl w:val="nil"/>
                  </w:tcBorders>
                  <w:shd w:val="clear" w:color="auto" w:fill="auto"/>
                  <w:noWrap/>
                  <w:tcMar>
                    <w:top w:w="57" w:type="dxa"/>
                    <w:left w:w="57" w:type="dxa"/>
                    <w:bottom w:w="57" w:type="dxa"/>
                    <w:right w:w="57" w:type="dxa"/>
                  </w:tcMar>
                  <w:vAlign w:val="center"/>
                </w:tcPr>
                <w:p w14:paraId="5921E3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依托厂内原有供水管网，</w:t>
                  </w:r>
                  <w:r>
                    <w:rPr>
                      <w:rFonts w:hint="eastAsia" w:cs="Times New Roman"/>
                      <w:color w:val="000000"/>
                      <w:kern w:val="0"/>
                      <w:sz w:val="21"/>
                      <w:szCs w:val="21"/>
                      <w:lang w:val="en-US" w:eastAsia="zh-CN"/>
                    </w:rPr>
                    <w:t>现有项目用水量为600t/a，本次新增152t/a</w:t>
                  </w:r>
                  <w:r>
                    <w:rPr>
                      <w:rFonts w:hint="default" w:ascii="Times New Roman" w:hAnsi="Times New Roman" w:cs="Times New Roman"/>
                      <w:color w:val="000000"/>
                      <w:kern w:val="0"/>
                      <w:sz w:val="21"/>
                      <w:szCs w:val="21"/>
                      <w:lang w:val="en-US" w:eastAsia="zh-CN"/>
                    </w:rPr>
                    <w:t>，项目所在区域市政供水管网已建成并覆盖，供水能力不低于10000m</w:t>
                  </w:r>
                  <w:r>
                    <w:rPr>
                      <w:rFonts w:hint="eastAsia" w:cs="Times New Roman"/>
                      <w:color w:val="000000"/>
                      <w:kern w:val="0"/>
                      <w:sz w:val="21"/>
                      <w:szCs w:val="21"/>
                      <w:vertAlign w:val="superscript"/>
                      <w:lang w:val="en-US" w:eastAsia="zh-CN"/>
                    </w:rPr>
                    <w:t>3</w:t>
                  </w:r>
                  <w:r>
                    <w:rPr>
                      <w:rFonts w:hint="default" w:ascii="Times New Roman" w:hAnsi="Times New Roman" w:cs="Times New Roman"/>
                      <w:color w:val="000000"/>
                      <w:kern w:val="0"/>
                      <w:sz w:val="21"/>
                      <w:szCs w:val="21"/>
                      <w:lang w:val="en-US" w:eastAsia="zh-CN"/>
                    </w:rPr>
                    <w:t>/d，供水规模充足，完全可满足本项目运营期用水需求，项目依托市政管网供水可行</w:t>
                  </w:r>
                  <w:r>
                    <w:rPr>
                      <w:rFonts w:hint="eastAsia" w:cs="Times New Roman"/>
                      <w:color w:val="000000"/>
                      <w:kern w:val="0"/>
                      <w:sz w:val="21"/>
                      <w:szCs w:val="21"/>
                      <w:lang w:val="en-US" w:eastAsia="zh-CN"/>
                    </w:rPr>
                    <w:t>。</w:t>
                  </w:r>
                </w:p>
              </w:tc>
            </w:tr>
            <w:tr w14:paraId="7C30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5" w:type="pct"/>
                  <w:vMerge w:val="continue"/>
                  <w:tcBorders>
                    <w:tl2br w:val="nil"/>
                    <w:tr2bl w:val="nil"/>
                  </w:tcBorders>
                  <w:noWrap/>
                  <w:tcMar>
                    <w:top w:w="57" w:type="dxa"/>
                    <w:left w:w="57" w:type="dxa"/>
                    <w:bottom w:w="57" w:type="dxa"/>
                    <w:right w:w="57" w:type="dxa"/>
                  </w:tcMar>
                  <w:vAlign w:val="center"/>
                </w:tcPr>
                <w:p w14:paraId="58AC109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486" w:type="pct"/>
                  <w:tcBorders>
                    <w:tl2br w:val="nil"/>
                    <w:tr2bl w:val="nil"/>
                  </w:tcBorders>
                  <w:shd w:val="clear" w:color="auto" w:fill="auto"/>
                  <w:noWrap/>
                  <w:tcMar>
                    <w:top w:w="57" w:type="dxa"/>
                    <w:left w:w="57" w:type="dxa"/>
                    <w:bottom w:w="57" w:type="dxa"/>
                    <w:right w:w="57" w:type="dxa"/>
                  </w:tcMar>
                  <w:vAlign w:val="center"/>
                </w:tcPr>
                <w:p w14:paraId="5B26EC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2"/>
                      <w:sz w:val="21"/>
                      <w:szCs w:val="21"/>
                      <w:highlight w:val="none"/>
                      <w:lang w:val="en-US" w:eastAsia="zh-CN"/>
                    </w:rPr>
                    <w:t>供电</w:t>
                  </w:r>
                </w:p>
              </w:tc>
              <w:tc>
                <w:tcPr>
                  <w:tcW w:w="1301" w:type="pct"/>
                  <w:tcBorders>
                    <w:tl2br w:val="nil"/>
                    <w:tr2bl w:val="nil"/>
                  </w:tcBorders>
                  <w:shd w:val="clear" w:color="auto" w:fill="auto"/>
                  <w:noWrap/>
                  <w:tcMar>
                    <w:top w:w="57" w:type="dxa"/>
                    <w:left w:w="57" w:type="dxa"/>
                    <w:bottom w:w="57" w:type="dxa"/>
                    <w:right w:w="57" w:type="dxa"/>
                  </w:tcMar>
                  <w:vAlign w:val="center"/>
                </w:tcPr>
                <w:p w14:paraId="7C705D4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由国家电网供电。</w:t>
                  </w:r>
                </w:p>
              </w:tc>
              <w:tc>
                <w:tcPr>
                  <w:tcW w:w="2836" w:type="pct"/>
                  <w:tcBorders>
                    <w:tl2br w:val="nil"/>
                    <w:tr2bl w:val="nil"/>
                  </w:tcBorders>
                  <w:shd w:val="clear" w:color="auto" w:fill="auto"/>
                  <w:noWrap/>
                  <w:tcMar>
                    <w:top w:w="57" w:type="dxa"/>
                    <w:left w:w="57" w:type="dxa"/>
                    <w:bottom w:w="57" w:type="dxa"/>
                    <w:right w:w="57" w:type="dxa"/>
                  </w:tcMar>
                  <w:vAlign w:val="center"/>
                </w:tcPr>
                <w:p w14:paraId="32B4158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依托原有供电设备，本次技改后</w:t>
                  </w:r>
                  <w:r>
                    <w:rPr>
                      <w:rFonts w:hint="eastAsia" w:cs="Times New Roman"/>
                      <w:color w:val="000000"/>
                      <w:kern w:val="0"/>
                      <w:sz w:val="21"/>
                      <w:szCs w:val="21"/>
                      <w:lang w:val="en-US" w:eastAsia="zh-CN"/>
                    </w:rPr>
                    <w:t>优化布局，</w:t>
                  </w:r>
                  <w:r>
                    <w:rPr>
                      <w:rFonts w:hint="default" w:ascii="Times New Roman" w:hAnsi="Times New Roman" w:cs="Times New Roman"/>
                      <w:color w:val="000000"/>
                      <w:kern w:val="0"/>
                      <w:sz w:val="21"/>
                      <w:szCs w:val="21"/>
                      <w:lang w:val="en-US" w:eastAsia="zh-CN"/>
                    </w:rPr>
                    <w:t>新增部分生产设备</w:t>
                  </w:r>
                  <w:r>
                    <w:rPr>
                      <w:rFonts w:hint="default" w:ascii="Times New Roman" w:hAnsi="Times New Roman" w:cs="Times New Roman"/>
                      <w:color w:val="000000"/>
                      <w:kern w:val="2"/>
                      <w:sz w:val="21"/>
                      <w:szCs w:val="21"/>
                      <w:highlight w:val="none"/>
                      <w:lang w:val="en-US" w:eastAsia="zh-CN" w:bidi="ar-SA"/>
                    </w:rPr>
                    <w:t>，电量小幅度增加</w:t>
                  </w:r>
                  <w:r>
                    <w:rPr>
                      <w:rFonts w:hint="eastAsia" w:cs="Times New Roman"/>
                      <w:color w:val="000000"/>
                      <w:kern w:val="2"/>
                      <w:sz w:val="21"/>
                      <w:szCs w:val="21"/>
                      <w:highlight w:val="none"/>
                      <w:lang w:val="en-US" w:eastAsia="zh-CN" w:bidi="ar-SA"/>
                    </w:rPr>
                    <w:t>。</w:t>
                  </w:r>
                  <w:r>
                    <w:rPr>
                      <w:rFonts w:hint="default" w:ascii="Times New Roman" w:hAnsi="Times New Roman" w:cs="Times New Roman"/>
                      <w:color w:val="000000"/>
                      <w:kern w:val="0"/>
                      <w:sz w:val="21"/>
                      <w:szCs w:val="21"/>
                      <w:lang w:val="en-US" w:eastAsia="zh-CN"/>
                    </w:rPr>
                    <w:t>本项目用电由区域市政供电管网统一供给，项目所在区域市政供电设施已建成并覆盖，供电线路已铺设到位。区域市政供电系统配备完善，供电可靠性高，市政供电能力远大于本项目运营期用电负荷，可完全满足本项目生产、生活及辅助设施的用电需求，供电电压、频率符合项目用电要求，项目依托市政供电管网供电可行</w:t>
                  </w:r>
                  <w:r>
                    <w:rPr>
                      <w:rFonts w:hint="eastAsia" w:cs="Times New Roman"/>
                      <w:color w:val="000000"/>
                      <w:kern w:val="0"/>
                      <w:sz w:val="21"/>
                      <w:szCs w:val="21"/>
                      <w:lang w:val="en-US" w:eastAsia="zh-CN"/>
                    </w:rPr>
                    <w:t>。</w:t>
                  </w:r>
                </w:p>
              </w:tc>
            </w:tr>
            <w:tr w14:paraId="4E18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5" w:type="pct"/>
                  <w:vMerge w:val="continue"/>
                  <w:tcBorders>
                    <w:tl2br w:val="nil"/>
                    <w:tr2bl w:val="nil"/>
                  </w:tcBorders>
                  <w:noWrap/>
                  <w:tcMar>
                    <w:top w:w="57" w:type="dxa"/>
                    <w:left w:w="57" w:type="dxa"/>
                    <w:bottom w:w="57" w:type="dxa"/>
                    <w:right w:w="57" w:type="dxa"/>
                  </w:tcMar>
                  <w:vAlign w:val="center"/>
                </w:tcPr>
                <w:p w14:paraId="436CEC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486" w:type="pct"/>
                  <w:tcBorders>
                    <w:tl2br w:val="nil"/>
                    <w:tr2bl w:val="nil"/>
                  </w:tcBorders>
                  <w:noWrap/>
                  <w:tcMar>
                    <w:top w:w="57" w:type="dxa"/>
                    <w:left w:w="57" w:type="dxa"/>
                    <w:bottom w:w="57" w:type="dxa"/>
                    <w:right w:w="57" w:type="dxa"/>
                  </w:tcMar>
                  <w:vAlign w:val="center"/>
                </w:tcPr>
                <w:p w14:paraId="43A398A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排水</w:t>
                  </w:r>
                </w:p>
              </w:tc>
              <w:tc>
                <w:tcPr>
                  <w:tcW w:w="1301" w:type="pct"/>
                  <w:tcBorders>
                    <w:tl2br w:val="nil"/>
                    <w:tr2bl w:val="nil"/>
                  </w:tcBorders>
                  <w:noWrap/>
                  <w:tcMar>
                    <w:top w:w="57" w:type="dxa"/>
                    <w:left w:w="57" w:type="dxa"/>
                    <w:bottom w:w="57" w:type="dxa"/>
                    <w:right w:w="57" w:type="dxa"/>
                  </w:tcMar>
                  <w:vAlign w:val="center"/>
                </w:tcPr>
                <w:p w14:paraId="4504FEF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0"/>
                      <w:sz w:val="21"/>
                      <w:szCs w:val="21"/>
                      <w:lang w:val="en-US" w:eastAsia="zh-CN"/>
                    </w:rPr>
                    <w:t>厂区内雨污分流，生活污水通过化粪池预处理后排入</w:t>
                  </w:r>
                  <w:r>
                    <w:rPr>
                      <w:rFonts w:hint="default" w:ascii="Times New Roman" w:hAnsi="Times New Roman" w:cs="Times New Roman"/>
                      <w:color w:val="000000"/>
                      <w:kern w:val="2"/>
                      <w:sz w:val="21"/>
                      <w:szCs w:val="21"/>
                      <w:highlight w:val="none"/>
                      <w:lang w:val="en-US" w:eastAsia="zh-CN"/>
                    </w:rPr>
                    <w:t>龙湖工业园污水处理厂</w:t>
                  </w:r>
                  <w:r>
                    <w:rPr>
                      <w:rFonts w:hint="default" w:ascii="Times New Roman" w:hAnsi="Times New Roman" w:cs="Times New Roman"/>
                      <w:color w:val="000000"/>
                      <w:kern w:val="0"/>
                      <w:sz w:val="21"/>
                      <w:szCs w:val="21"/>
                      <w:lang w:val="en-US" w:eastAsia="zh-CN"/>
                    </w:rPr>
                    <w:t>。</w:t>
                  </w:r>
                </w:p>
              </w:tc>
              <w:tc>
                <w:tcPr>
                  <w:tcW w:w="2836" w:type="pct"/>
                  <w:tcBorders>
                    <w:tl2br w:val="nil"/>
                    <w:tr2bl w:val="nil"/>
                  </w:tcBorders>
                  <w:shd w:val="clear" w:color="auto" w:fill="auto"/>
                  <w:noWrap/>
                  <w:tcMar>
                    <w:top w:w="57" w:type="dxa"/>
                    <w:left w:w="57" w:type="dxa"/>
                    <w:bottom w:w="57" w:type="dxa"/>
                    <w:right w:w="57" w:type="dxa"/>
                  </w:tcMar>
                  <w:vAlign w:val="center"/>
                </w:tcPr>
                <w:p w14:paraId="368DF36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2"/>
                      <w:sz w:val="21"/>
                      <w:szCs w:val="21"/>
                      <w:highlight w:val="none"/>
                      <w:lang w:val="en-US" w:eastAsia="zh-CN" w:bidi="ar-SA"/>
                    </w:rPr>
                    <w:t>本次技改后厂区内增加少量生活污水</w:t>
                  </w:r>
                  <w:r>
                    <w:rPr>
                      <w:rFonts w:hint="eastAsia" w:cs="Times New Roman"/>
                      <w:color w:val="000000"/>
                      <w:kern w:val="2"/>
                      <w:sz w:val="21"/>
                      <w:szCs w:val="21"/>
                      <w:highlight w:val="none"/>
                      <w:lang w:val="en-US" w:eastAsia="zh-CN" w:bidi="ar-SA"/>
                    </w:rPr>
                    <w:t>，</w:t>
                  </w:r>
                  <w:r>
                    <w:rPr>
                      <w:rFonts w:hint="default" w:ascii="Times New Roman" w:hAnsi="Times New Roman" w:cs="Times New Roman"/>
                      <w:color w:val="000000"/>
                      <w:kern w:val="2"/>
                      <w:sz w:val="21"/>
                      <w:szCs w:val="21"/>
                      <w:highlight w:val="none"/>
                      <w:lang w:val="en-US" w:eastAsia="zh-CN" w:bidi="ar-SA"/>
                    </w:rPr>
                    <w:t>项目产生的生活污水经化粪池预处理后，排入市政污水管网，进入污水处理厂处理。区域排水管网完善，接纳能力充足，依托市政排水系统可行</w:t>
                  </w:r>
                  <w:r>
                    <w:rPr>
                      <w:rFonts w:hint="eastAsia" w:cs="Times New Roman"/>
                      <w:color w:val="000000"/>
                      <w:kern w:val="2"/>
                      <w:sz w:val="21"/>
                      <w:szCs w:val="21"/>
                      <w:highlight w:val="none"/>
                      <w:lang w:val="en-US" w:eastAsia="zh-CN" w:bidi="ar-SA"/>
                    </w:rPr>
                    <w:t>。</w:t>
                  </w:r>
                </w:p>
              </w:tc>
            </w:tr>
            <w:tr w14:paraId="52C5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1" w:hRule="atLeast"/>
                <w:jc w:val="center"/>
              </w:trPr>
              <w:tc>
                <w:tcPr>
                  <w:tcW w:w="375" w:type="pct"/>
                  <w:tcBorders>
                    <w:tl2br w:val="nil"/>
                    <w:tr2bl w:val="nil"/>
                  </w:tcBorders>
                  <w:noWrap/>
                  <w:tcMar>
                    <w:top w:w="57" w:type="dxa"/>
                    <w:left w:w="57" w:type="dxa"/>
                    <w:bottom w:w="57" w:type="dxa"/>
                    <w:right w:w="57" w:type="dxa"/>
                  </w:tcMar>
                  <w:vAlign w:val="center"/>
                </w:tcPr>
                <w:p w14:paraId="537A539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环保工程</w:t>
                  </w:r>
                </w:p>
              </w:tc>
              <w:tc>
                <w:tcPr>
                  <w:tcW w:w="486" w:type="pct"/>
                  <w:tcBorders>
                    <w:tl2br w:val="nil"/>
                    <w:tr2bl w:val="nil"/>
                  </w:tcBorders>
                  <w:noWrap/>
                  <w:tcMar>
                    <w:top w:w="57" w:type="dxa"/>
                    <w:left w:w="57" w:type="dxa"/>
                    <w:bottom w:w="57" w:type="dxa"/>
                    <w:right w:w="57" w:type="dxa"/>
                  </w:tcMar>
                  <w:vAlign w:val="center"/>
                </w:tcPr>
                <w:p w14:paraId="10B019B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废水</w:t>
                  </w:r>
                  <w:r>
                    <w:rPr>
                      <w:rFonts w:hint="default" w:ascii="Times New Roman" w:hAnsi="Times New Roman" w:cs="Times New Roman"/>
                      <w:color w:val="000000"/>
                      <w:kern w:val="2"/>
                      <w:sz w:val="21"/>
                      <w:szCs w:val="21"/>
                      <w:highlight w:val="none"/>
                      <w:lang w:val="en-US" w:eastAsia="zh-CN"/>
                    </w:rPr>
                    <w:t>治理</w:t>
                  </w:r>
                </w:p>
              </w:tc>
              <w:tc>
                <w:tcPr>
                  <w:tcW w:w="1301" w:type="pct"/>
                  <w:tcBorders>
                    <w:tl2br w:val="nil"/>
                    <w:tr2bl w:val="nil"/>
                  </w:tcBorders>
                  <w:noWrap/>
                  <w:tcMar>
                    <w:top w:w="57" w:type="dxa"/>
                    <w:left w:w="57" w:type="dxa"/>
                    <w:bottom w:w="57" w:type="dxa"/>
                    <w:right w:w="57" w:type="dxa"/>
                  </w:tcMar>
                  <w:vAlign w:val="center"/>
                </w:tcPr>
                <w:p w14:paraId="73EF87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2"/>
                      <w:sz w:val="21"/>
                      <w:szCs w:val="21"/>
                      <w:highlight w:val="none"/>
                      <w:lang w:val="en-US" w:eastAsia="zh-CN"/>
                    </w:rPr>
                    <w:t>生活污水依托原有化粪池进行预处理，然后通过污水管网进入龙湖工业园污水处理厂进行深度处理。</w:t>
                  </w:r>
                </w:p>
              </w:tc>
              <w:tc>
                <w:tcPr>
                  <w:tcW w:w="2836" w:type="pct"/>
                  <w:tcBorders>
                    <w:tl2br w:val="nil"/>
                    <w:tr2bl w:val="nil"/>
                  </w:tcBorders>
                  <w:shd w:val="clear" w:color="auto" w:fill="auto"/>
                  <w:noWrap/>
                  <w:tcMar>
                    <w:top w:w="57" w:type="dxa"/>
                    <w:left w:w="57" w:type="dxa"/>
                    <w:bottom w:w="57" w:type="dxa"/>
                    <w:right w:w="57" w:type="dxa"/>
                  </w:tcMar>
                  <w:vAlign w:val="center"/>
                </w:tcPr>
                <w:p w14:paraId="0A0BE2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2"/>
                      <w:sz w:val="21"/>
                      <w:szCs w:val="21"/>
                      <w:highlight w:val="none"/>
                      <w:lang w:val="en-US" w:eastAsia="zh-CN" w:bidi="ar-SA"/>
                    </w:rPr>
                    <w:t>现有项目生活污水产生量约为480m</w:t>
                  </w:r>
                  <w:r>
                    <w:rPr>
                      <w:rFonts w:hint="default" w:ascii="Times New Roman" w:hAnsi="Times New Roman" w:cs="Times New Roman"/>
                      <w:color w:val="000000"/>
                      <w:kern w:val="2"/>
                      <w:sz w:val="21"/>
                      <w:szCs w:val="21"/>
                      <w:highlight w:val="none"/>
                      <w:vertAlign w:val="superscript"/>
                      <w:lang w:val="en-US" w:eastAsia="zh-CN" w:bidi="ar-SA"/>
                    </w:rPr>
                    <w:t>3</w:t>
                  </w:r>
                  <w:r>
                    <w:rPr>
                      <w:rFonts w:hint="default" w:ascii="Times New Roman" w:hAnsi="Times New Roman" w:cs="Times New Roman"/>
                      <w:color w:val="000000"/>
                      <w:kern w:val="2"/>
                      <w:sz w:val="21"/>
                      <w:szCs w:val="21"/>
                      <w:highlight w:val="none"/>
                      <w:lang w:val="en-US" w:eastAsia="zh-CN" w:bidi="ar-SA"/>
                    </w:rPr>
                    <w:t>/a（1.6m</w:t>
                  </w:r>
                  <w:r>
                    <w:rPr>
                      <w:rFonts w:hint="default" w:ascii="Times New Roman" w:hAnsi="Times New Roman" w:cs="Times New Roman"/>
                      <w:color w:val="000000"/>
                      <w:kern w:val="2"/>
                      <w:sz w:val="21"/>
                      <w:szCs w:val="21"/>
                      <w:highlight w:val="none"/>
                      <w:vertAlign w:val="superscript"/>
                      <w:lang w:val="en-US" w:eastAsia="zh-CN" w:bidi="ar-SA"/>
                    </w:rPr>
                    <w:t>3</w:t>
                  </w:r>
                  <w:r>
                    <w:rPr>
                      <w:rFonts w:hint="default" w:ascii="Times New Roman" w:hAnsi="Times New Roman" w:cs="Times New Roman"/>
                      <w:color w:val="000000"/>
                      <w:kern w:val="2"/>
                      <w:sz w:val="21"/>
                      <w:szCs w:val="21"/>
                      <w:highlight w:val="none"/>
                      <w:lang w:val="en-US" w:eastAsia="zh-CN" w:bidi="ar-SA"/>
                    </w:rPr>
                    <w:t>/d）。技改完成后生活污水产生量约为600m</w:t>
                  </w:r>
                  <w:r>
                    <w:rPr>
                      <w:rFonts w:hint="default" w:ascii="Times New Roman" w:hAnsi="Times New Roman" w:cs="Times New Roman"/>
                      <w:color w:val="000000"/>
                      <w:kern w:val="2"/>
                      <w:sz w:val="21"/>
                      <w:szCs w:val="21"/>
                      <w:highlight w:val="none"/>
                      <w:vertAlign w:val="superscript"/>
                      <w:lang w:val="en-US" w:eastAsia="zh-CN" w:bidi="ar-SA"/>
                    </w:rPr>
                    <w:t>3</w:t>
                  </w:r>
                  <w:r>
                    <w:rPr>
                      <w:rFonts w:hint="default" w:ascii="Times New Roman" w:hAnsi="Times New Roman" w:cs="Times New Roman"/>
                      <w:color w:val="000000"/>
                      <w:kern w:val="2"/>
                      <w:sz w:val="21"/>
                      <w:szCs w:val="21"/>
                      <w:highlight w:val="none"/>
                      <w:lang w:val="en-US" w:eastAsia="zh-CN" w:bidi="ar-SA"/>
                    </w:rPr>
                    <w:t>/a（2m</w:t>
                  </w:r>
                  <w:r>
                    <w:rPr>
                      <w:rFonts w:hint="default" w:ascii="Times New Roman" w:hAnsi="Times New Roman" w:cs="Times New Roman"/>
                      <w:color w:val="000000"/>
                      <w:kern w:val="2"/>
                      <w:sz w:val="21"/>
                      <w:szCs w:val="21"/>
                      <w:highlight w:val="none"/>
                      <w:vertAlign w:val="superscript"/>
                      <w:lang w:val="en-US" w:eastAsia="zh-CN" w:bidi="ar-SA"/>
                    </w:rPr>
                    <w:t>3</w:t>
                  </w:r>
                  <w:r>
                    <w:rPr>
                      <w:rFonts w:hint="default" w:ascii="Times New Roman" w:hAnsi="Times New Roman" w:cs="Times New Roman"/>
                      <w:color w:val="000000"/>
                      <w:kern w:val="2"/>
                      <w:sz w:val="21"/>
                      <w:szCs w:val="21"/>
                      <w:highlight w:val="none"/>
                      <w:lang w:val="en-US" w:eastAsia="zh-CN" w:bidi="ar-SA"/>
                    </w:rPr>
                    <w:t>/d），厂区内现有28.5m</w:t>
                  </w:r>
                  <w:r>
                    <w:rPr>
                      <w:rFonts w:hint="default" w:ascii="Times New Roman" w:hAnsi="Times New Roman" w:cs="Times New Roman"/>
                      <w:color w:val="000000"/>
                      <w:kern w:val="2"/>
                      <w:sz w:val="21"/>
                      <w:szCs w:val="21"/>
                      <w:highlight w:val="none"/>
                      <w:vertAlign w:val="superscript"/>
                      <w:lang w:val="en-US" w:eastAsia="zh-CN" w:bidi="ar-SA"/>
                    </w:rPr>
                    <w:t>3</w:t>
                  </w:r>
                  <w:r>
                    <w:rPr>
                      <w:rFonts w:hint="default" w:ascii="Times New Roman" w:hAnsi="Times New Roman" w:cs="Times New Roman"/>
                      <w:color w:val="000000"/>
                      <w:kern w:val="2"/>
                      <w:sz w:val="21"/>
                      <w:szCs w:val="21"/>
                      <w:highlight w:val="none"/>
                      <w:lang w:val="en-US" w:eastAsia="zh-CN" w:bidi="ar-SA"/>
                    </w:rPr>
                    <w:t>的化粪池，足够容纳全厂14天（28m</w:t>
                  </w:r>
                  <w:r>
                    <w:rPr>
                      <w:rFonts w:hint="default" w:ascii="Times New Roman" w:hAnsi="Times New Roman" w:cs="Times New Roman"/>
                      <w:color w:val="000000"/>
                      <w:kern w:val="2"/>
                      <w:sz w:val="21"/>
                      <w:szCs w:val="21"/>
                      <w:highlight w:val="none"/>
                      <w:vertAlign w:val="superscript"/>
                      <w:lang w:val="en-US" w:eastAsia="zh-CN" w:bidi="ar-SA"/>
                    </w:rPr>
                    <w:t>3</w:t>
                  </w:r>
                  <w:r>
                    <w:rPr>
                      <w:rFonts w:hint="default" w:ascii="Times New Roman" w:hAnsi="Times New Roman" w:cs="Times New Roman"/>
                      <w:color w:val="000000"/>
                      <w:kern w:val="2"/>
                      <w:sz w:val="21"/>
                      <w:szCs w:val="21"/>
                      <w:highlight w:val="none"/>
                      <w:lang w:val="en-US" w:eastAsia="zh-CN" w:bidi="ar-SA"/>
                    </w:rPr>
                    <w:t>）产生的生活污水。因此，本项目依托现有化粪池处理生活污水的措施是可行的。</w:t>
                  </w:r>
                </w:p>
              </w:tc>
            </w:tr>
          </w:tbl>
          <w:p w14:paraId="45C671AF">
            <w:pPr>
              <w:bidi w:val="0"/>
            </w:pPr>
          </w:p>
          <w:p w14:paraId="7CEA77C5">
            <w:pPr>
              <w:numPr>
                <w:ilvl w:val="0"/>
                <w:numId w:val="3"/>
              </w:numPr>
              <w:spacing w:line="360" w:lineRule="auto"/>
              <w:jc w:val="left"/>
              <w:rPr>
                <w:rFonts w:hint="eastAsia"/>
                <w:b/>
                <w:bCs/>
                <w:sz w:val="24"/>
                <w:szCs w:val="24"/>
                <w:lang w:val="en-US" w:eastAsia="zh-CN"/>
              </w:rPr>
            </w:pPr>
            <w:r>
              <w:rPr>
                <w:rFonts w:hint="eastAsia"/>
                <w:b/>
                <w:bCs/>
                <w:sz w:val="24"/>
                <w:szCs w:val="24"/>
                <w:lang w:val="en-US" w:eastAsia="zh-CN"/>
              </w:rPr>
              <w:t>产品及产能</w:t>
            </w:r>
          </w:p>
          <w:p w14:paraId="28FF82B7">
            <w:pPr>
              <w:keepNext w:val="0"/>
              <w:keepLines w:val="0"/>
              <w:pageBreakBefore w:val="0"/>
              <w:widowControl/>
              <w:kinsoku/>
              <w:wordWrap/>
              <w:overflowPunct/>
              <w:topLinePunct w:val="0"/>
              <w:autoSpaceDE/>
              <w:autoSpaceDN/>
              <w:bidi w:val="0"/>
              <w:adjustRightInd/>
              <w:snapToGrid/>
              <w:jc w:val="center"/>
              <w:textAlignment w:val="auto"/>
              <w:rPr>
                <w:b/>
                <w:kern w:val="0"/>
                <w:sz w:val="22"/>
                <w:szCs w:val="22"/>
              </w:rPr>
            </w:pPr>
          </w:p>
          <w:p w14:paraId="43A8FEB4">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sz w:val="20"/>
                <w:szCs w:val="20"/>
                <w:lang w:val="en-US" w:eastAsia="zh-CN"/>
              </w:rPr>
            </w:pPr>
            <w:r>
              <w:rPr>
                <w:b/>
                <w:kern w:val="0"/>
                <w:sz w:val="22"/>
                <w:szCs w:val="22"/>
              </w:rPr>
              <w:t>表</w:t>
            </w:r>
            <w:r>
              <w:rPr>
                <w:rFonts w:hint="eastAsia"/>
                <w:b/>
                <w:kern w:val="0"/>
                <w:sz w:val="22"/>
                <w:szCs w:val="22"/>
                <w:lang w:val="en-US" w:eastAsia="zh-CN"/>
              </w:rPr>
              <w:t>2-5 现有项目主要产品及产能</w:t>
            </w:r>
          </w:p>
          <w:p w14:paraId="25723B22">
            <w:pPr>
              <w:spacing w:line="92" w:lineRule="exact"/>
            </w:pPr>
          </w:p>
          <w:tbl>
            <w:tblPr>
              <w:tblStyle w:val="55"/>
              <w:tblW w:w="418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088"/>
              <w:gridCol w:w="2727"/>
            </w:tblGrid>
            <w:tr w14:paraId="18503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2999" w:type="pct"/>
                  <w:vAlign w:val="center"/>
                </w:tcPr>
                <w:p w14:paraId="221E7F52">
                  <w:pPr>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产品名称</w:t>
                  </w:r>
                </w:p>
              </w:tc>
              <w:tc>
                <w:tcPr>
                  <w:tcW w:w="2000" w:type="pct"/>
                  <w:vAlign w:val="center"/>
                </w:tcPr>
                <w:p w14:paraId="396E065D">
                  <w:pPr>
                    <w:jc w:val="center"/>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产品产量（</w:t>
                  </w:r>
                  <w:r>
                    <w:rPr>
                      <w:rFonts w:hint="eastAsia" w:cs="Times New Roman"/>
                      <w:b/>
                      <w:bCs/>
                      <w:sz w:val="22"/>
                      <w:szCs w:val="22"/>
                      <w:lang w:val="en-US" w:eastAsia="zh-CN"/>
                    </w:rPr>
                    <w:t>套</w:t>
                  </w:r>
                  <w:r>
                    <w:rPr>
                      <w:rFonts w:hint="default" w:ascii="Times New Roman" w:hAnsi="Times New Roman" w:eastAsia="宋体" w:cs="Times New Roman"/>
                      <w:b/>
                      <w:bCs/>
                      <w:sz w:val="22"/>
                      <w:szCs w:val="22"/>
                      <w:lang w:val="en-US" w:eastAsia="zh-CN"/>
                    </w:rPr>
                    <w:t>/年）</w:t>
                  </w:r>
                </w:p>
              </w:tc>
            </w:tr>
            <w:tr w14:paraId="70C31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2999" w:type="pct"/>
                  <w:vAlign w:val="center"/>
                </w:tcPr>
                <w:p w14:paraId="3A129B90">
                  <w:pPr>
                    <w:tabs>
                      <w:tab w:val="center" w:pos="4153"/>
                    </w:tabs>
                    <w:spacing w:line="240" w:lineRule="auto"/>
                    <w:jc w:val="center"/>
                    <w:rPr>
                      <w:rFonts w:hint="default" w:ascii="Times New Roman" w:hAnsi="Times New Roman" w:eastAsia="宋体" w:cs="Times New Roman"/>
                      <w:sz w:val="22"/>
                      <w:szCs w:val="22"/>
                      <w:lang w:val="en-US" w:eastAsia="zh-CN"/>
                    </w:rPr>
                  </w:pPr>
                  <w:r>
                    <w:rPr>
                      <w:rFonts w:hint="eastAsia" w:cs="Times New Roman"/>
                      <w:kern w:val="0"/>
                      <w:sz w:val="22"/>
                      <w:szCs w:val="22"/>
                      <w:lang w:val="en-US" w:eastAsia="zh-CN" w:bidi="ar-SA"/>
                    </w:rPr>
                    <w:t>低谐波多供电变频</w:t>
                  </w:r>
                  <w:r>
                    <w:rPr>
                      <w:rFonts w:hint="default" w:ascii="Times New Roman" w:hAnsi="Times New Roman" w:cs="Times New Roman"/>
                      <w:kern w:val="0"/>
                      <w:sz w:val="22"/>
                      <w:szCs w:val="22"/>
                      <w:lang w:val="en-US" w:eastAsia="zh-CN" w:bidi="ar-SA"/>
                    </w:rPr>
                    <w:t>感应炉</w:t>
                  </w:r>
                </w:p>
              </w:tc>
              <w:tc>
                <w:tcPr>
                  <w:tcW w:w="2000" w:type="pct"/>
                  <w:vAlign w:val="center"/>
                </w:tcPr>
                <w:p w14:paraId="556DE777">
                  <w:pPr>
                    <w:tabs>
                      <w:tab w:val="center" w:pos="4153"/>
                    </w:tabs>
                    <w:spacing w:line="240" w:lineRule="auto"/>
                    <w:jc w:val="center"/>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val="en-US" w:eastAsia="zh-CN"/>
                    </w:rPr>
                    <w:t>2</w:t>
                  </w:r>
                  <w:r>
                    <w:rPr>
                      <w:rFonts w:hint="eastAsia" w:cs="Times New Roman"/>
                      <w:sz w:val="22"/>
                      <w:szCs w:val="22"/>
                      <w:lang w:val="en-US" w:eastAsia="zh-CN"/>
                    </w:rPr>
                    <w:t>6</w:t>
                  </w:r>
                  <w:r>
                    <w:rPr>
                      <w:rFonts w:hint="default" w:ascii="Times New Roman" w:hAnsi="Times New Roman" w:eastAsia="宋体" w:cs="Times New Roman"/>
                      <w:sz w:val="22"/>
                      <w:szCs w:val="22"/>
                      <w:lang w:val="en-US" w:eastAsia="zh-CN"/>
                    </w:rPr>
                    <w:t>0</w:t>
                  </w:r>
                </w:p>
              </w:tc>
            </w:tr>
          </w:tbl>
          <w:p w14:paraId="5F035637">
            <w:pPr>
              <w:keepNext w:val="0"/>
              <w:keepLines w:val="0"/>
              <w:pageBreakBefore w:val="0"/>
              <w:widowControl/>
              <w:kinsoku/>
              <w:wordWrap/>
              <w:overflowPunct/>
              <w:topLinePunct w:val="0"/>
              <w:autoSpaceDE/>
              <w:autoSpaceDN/>
              <w:bidi w:val="0"/>
              <w:adjustRightInd/>
              <w:snapToGrid/>
              <w:spacing w:before="313" w:beforeLines="100"/>
              <w:jc w:val="center"/>
              <w:textAlignment w:val="auto"/>
              <w:rPr>
                <w:rFonts w:hint="default" w:ascii="宋体" w:hAnsi="宋体" w:eastAsia="宋体" w:cs="宋体"/>
                <w:sz w:val="20"/>
                <w:szCs w:val="20"/>
                <w:lang w:val="en-US" w:eastAsia="zh-CN"/>
              </w:rPr>
            </w:pPr>
            <w:r>
              <w:rPr>
                <w:b/>
                <w:kern w:val="0"/>
                <w:sz w:val="22"/>
                <w:szCs w:val="22"/>
              </w:rPr>
              <w:t>表</w:t>
            </w:r>
            <w:r>
              <w:rPr>
                <w:rFonts w:hint="eastAsia"/>
                <w:b/>
                <w:kern w:val="0"/>
                <w:sz w:val="22"/>
                <w:szCs w:val="22"/>
                <w:lang w:val="en-US" w:eastAsia="zh-CN"/>
              </w:rPr>
              <w:t>2-6 本次技改后主要产品及产能</w:t>
            </w:r>
          </w:p>
          <w:p w14:paraId="11F0CE6D">
            <w:pPr>
              <w:spacing w:line="92" w:lineRule="exact"/>
            </w:pPr>
          </w:p>
          <w:tbl>
            <w:tblPr>
              <w:tblStyle w:val="55"/>
              <w:tblW w:w="470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1099"/>
              <w:gridCol w:w="1360"/>
              <w:gridCol w:w="2723"/>
              <w:gridCol w:w="2486"/>
            </w:tblGrid>
            <w:tr w14:paraId="56520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1602" w:type="pct"/>
                  <w:gridSpan w:val="2"/>
                  <w:vAlign w:val="center"/>
                </w:tcPr>
                <w:p w14:paraId="3892799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产品名称</w:t>
                  </w:r>
                </w:p>
              </w:tc>
              <w:tc>
                <w:tcPr>
                  <w:tcW w:w="1775" w:type="pct"/>
                  <w:vAlign w:val="center"/>
                </w:tcPr>
                <w:p w14:paraId="4BE6DA7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规格（t）</w:t>
                  </w:r>
                </w:p>
              </w:tc>
              <w:tc>
                <w:tcPr>
                  <w:tcW w:w="1621" w:type="pct"/>
                  <w:vAlign w:val="center"/>
                </w:tcPr>
                <w:p w14:paraId="60247DC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产品产量（</w:t>
                  </w:r>
                  <w:r>
                    <w:rPr>
                      <w:rFonts w:hint="eastAsia" w:cs="Times New Roman"/>
                      <w:b/>
                      <w:bCs/>
                      <w:sz w:val="21"/>
                      <w:szCs w:val="21"/>
                      <w:lang w:val="en-US" w:eastAsia="zh-CN"/>
                    </w:rPr>
                    <w:t>套</w:t>
                  </w:r>
                  <w:r>
                    <w:rPr>
                      <w:rFonts w:hint="default" w:ascii="Times New Roman" w:hAnsi="Times New Roman" w:eastAsia="宋体" w:cs="Times New Roman"/>
                      <w:b/>
                      <w:bCs/>
                      <w:sz w:val="21"/>
                      <w:szCs w:val="21"/>
                      <w:lang w:val="en-US" w:eastAsia="zh-CN"/>
                    </w:rPr>
                    <w:t>/年）</w:t>
                  </w:r>
                </w:p>
              </w:tc>
            </w:tr>
            <w:tr w14:paraId="53FAE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restart"/>
                  <w:vAlign w:val="center"/>
                </w:tcPr>
                <w:p w14:paraId="56116684">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工业电炉</w:t>
                  </w:r>
                </w:p>
              </w:tc>
              <w:tc>
                <w:tcPr>
                  <w:tcW w:w="886" w:type="pct"/>
                  <w:vMerge w:val="restart"/>
                  <w:vAlign w:val="center"/>
                </w:tcPr>
                <w:p w14:paraId="6217EB70">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变频感应炉</w:t>
                  </w:r>
                </w:p>
              </w:tc>
              <w:tc>
                <w:tcPr>
                  <w:tcW w:w="1775" w:type="pct"/>
                  <w:vAlign w:val="center"/>
                </w:tcPr>
                <w:p w14:paraId="4D9DC4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1621" w:type="pct"/>
                  <w:vAlign w:val="center"/>
                </w:tcPr>
                <w:p w14:paraId="044C39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r>
            <w:tr w14:paraId="79D5D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6E41E9A4">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6872E7C1">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74FC14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621" w:type="pct"/>
                  <w:vAlign w:val="center"/>
                </w:tcPr>
                <w:p w14:paraId="29343C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08D20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47D32E11">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73C74BDD">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08469F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621" w:type="pct"/>
                  <w:vAlign w:val="center"/>
                </w:tcPr>
                <w:p w14:paraId="675B4C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r>
            <w:tr w14:paraId="7AE66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4E5AE8A3">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54DD55AA">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692BD2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621" w:type="pct"/>
                  <w:vAlign w:val="center"/>
                </w:tcPr>
                <w:p w14:paraId="302FDD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r>
            <w:tr w14:paraId="3CFF7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38829358">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37CB101F">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161972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621" w:type="pct"/>
                  <w:vAlign w:val="center"/>
                </w:tcPr>
                <w:p w14:paraId="679E27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r>
            <w:tr w14:paraId="6110E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007465EA">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0C9C43ED">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0F0170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621" w:type="pct"/>
                  <w:vAlign w:val="center"/>
                </w:tcPr>
                <w:p w14:paraId="2A710A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55F9B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1C5216E5">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011649BC">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0CCDEA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621" w:type="pct"/>
                  <w:vAlign w:val="center"/>
                </w:tcPr>
                <w:p w14:paraId="701BF9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6AC05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70CE1CF7">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7A401063">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0956C9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621" w:type="pct"/>
                  <w:vAlign w:val="center"/>
                </w:tcPr>
                <w:p w14:paraId="5DB15E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0E2BC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6C296953">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2CEE5501">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6A4E51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621" w:type="pct"/>
                  <w:vAlign w:val="center"/>
                </w:tcPr>
                <w:p w14:paraId="7484E2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600F2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68F5D735">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restart"/>
                  <w:vAlign w:val="center"/>
                </w:tcPr>
                <w:p w14:paraId="4C6D0FAF">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cs="Times New Roman"/>
                      <w:kern w:val="0"/>
                      <w:sz w:val="21"/>
                      <w:szCs w:val="21"/>
                      <w:lang w:val="en-US" w:eastAsia="zh-CN" w:bidi="ar-SA"/>
                    </w:rPr>
                  </w:pPr>
                  <w:r>
                    <w:rPr>
                      <w:rFonts w:hint="eastAsia" w:cs="Times New Roman"/>
                      <w:kern w:val="0"/>
                      <w:sz w:val="21"/>
                      <w:szCs w:val="21"/>
                      <w:lang w:val="en-US" w:eastAsia="zh-CN" w:bidi="ar-SA"/>
                    </w:rPr>
                    <w:t>真空炉</w:t>
                  </w:r>
                </w:p>
              </w:tc>
              <w:tc>
                <w:tcPr>
                  <w:tcW w:w="1775" w:type="pct"/>
                  <w:vAlign w:val="center"/>
                </w:tcPr>
                <w:p w14:paraId="426F6C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1621" w:type="pct"/>
                  <w:vAlign w:val="center"/>
                </w:tcPr>
                <w:p w14:paraId="24D124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r>
            <w:tr w14:paraId="16B47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1ACF1387">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1DE99538">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64C738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621" w:type="pct"/>
                  <w:vAlign w:val="center"/>
                </w:tcPr>
                <w:p w14:paraId="093C0E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408FB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0207585C">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7ECEAC24">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5EC9DE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621" w:type="pct"/>
                  <w:vAlign w:val="center"/>
                </w:tcPr>
                <w:p w14:paraId="22328B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r>
            <w:tr w14:paraId="26998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2AE4F22E">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886" w:type="pct"/>
                  <w:vMerge w:val="continue"/>
                  <w:vAlign w:val="center"/>
                </w:tcPr>
                <w:p w14:paraId="495235A1">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1775" w:type="pct"/>
                  <w:vAlign w:val="center"/>
                </w:tcPr>
                <w:p w14:paraId="64121B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621" w:type="pct"/>
                  <w:vAlign w:val="center"/>
                </w:tcPr>
                <w:p w14:paraId="1F56FA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4D0D8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660FB1B6">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cs="Times New Roman"/>
                      <w:kern w:val="0"/>
                      <w:sz w:val="21"/>
                      <w:szCs w:val="21"/>
                      <w:lang w:val="en-US" w:eastAsia="zh-CN" w:bidi="ar-SA"/>
                    </w:rPr>
                  </w:pPr>
                </w:p>
              </w:tc>
              <w:tc>
                <w:tcPr>
                  <w:tcW w:w="886" w:type="pct"/>
                  <w:vMerge w:val="continue"/>
                  <w:vAlign w:val="center"/>
                </w:tcPr>
                <w:p w14:paraId="626948AC">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cs="Times New Roman"/>
                      <w:sz w:val="21"/>
                      <w:szCs w:val="21"/>
                    </w:rPr>
                  </w:pPr>
                </w:p>
              </w:tc>
              <w:tc>
                <w:tcPr>
                  <w:tcW w:w="1775" w:type="pct"/>
                  <w:vAlign w:val="center"/>
                </w:tcPr>
                <w:p w14:paraId="05F8F2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621" w:type="pct"/>
                  <w:vAlign w:val="center"/>
                </w:tcPr>
                <w:p w14:paraId="631700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5564D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111248E0">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cs="Times New Roman"/>
                      <w:kern w:val="0"/>
                      <w:sz w:val="21"/>
                      <w:szCs w:val="21"/>
                      <w:lang w:val="en-US" w:eastAsia="zh-CN" w:bidi="ar-SA"/>
                    </w:rPr>
                  </w:pPr>
                </w:p>
              </w:tc>
              <w:tc>
                <w:tcPr>
                  <w:tcW w:w="886" w:type="pct"/>
                  <w:vMerge w:val="restart"/>
                  <w:vAlign w:val="center"/>
                </w:tcPr>
                <w:p w14:paraId="3E3FA60F">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cs="Times New Roman"/>
                      <w:sz w:val="21"/>
                      <w:szCs w:val="21"/>
                      <w:lang w:val="en-US" w:eastAsia="zh-CN"/>
                    </w:rPr>
                  </w:pPr>
                  <w:r>
                    <w:rPr>
                      <w:rFonts w:hint="eastAsia" w:cs="Times New Roman"/>
                      <w:sz w:val="21"/>
                      <w:szCs w:val="21"/>
                      <w:lang w:val="en-US" w:eastAsia="zh-CN"/>
                    </w:rPr>
                    <w:t>保护气氛电渣炉</w:t>
                  </w:r>
                </w:p>
              </w:tc>
              <w:tc>
                <w:tcPr>
                  <w:tcW w:w="1775" w:type="pct"/>
                  <w:vAlign w:val="center"/>
                </w:tcPr>
                <w:p w14:paraId="0EDE87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1621" w:type="pct"/>
                  <w:vAlign w:val="center"/>
                </w:tcPr>
                <w:p w14:paraId="0177AA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00467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2F5420CD">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cs="Times New Roman"/>
                      <w:kern w:val="0"/>
                      <w:sz w:val="21"/>
                      <w:szCs w:val="21"/>
                      <w:lang w:val="en-US" w:eastAsia="zh-CN" w:bidi="ar-SA"/>
                    </w:rPr>
                  </w:pPr>
                </w:p>
              </w:tc>
              <w:tc>
                <w:tcPr>
                  <w:tcW w:w="886" w:type="pct"/>
                  <w:vMerge w:val="continue"/>
                  <w:vAlign w:val="center"/>
                </w:tcPr>
                <w:p w14:paraId="73DBBC7A">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lang w:val="en-US" w:eastAsia="zh-CN"/>
                    </w:rPr>
                  </w:pPr>
                </w:p>
              </w:tc>
              <w:tc>
                <w:tcPr>
                  <w:tcW w:w="1775" w:type="pct"/>
                  <w:vAlign w:val="center"/>
                </w:tcPr>
                <w:p w14:paraId="26C896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621" w:type="pct"/>
                  <w:vAlign w:val="center"/>
                </w:tcPr>
                <w:p w14:paraId="69C53B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2CB59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21E0A14B">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cs="Times New Roman"/>
                      <w:kern w:val="0"/>
                      <w:sz w:val="21"/>
                      <w:szCs w:val="21"/>
                      <w:lang w:val="en-US" w:eastAsia="zh-CN" w:bidi="ar-SA"/>
                    </w:rPr>
                  </w:pPr>
                </w:p>
              </w:tc>
              <w:tc>
                <w:tcPr>
                  <w:tcW w:w="886" w:type="pct"/>
                  <w:vMerge w:val="continue"/>
                  <w:vAlign w:val="center"/>
                </w:tcPr>
                <w:p w14:paraId="2D41F313">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p>
              </w:tc>
              <w:tc>
                <w:tcPr>
                  <w:tcW w:w="1775" w:type="pct"/>
                  <w:vAlign w:val="center"/>
                </w:tcPr>
                <w:p w14:paraId="76733A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621" w:type="pct"/>
                  <w:vAlign w:val="center"/>
                </w:tcPr>
                <w:p w14:paraId="3B5DEC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7C9C1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716" w:type="pct"/>
                  <w:vMerge w:val="continue"/>
                  <w:vAlign w:val="center"/>
                </w:tcPr>
                <w:p w14:paraId="08E28CC1">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cs="Times New Roman"/>
                      <w:kern w:val="0"/>
                      <w:sz w:val="21"/>
                      <w:szCs w:val="21"/>
                      <w:lang w:val="en-US" w:eastAsia="zh-CN" w:bidi="ar-SA"/>
                    </w:rPr>
                  </w:pPr>
                </w:p>
              </w:tc>
              <w:tc>
                <w:tcPr>
                  <w:tcW w:w="886" w:type="pct"/>
                  <w:vMerge w:val="continue"/>
                  <w:vAlign w:val="center"/>
                </w:tcPr>
                <w:p w14:paraId="160EAA3B">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cs="Times New Roman"/>
                      <w:sz w:val="21"/>
                      <w:szCs w:val="21"/>
                      <w:lang w:val="en-US" w:eastAsia="zh-CN"/>
                    </w:rPr>
                  </w:pPr>
                </w:p>
              </w:tc>
              <w:tc>
                <w:tcPr>
                  <w:tcW w:w="1775" w:type="pct"/>
                  <w:vAlign w:val="center"/>
                </w:tcPr>
                <w:p w14:paraId="41E023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621" w:type="pct"/>
                  <w:vAlign w:val="center"/>
                </w:tcPr>
                <w:p w14:paraId="17F019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74844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40" w:hRule="atLeast"/>
                <w:jc w:val="center"/>
              </w:trPr>
              <w:tc>
                <w:tcPr>
                  <w:tcW w:w="3378" w:type="pct"/>
                  <w:gridSpan w:val="3"/>
                  <w:vAlign w:val="center"/>
                </w:tcPr>
                <w:p w14:paraId="6174961F">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合计</w:t>
                  </w:r>
                </w:p>
              </w:tc>
              <w:tc>
                <w:tcPr>
                  <w:tcW w:w="1621" w:type="pct"/>
                  <w:vAlign w:val="center"/>
                </w:tcPr>
                <w:p w14:paraId="69D31766">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260</w:t>
                  </w:r>
                </w:p>
              </w:tc>
            </w:tr>
          </w:tbl>
          <w:p w14:paraId="4F616C66">
            <w:pPr>
              <w:bidi w:val="0"/>
              <w:rPr>
                <w:rFonts w:hint="eastAsia"/>
                <w:lang w:val="en-US" w:eastAsia="zh-CN"/>
              </w:rPr>
            </w:pPr>
          </w:p>
          <w:p w14:paraId="4769868D">
            <w:pPr>
              <w:spacing w:line="360" w:lineRule="auto"/>
              <w:jc w:val="left"/>
              <w:rPr>
                <w:b/>
                <w:bCs/>
                <w:sz w:val="24"/>
              </w:rPr>
            </w:pPr>
            <w:r>
              <w:rPr>
                <w:rFonts w:hint="eastAsia"/>
                <w:b/>
                <w:bCs/>
                <w:sz w:val="24"/>
                <w:lang w:val="en-US" w:eastAsia="zh-CN"/>
              </w:rPr>
              <w:t>5、</w:t>
            </w:r>
            <w:r>
              <w:rPr>
                <w:b/>
                <w:sz w:val="24"/>
              </w:rPr>
              <w:t>主要生产设备</w:t>
            </w:r>
          </w:p>
          <w:p w14:paraId="24552AC8">
            <w:pPr>
              <w:spacing w:line="360" w:lineRule="auto"/>
              <w:ind w:firstLine="480" w:firstLineChars="200"/>
              <w:rPr>
                <w:bCs/>
                <w:sz w:val="24"/>
              </w:rPr>
            </w:pPr>
            <w:r>
              <w:rPr>
                <w:bCs/>
                <w:sz w:val="24"/>
              </w:rPr>
              <w:t>项目主要生产设备详见下表。</w:t>
            </w:r>
          </w:p>
          <w:p w14:paraId="73587C66">
            <w:pPr>
              <w:keepNext w:val="0"/>
              <w:keepLines w:val="0"/>
              <w:pageBreakBefore w:val="0"/>
              <w:widowControl/>
              <w:shd w:val="clear"/>
              <w:kinsoku/>
              <w:wordWrap/>
              <w:overflowPunct/>
              <w:topLinePunct w:val="0"/>
              <w:autoSpaceDE/>
              <w:autoSpaceDN/>
              <w:bidi w:val="0"/>
              <w:adjustRightInd/>
              <w:snapToGrid/>
              <w:jc w:val="center"/>
              <w:textAlignment w:val="auto"/>
              <w:rPr>
                <w:rFonts w:ascii="宋体" w:hAnsi="宋体" w:eastAsia="宋体" w:cs="宋体"/>
                <w:color w:val="auto"/>
                <w:sz w:val="20"/>
                <w:szCs w:val="20"/>
              </w:rPr>
            </w:pPr>
            <w:r>
              <w:rPr>
                <w:b/>
                <w:color w:val="auto"/>
                <w:kern w:val="0"/>
                <w:sz w:val="22"/>
                <w:szCs w:val="22"/>
              </w:rPr>
              <w:t>表</w:t>
            </w:r>
            <w:r>
              <w:rPr>
                <w:rFonts w:hint="eastAsia"/>
                <w:b/>
                <w:color w:val="auto"/>
                <w:kern w:val="0"/>
                <w:sz w:val="22"/>
                <w:szCs w:val="22"/>
                <w:lang w:val="en-US" w:eastAsia="zh-CN"/>
              </w:rPr>
              <w:t xml:space="preserve">2-7 </w:t>
            </w:r>
            <w:r>
              <w:rPr>
                <w:b/>
                <w:color w:val="auto"/>
                <w:kern w:val="0"/>
                <w:sz w:val="22"/>
                <w:szCs w:val="22"/>
              </w:rPr>
              <w:t>主要机械设备清单</w:t>
            </w:r>
          </w:p>
          <w:p w14:paraId="3CA186B0">
            <w:pPr>
              <w:spacing w:line="92" w:lineRule="exact"/>
            </w:pPr>
          </w:p>
          <w:tbl>
            <w:tblPr>
              <w:tblStyle w:val="25"/>
              <w:tblW w:w="7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393"/>
              <w:gridCol w:w="1836"/>
              <w:gridCol w:w="948"/>
              <w:gridCol w:w="1068"/>
              <w:gridCol w:w="1083"/>
            </w:tblGrid>
            <w:tr w14:paraId="551C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shd w:val="clear" w:color="auto" w:fill="auto"/>
                  <w:vAlign w:val="center"/>
                </w:tcPr>
                <w:p w14:paraId="4BE8BB23">
                  <w:pPr>
                    <w:keepNext w:val="0"/>
                    <w:keepLines w:val="0"/>
                    <w:pageBreakBefore w:val="0"/>
                    <w:widowControl/>
                    <w:suppressLineNumbers w:val="0"/>
                    <w:kinsoku/>
                    <w:wordWrap/>
                    <w:overflowPunct/>
                    <w:topLinePunct w:val="0"/>
                    <w:autoSpaceDE/>
                    <w:autoSpaceDN/>
                    <w:bidi w:val="0"/>
                    <w:adjustRightInd/>
                    <w:snapToGrid/>
                    <w:ind w:left="0" w:firstLine="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序号</w:t>
                  </w:r>
                </w:p>
              </w:tc>
              <w:tc>
                <w:tcPr>
                  <w:tcW w:w="2393" w:type="dxa"/>
                  <w:shd w:val="clear" w:color="auto" w:fill="auto"/>
                  <w:vAlign w:val="center"/>
                </w:tcPr>
                <w:p w14:paraId="20C10F82">
                  <w:pPr>
                    <w:keepNext w:val="0"/>
                    <w:keepLines w:val="0"/>
                    <w:pageBreakBefore w:val="0"/>
                    <w:widowControl/>
                    <w:suppressLineNumbers w:val="0"/>
                    <w:kinsoku/>
                    <w:wordWrap/>
                    <w:overflowPunct/>
                    <w:topLinePunct w:val="0"/>
                    <w:autoSpaceDE/>
                    <w:autoSpaceDN/>
                    <w:bidi w:val="0"/>
                    <w:adjustRightInd/>
                    <w:snapToGrid/>
                    <w:ind w:left="0" w:firstLine="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设备名称</w:t>
                  </w:r>
                </w:p>
              </w:tc>
              <w:tc>
                <w:tcPr>
                  <w:tcW w:w="1836" w:type="dxa"/>
                  <w:shd w:val="clear" w:color="auto" w:fill="auto"/>
                  <w:vAlign w:val="center"/>
                </w:tcPr>
                <w:p w14:paraId="4A5AB032">
                  <w:pPr>
                    <w:keepNext w:val="0"/>
                    <w:keepLines w:val="0"/>
                    <w:pageBreakBefore w:val="0"/>
                    <w:widowControl/>
                    <w:suppressLineNumbers w:val="0"/>
                    <w:kinsoku/>
                    <w:wordWrap/>
                    <w:overflowPunct/>
                    <w:topLinePunct w:val="0"/>
                    <w:autoSpaceDE/>
                    <w:autoSpaceDN/>
                    <w:bidi w:val="0"/>
                    <w:adjustRightInd/>
                    <w:snapToGrid/>
                    <w:ind w:left="0" w:firstLine="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型号规格</w:t>
                  </w:r>
                </w:p>
              </w:tc>
              <w:tc>
                <w:tcPr>
                  <w:tcW w:w="948" w:type="dxa"/>
                  <w:shd w:val="clear" w:color="auto" w:fill="auto"/>
                  <w:vAlign w:val="center"/>
                </w:tcPr>
                <w:p w14:paraId="263F7F30">
                  <w:pPr>
                    <w:keepNext w:val="0"/>
                    <w:keepLines w:val="0"/>
                    <w:pageBreakBefore w:val="0"/>
                    <w:widowControl/>
                    <w:suppressLineNumbers w:val="0"/>
                    <w:kinsoku/>
                    <w:wordWrap/>
                    <w:overflowPunct/>
                    <w:topLinePunct w:val="0"/>
                    <w:autoSpaceDE/>
                    <w:autoSpaceDN/>
                    <w:bidi w:val="0"/>
                    <w:adjustRightInd/>
                    <w:snapToGrid/>
                    <w:ind w:left="0" w:firstLine="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数量</w:t>
                  </w:r>
                </w:p>
              </w:tc>
              <w:tc>
                <w:tcPr>
                  <w:tcW w:w="1068" w:type="dxa"/>
                  <w:shd w:val="clear" w:color="auto" w:fill="auto"/>
                  <w:vAlign w:val="center"/>
                </w:tcPr>
                <w:p w14:paraId="2A54D561">
                  <w:pPr>
                    <w:keepNext w:val="0"/>
                    <w:keepLines w:val="0"/>
                    <w:pageBreakBefore w:val="0"/>
                    <w:widowControl/>
                    <w:suppressLineNumbers w:val="0"/>
                    <w:kinsoku/>
                    <w:wordWrap/>
                    <w:overflowPunct/>
                    <w:topLinePunct w:val="0"/>
                    <w:autoSpaceDE/>
                    <w:autoSpaceDN/>
                    <w:bidi w:val="0"/>
                    <w:adjustRightInd/>
                    <w:snapToGrid/>
                    <w:ind w:left="0" w:firstLine="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技改后位置</w:t>
                  </w:r>
                </w:p>
              </w:tc>
              <w:tc>
                <w:tcPr>
                  <w:tcW w:w="1083" w:type="dxa"/>
                  <w:vAlign w:val="center"/>
                </w:tcPr>
                <w:p w14:paraId="3CBB3203">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w:t>
                  </w:r>
                </w:p>
              </w:tc>
            </w:tr>
            <w:tr w14:paraId="2EC0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1BF4F35">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6B3259E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台床</w:t>
                  </w:r>
                </w:p>
              </w:tc>
              <w:tc>
                <w:tcPr>
                  <w:tcW w:w="1836" w:type="dxa"/>
                  <w:shd w:val="clear" w:color="auto" w:fill="auto"/>
                  <w:vAlign w:val="center"/>
                </w:tcPr>
                <w:p w14:paraId="1533DA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Z515</w:t>
                  </w:r>
                </w:p>
              </w:tc>
              <w:tc>
                <w:tcPr>
                  <w:tcW w:w="948" w:type="dxa"/>
                  <w:shd w:val="clear" w:color="auto" w:fill="auto"/>
                  <w:vAlign w:val="center"/>
                </w:tcPr>
                <w:p w14:paraId="113A6BB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w:t>
                  </w:r>
                  <w:r>
                    <w:rPr>
                      <w:rFonts w:hint="eastAsia" w:ascii="Times New Roman" w:hAnsi="Times New Roman" w:cs="Times New Roman" w:eastAsiaTheme="minorEastAsia"/>
                      <w:sz w:val="21"/>
                      <w:szCs w:val="21"/>
                      <w:lang w:val="en-US" w:eastAsia="zh-CN"/>
                    </w:rPr>
                    <w:t>台</w:t>
                  </w:r>
                </w:p>
              </w:tc>
              <w:tc>
                <w:tcPr>
                  <w:tcW w:w="1068" w:type="dxa"/>
                  <w:vMerge w:val="restart"/>
                  <w:vAlign w:val="center"/>
                </w:tcPr>
                <w:p w14:paraId="16260D2E">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r>
                    <w:rPr>
                      <w:rFonts w:hint="eastAsia" w:cs="Times New Roman" w:eastAsiaTheme="minorEastAsia"/>
                      <w:sz w:val="21"/>
                      <w:szCs w:val="21"/>
                      <w:lang w:val="en-US" w:eastAsia="zh-CN"/>
                    </w:rPr>
                    <w:t>A车间</w:t>
                  </w:r>
                </w:p>
              </w:tc>
              <w:tc>
                <w:tcPr>
                  <w:tcW w:w="1083" w:type="dxa"/>
                  <w:vMerge w:val="restart"/>
                  <w:vAlign w:val="center"/>
                </w:tcPr>
                <w:p w14:paraId="539CABF6">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现有设备</w:t>
                  </w:r>
                </w:p>
              </w:tc>
            </w:tr>
            <w:tr w14:paraId="6BBB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753E37F3">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4E09347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车床</w:t>
                  </w:r>
                </w:p>
              </w:tc>
              <w:tc>
                <w:tcPr>
                  <w:tcW w:w="1836" w:type="dxa"/>
                  <w:shd w:val="clear" w:color="auto" w:fill="auto"/>
                  <w:vAlign w:val="center"/>
                </w:tcPr>
                <w:p w14:paraId="0B600F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CA6150</w:t>
                  </w:r>
                </w:p>
              </w:tc>
              <w:tc>
                <w:tcPr>
                  <w:tcW w:w="948" w:type="dxa"/>
                  <w:shd w:val="clear" w:color="auto" w:fill="auto"/>
                  <w:vAlign w:val="center"/>
                </w:tcPr>
                <w:p w14:paraId="687E8F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742B423F">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3878AB2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28D9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29E34B9A">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128CE75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钻床</w:t>
                  </w:r>
                </w:p>
              </w:tc>
              <w:tc>
                <w:tcPr>
                  <w:tcW w:w="1836" w:type="dxa"/>
                  <w:shd w:val="clear" w:color="auto" w:fill="auto"/>
                  <w:vAlign w:val="center"/>
                </w:tcPr>
                <w:p w14:paraId="1220EB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ZQ3040</w:t>
                  </w:r>
                </w:p>
              </w:tc>
              <w:tc>
                <w:tcPr>
                  <w:tcW w:w="948" w:type="dxa"/>
                  <w:shd w:val="clear" w:color="auto" w:fill="auto"/>
                  <w:vAlign w:val="center"/>
                </w:tcPr>
                <w:p w14:paraId="0019D31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553704D9">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3DC38A55">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3E50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5D5E11DD">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8DE6F59">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2"/>
                      <w:sz w:val="21"/>
                      <w:szCs w:val="21"/>
                    </w:rPr>
                    <w:t>硅钢片纵剪机组</w:t>
                  </w:r>
                </w:p>
              </w:tc>
              <w:tc>
                <w:tcPr>
                  <w:tcW w:w="1836" w:type="dxa"/>
                  <w:shd w:val="clear" w:color="auto" w:fill="auto"/>
                  <w:vAlign w:val="center"/>
                </w:tcPr>
                <w:p w14:paraId="5E07FD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J72-1</w:t>
                  </w:r>
                </w:p>
              </w:tc>
              <w:tc>
                <w:tcPr>
                  <w:tcW w:w="948" w:type="dxa"/>
                  <w:shd w:val="clear" w:color="auto" w:fill="auto"/>
                  <w:vAlign w:val="center"/>
                </w:tcPr>
                <w:p w14:paraId="5D1729E9">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12CCA139">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507BE5EA">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653B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07D4F732">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75B8B940">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2"/>
                      <w:sz w:val="21"/>
                      <w:szCs w:val="21"/>
                    </w:rPr>
                    <w:t>双盘摩擦压力机</w:t>
                  </w:r>
                </w:p>
              </w:tc>
              <w:tc>
                <w:tcPr>
                  <w:tcW w:w="1836" w:type="dxa"/>
                  <w:shd w:val="clear" w:color="auto" w:fill="auto"/>
                  <w:vAlign w:val="center"/>
                </w:tcPr>
                <w:p w14:paraId="7837602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JB58-1000</w:t>
                  </w:r>
                </w:p>
              </w:tc>
              <w:tc>
                <w:tcPr>
                  <w:tcW w:w="948" w:type="dxa"/>
                  <w:shd w:val="clear" w:color="auto" w:fill="auto"/>
                  <w:vAlign w:val="center"/>
                </w:tcPr>
                <w:p w14:paraId="5395782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5F8FE001">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0E77DC64">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4E6D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1EE3625C">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0D7E5964">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电动双梁行车</w:t>
                  </w:r>
                </w:p>
              </w:tc>
              <w:tc>
                <w:tcPr>
                  <w:tcW w:w="1836" w:type="dxa"/>
                  <w:shd w:val="clear" w:color="auto" w:fill="auto"/>
                  <w:vAlign w:val="center"/>
                </w:tcPr>
                <w:p w14:paraId="264BBF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35吨</w:t>
                  </w:r>
                </w:p>
              </w:tc>
              <w:tc>
                <w:tcPr>
                  <w:tcW w:w="948" w:type="dxa"/>
                  <w:shd w:val="clear" w:color="auto" w:fill="auto"/>
                  <w:vAlign w:val="center"/>
                </w:tcPr>
                <w:p w14:paraId="168EDDE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1台</w:t>
                  </w:r>
                </w:p>
              </w:tc>
              <w:tc>
                <w:tcPr>
                  <w:tcW w:w="1068" w:type="dxa"/>
                  <w:vMerge w:val="continue"/>
                  <w:vAlign w:val="center"/>
                </w:tcPr>
                <w:p w14:paraId="6C23BC2B">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48E8C9BD">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2E88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782504B1">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7ABE709A">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电动双梁行车</w:t>
                  </w:r>
                </w:p>
              </w:tc>
              <w:tc>
                <w:tcPr>
                  <w:tcW w:w="1836" w:type="dxa"/>
                  <w:shd w:val="clear" w:color="auto" w:fill="auto"/>
                  <w:vAlign w:val="center"/>
                </w:tcPr>
                <w:p w14:paraId="3AFBBC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5吨10吨16吨</w:t>
                  </w:r>
                </w:p>
              </w:tc>
              <w:tc>
                <w:tcPr>
                  <w:tcW w:w="948" w:type="dxa"/>
                  <w:shd w:val="clear" w:color="auto" w:fill="auto"/>
                  <w:vAlign w:val="center"/>
                </w:tcPr>
                <w:p w14:paraId="49B5F4A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1台</w:t>
                  </w:r>
                </w:p>
              </w:tc>
              <w:tc>
                <w:tcPr>
                  <w:tcW w:w="1068" w:type="dxa"/>
                  <w:vMerge w:val="continue"/>
                  <w:vAlign w:val="center"/>
                </w:tcPr>
                <w:p w14:paraId="4A764FBC">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187B3288">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71CF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DD4EFE8">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431B0B0">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电动双梁行车</w:t>
                  </w:r>
                </w:p>
              </w:tc>
              <w:tc>
                <w:tcPr>
                  <w:tcW w:w="1836" w:type="dxa"/>
                  <w:shd w:val="clear" w:color="auto" w:fill="auto"/>
                  <w:vAlign w:val="center"/>
                </w:tcPr>
                <w:p w14:paraId="4B6EAA6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50吨</w:t>
                  </w:r>
                </w:p>
              </w:tc>
              <w:tc>
                <w:tcPr>
                  <w:tcW w:w="948" w:type="dxa"/>
                  <w:shd w:val="clear" w:color="auto" w:fill="auto"/>
                  <w:vAlign w:val="center"/>
                </w:tcPr>
                <w:p w14:paraId="29171292">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cs="Times New Roman"/>
                      <w:spacing w:val="-7"/>
                      <w:kern w:val="2"/>
                      <w:sz w:val="21"/>
                      <w:szCs w:val="21"/>
                      <w:lang w:val="en-US" w:eastAsia="zh-CN" w:bidi="ar-SA"/>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6533F922">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424D4359">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7419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6AE0E9F3">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2F82D00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0"/>
                      <w:sz w:val="21"/>
                      <w:szCs w:val="21"/>
                    </w:rPr>
                    <w:t>摇臂钻床</w:t>
                  </w:r>
                </w:p>
              </w:tc>
              <w:tc>
                <w:tcPr>
                  <w:tcW w:w="1836" w:type="dxa"/>
                  <w:shd w:val="clear" w:color="auto" w:fill="auto"/>
                  <w:vAlign w:val="center"/>
                </w:tcPr>
                <w:p w14:paraId="18F3A25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ZQ3040x10/2</w:t>
                  </w:r>
                </w:p>
              </w:tc>
              <w:tc>
                <w:tcPr>
                  <w:tcW w:w="948" w:type="dxa"/>
                  <w:shd w:val="clear" w:color="auto" w:fill="auto"/>
                  <w:vAlign w:val="center"/>
                </w:tcPr>
                <w:p w14:paraId="51FAAAF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7D06AFD1">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restart"/>
                  <w:vAlign w:val="center"/>
                </w:tcPr>
                <w:p w14:paraId="3740152B">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eastAsia="宋体"/>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本项目新增</w:t>
                  </w:r>
                </w:p>
              </w:tc>
            </w:tr>
            <w:tr w14:paraId="6E9B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2FF6AB47">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77A4150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摇臂钻床</w:t>
                  </w:r>
                </w:p>
              </w:tc>
              <w:tc>
                <w:tcPr>
                  <w:tcW w:w="1836" w:type="dxa"/>
                  <w:shd w:val="clear" w:color="auto" w:fill="auto"/>
                  <w:vAlign w:val="center"/>
                </w:tcPr>
                <w:p w14:paraId="0DF0D87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Z3050x16/1</w:t>
                  </w:r>
                </w:p>
              </w:tc>
              <w:tc>
                <w:tcPr>
                  <w:tcW w:w="948" w:type="dxa"/>
                  <w:shd w:val="clear" w:color="auto" w:fill="auto"/>
                  <w:vAlign w:val="center"/>
                </w:tcPr>
                <w:p w14:paraId="347CFE7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4D791D64">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533CA7D5">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58C9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043B4077">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2238AA4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液压剪板机</w:t>
                  </w:r>
                </w:p>
              </w:tc>
              <w:tc>
                <w:tcPr>
                  <w:tcW w:w="1836" w:type="dxa"/>
                  <w:shd w:val="clear" w:color="auto" w:fill="auto"/>
                  <w:vAlign w:val="center"/>
                </w:tcPr>
                <w:p w14:paraId="4A9616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Q11Y-6x2500A</w:t>
                  </w:r>
                </w:p>
              </w:tc>
              <w:tc>
                <w:tcPr>
                  <w:tcW w:w="948" w:type="dxa"/>
                  <w:shd w:val="clear" w:color="auto" w:fill="auto"/>
                  <w:vAlign w:val="center"/>
                </w:tcPr>
                <w:p w14:paraId="070737E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1台</w:t>
                  </w:r>
                </w:p>
              </w:tc>
              <w:tc>
                <w:tcPr>
                  <w:tcW w:w="1068" w:type="dxa"/>
                  <w:vMerge w:val="continue"/>
                  <w:vAlign w:val="center"/>
                </w:tcPr>
                <w:p w14:paraId="7F80888B">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4DB1CFD1">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4D28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273F7E84">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7A1DB83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板料折弯压力机</w:t>
                  </w:r>
                </w:p>
              </w:tc>
              <w:tc>
                <w:tcPr>
                  <w:tcW w:w="1836" w:type="dxa"/>
                  <w:shd w:val="clear" w:color="auto" w:fill="auto"/>
                  <w:vAlign w:val="center"/>
                </w:tcPr>
                <w:p w14:paraId="4A38CA1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WA67Y-100</w:t>
                  </w:r>
                </w:p>
              </w:tc>
              <w:tc>
                <w:tcPr>
                  <w:tcW w:w="948" w:type="dxa"/>
                  <w:shd w:val="clear" w:color="auto" w:fill="auto"/>
                  <w:vAlign w:val="center"/>
                </w:tcPr>
                <w:p w14:paraId="6359D71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7F8C30E6">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7E4BC869">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6DFA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8D12939">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7AD710B2">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2"/>
                      <w:sz w:val="21"/>
                      <w:szCs w:val="21"/>
                    </w:rPr>
                    <w:t>双盘摩擦压力机</w:t>
                  </w:r>
                </w:p>
              </w:tc>
              <w:tc>
                <w:tcPr>
                  <w:tcW w:w="1836" w:type="dxa"/>
                  <w:shd w:val="clear" w:color="auto" w:fill="auto"/>
                  <w:vAlign w:val="center"/>
                </w:tcPr>
                <w:p w14:paraId="0D47625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JB58-1000</w:t>
                  </w:r>
                </w:p>
              </w:tc>
              <w:tc>
                <w:tcPr>
                  <w:tcW w:w="948" w:type="dxa"/>
                  <w:shd w:val="clear" w:color="auto" w:fill="auto"/>
                  <w:vAlign w:val="center"/>
                </w:tcPr>
                <w:p w14:paraId="73E360DF">
                  <w:pPr>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cs="Times New Roman" w:eastAsiaTheme="minorEastAsia"/>
                      <w:sz w:val="21"/>
                      <w:szCs w:val="21"/>
                      <w:lang w:val="en-US" w:eastAsia="zh-CN"/>
                    </w:rPr>
                    <w:t>台</w:t>
                  </w:r>
                </w:p>
              </w:tc>
              <w:tc>
                <w:tcPr>
                  <w:tcW w:w="1068" w:type="dxa"/>
                  <w:vMerge w:val="restart"/>
                  <w:vAlign w:val="center"/>
                </w:tcPr>
                <w:p w14:paraId="5D65A4E2">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r>
                    <w:rPr>
                      <w:rFonts w:hint="eastAsia"/>
                      <w:b w:val="0"/>
                      <w:bCs/>
                      <w:color w:val="auto"/>
                      <w:kern w:val="0"/>
                      <w:sz w:val="21"/>
                      <w:szCs w:val="21"/>
                      <w:vertAlign w:val="baseline"/>
                      <w:lang w:val="en-US" w:eastAsia="zh-CN"/>
                    </w:rPr>
                    <w:t>B车间</w:t>
                  </w:r>
                </w:p>
              </w:tc>
              <w:tc>
                <w:tcPr>
                  <w:tcW w:w="1083" w:type="dxa"/>
                  <w:vMerge w:val="restart"/>
                  <w:vAlign w:val="center"/>
                </w:tcPr>
                <w:p w14:paraId="2F161EBA">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eastAsia="宋体"/>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现有设备</w:t>
                  </w:r>
                </w:p>
              </w:tc>
            </w:tr>
            <w:tr w14:paraId="1BB4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DB81FED">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48DD06E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卷板机</w:t>
                  </w:r>
                </w:p>
              </w:tc>
              <w:tc>
                <w:tcPr>
                  <w:tcW w:w="1836" w:type="dxa"/>
                  <w:shd w:val="clear" w:color="auto" w:fill="auto"/>
                  <w:vAlign w:val="center"/>
                </w:tcPr>
                <w:p w14:paraId="5478757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W11-4x2000</w:t>
                  </w:r>
                </w:p>
              </w:tc>
              <w:tc>
                <w:tcPr>
                  <w:tcW w:w="948" w:type="dxa"/>
                  <w:shd w:val="clear" w:color="auto" w:fill="auto"/>
                  <w:vAlign w:val="center"/>
                </w:tcPr>
                <w:p w14:paraId="2EBF33D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1BB83BB5">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09A3E42D">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0009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222223EB">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4E62C620">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数控龙门式切割机</w:t>
                  </w:r>
                </w:p>
              </w:tc>
              <w:tc>
                <w:tcPr>
                  <w:tcW w:w="1836" w:type="dxa"/>
                  <w:shd w:val="clear" w:color="auto" w:fill="auto"/>
                  <w:vAlign w:val="center"/>
                </w:tcPr>
                <w:p w14:paraId="75BD49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FQGO-3500B</w:t>
                  </w:r>
                </w:p>
              </w:tc>
              <w:tc>
                <w:tcPr>
                  <w:tcW w:w="948" w:type="dxa"/>
                  <w:shd w:val="clear" w:color="auto" w:fill="auto"/>
                  <w:vAlign w:val="center"/>
                </w:tcPr>
                <w:p w14:paraId="2141B086">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06D0B8E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21053CA5">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2E2E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2ABC6727">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53FBDB7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齿轮式自动进刀钻床</w:t>
                  </w:r>
                </w:p>
              </w:tc>
              <w:tc>
                <w:tcPr>
                  <w:tcW w:w="1836" w:type="dxa"/>
                  <w:shd w:val="clear" w:color="auto" w:fill="auto"/>
                  <w:vAlign w:val="center"/>
                </w:tcPr>
                <w:p w14:paraId="081BBB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ZS-40AP</w:t>
                  </w:r>
                </w:p>
              </w:tc>
              <w:tc>
                <w:tcPr>
                  <w:tcW w:w="948" w:type="dxa"/>
                  <w:shd w:val="clear" w:color="auto" w:fill="auto"/>
                  <w:vAlign w:val="center"/>
                </w:tcPr>
                <w:p w14:paraId="679A816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687C1E7B">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30CE1399">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476D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11AEC330">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96ECCA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带锯床</w:t>
                  </w:r>
                </w:p>
              </w:tc>
              <w:tc>
                <w:tcPr>
                  <w:tcW w:w="1836" w:type="dxa"/>
                  <w:shd w:val="clear" w:color="auto" w:fill="auto"/>
                  <w:vAlign w:val="center"/>
                </w:tcPr>
                <w:p w14:paraId="526FE8C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LG1610X-1</w:t>
                  </w:r>
                </w:p>
              </w:tc>
              <w:tc>
                <w:tcPr>
                  <w:tcW w:w="948" w:type="dxa"/>
                  <w:shd w:val="clear" w:color="auto" w:fill="auto"/>
                  <w:vAlign w:val="center"/>
                </w:tcPr>
                <w:p w14:paraId="4C79E93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767188E1">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7BA1F055">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2FBF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9" w:type="dxa"/>
                  <w:vAlign w:val="center"/>
                </w:tcPr>
                <w:p w14:paraId="0C8E89D6">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523BF532">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电动双梁行车</w:t>
                  </w:r>
                </w:p>
              </w:tc>
              <w:tc>
                <w:tcPr>
                  <w:tcW w:w="1836" w:type="dxa"/>
                  <w:shd w:val="clear" w:color="auto" w:fill="auto"/>
                  <w:vAlign w:val="center"/>
                </w:tcPr>
                <w:p w14:paraId="682A440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50吨</w:t>
                  </w:r>
                </w:p>
              </w:tc>
              <w:tc>
                <w:tcPr>
                  <w:tcW w:w="948" w:type="dxa"/>
                  <w:shd w:val="clear" w:color="auto" w:fill="auto"/>
                  <w:vAlign w:val="center"/>
                </w:tcPr>
                <w:p w14:paraId="5BBA92A3">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cs="Times New Roman"/>
                      <w:spacing w:val="-7"/>
                      <w:kern w:val="2"/>
                      <w:sz w:val="21"/>
                      <w:szCs w:val="21"/>
                      <w:lang w:val="en-US" w:eastAsia="zh-CN" w:bidi="ar-SA"/>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301709B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510758AA">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3876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23C7E1DE">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2D876B96">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电子线路设计软件</w:t>
                  </w:r>
                </w:p>
              </w:tc>
              <w:tc>
                <w:tcPr>
                  <w:tcW w:w="1836" w:type="dxa"/>
                  <w:shd w:val="clear" w:color="auto" w:fill="auto"/>
                  <w:vAlign w:val="center"/>
                </w:tcPr>
                <w:p w14:paraId="0CE32B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PX-6</w:t>
                  </w:r>
                </w:p>
              </w:tc>
              <w:tc>
                <w:tcPr>
                  <w:tcW w:w="948" w:type="dxa"/>
                  <w:shd w:val="clear" w:color="auto" w:fill="auto"/>
                  <w:vAlign w:val="center"/>
                </w:tcPr>
                <w:p w14:paraId="7FE3FC59">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0803414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65673047">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71E2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3B0E98D9">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786FBCED">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电动双梁行车</w:t>
                  </w:r>
                </w:p>
              </w:tc>
              <w:tc>
                <w:tcPr>
                  <w:tcW w:w="1836" w:type="dxa"/>
                  <w:shd w:val="clear" w:color="auto" w:fill="auto"/>
                  <w:vAlign w:val="center"/>
                </w:tcPr>
                <w:p w14:paraId="455135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5吨10吨16吨</w:t>
                  </w:r>
                </w:p>
              </w:tc>
              <w:tc>
                <w:tcPr>
                  <w:tcW w:w="948" w:type="dxa"/>
                  <w:shd w:val="clear" w:color="auto" w:fill="auto"/>
                  <w:vAlign w:val="center"/>
                </w:tcPr>
                <w:p w14:paraId="6DE407AE">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7CEF2C3F">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49E2DA11">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0039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27A95E9A">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C7393BA">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液压剪板机</w:t>
                  </w:r>
                </w:p>
              </w:tc>
              <w:tc>
                <w:tcPr>
                  <w:tcW w:w="1836" w:type="dxa"/>
                  <w:shd w:val="clear" w:color="auto" w:fill="auto"/>
                  <w:vAlign w:val="center"/>
                </w:tcPr>
                <w:p w14:paraId="12C232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Q12Y-32×4000</w:t>
                  </w:r>
                </w:p>
              </w:tc>
              <w:tc>
                <w:tcPr>
                  <w:tcW w:w="948" w:type="dxa"/>
                  <w:shd w:val="clear" w:color="auto" w:fill="auto"/>
                  <w:vAlign w:val="center"/>
                </w:tcPr>
                <w:p w14:paraId="1DCFEE67">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4B106BCC">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7C3E0CC7">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46CD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73F82333">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03E15F07">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2"/>
                      <w:sz w:val="21"/>
                      <w:szCs w:val="21"/>
                    </w:rPr>
                    <w:t>卧式镗床</w:t>
                  </w:r>
                </w:p>
              </w:tc>
              <w:tc>
                <w:tcPr>
                  <w:tcW w:w="1836" w:type="dxa"/>
                  <w:shd w:val="clear" w:color="auto" w:fill="auto"/>
                  <w:vAlign w:val="center"/>
                </w:tcPr>
                <w:p w14:paraId="23E165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T512</w:t>
                  </w:r>
                </w:p>
              </w:tc>
              <w:tc>
                <w:tcPr>
                  <w:tcW w:w="948" w:type="dxa"/>
                  <w:shd w:val="clear" w:color="auto" w:fill="auto"/>
                  <w:vAlign w:val="center"/>
                </w:tcPr>
                <w:p w14:paraId="17B1FB67">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568C8C0B">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2A746CC8">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4773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D52FD5F">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491FC046">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2"/>
                      <w:sz w:val="21"/>
                      <w:szCs w:val="21"/>
                    </w:rPr>
                    <w:t>三辊卷板机</w:t>
                  </w:r>
                </w:p>
              </w:tc>
              <w:tc>
                <w:tcPr>
                  <w:tcW w:w="1836" w:type="dxa"/>
                  <w:shd w:val="clear" w:color="auto" w:fill="auto"/>
                  <w:vAlign w:val="center"/>
                </w:tcPr>
                <w:p w14:paraId="7D399D2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W11-100×3000</w:t>
                  </w:r>
                </w:p>
              </w:tc>
              <w:tc>
                <w:tcPr>
                  <w:tcW w:w="948" w:type="dxa"/>
                  <w:shd w:val="clear" w:color="auto" w:fill="auto"/>
                  <w:vAlign w:val="center"/>
                </w:tcPr>
                <w:p w14:paraId="54712100">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0A392072">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52A0459C">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1843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3FCEC0CB">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89D547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sz w:val="21"/>
                      <w:szCs w:val="21"/>
                    </w:rPr>
                    <w:t>线圈缠绕机</w:t>
                  </w:r>
                </w:p>
              </w:tc>
              <w:tc>
                <w:tcPr>
                  <w:tcW w:w="1836" w:type="dxa"/>
                  <w:shd w:val="clear" w:color="auto" w:fill="auto"/>
                  <w:vAlign w:val="center"/>
                </w:tcPr>
                <w:p w14:paraId="3CE8DBA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PX-CRJ-12-20</w:t>
                  </w:r>
                </w:p>
              </w:tc>
              <w:tc>
                <w:tcPr>
                  <w:tcW w:w="948" w:type="dxa"/>
                  <w:shd w:val="clear" w:color="auto" w:fill="auto"/>
                  <w:vAlign w:val="center"/>
                </w:tcPr>
                <w:p w14:paraId="777679AD">
                  <w:pPr>
                    <w:pStyle w:val="7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cs="Times New Roman"/>
                      <w:spacing w:val="-7"/>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2081944F">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79E8DD4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7115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571A8647">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4332561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精密剪板机</w:t>
                  </w:r>
                </w:p>
              </w:tc>
              <w:tc>
                <w:tcPr>
                  <w:tcW w:w="1836" w:type="dxa"/>
                  <w:shd w:val="clear" w:color="auto" w:fill="auto"/>
                  <w:vAlign w:val="center"/>
                </w:tcPr>
                <w:p w14:paraId="00601C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Q11D-2x1300</w:t>
                  </w:r>
                </w:p>
              </w:tc>
              <w:tc>
                <w:tcPr>
                  <w:tcW w:w="948" w:type="dxa"/>
                  <w:shd w:val="clear" w:color="auto" w:fill="auto"/>
                  <w:vAlign w:val="center"/>
                </w:tcPr>
                <w:p w14:paraId="0FEDE7F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7374CA54">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restart"/>
                  <w:vAlign w:val="center"/>
                </w:tcPr>
                <w:p w14:paraId="5FE68686">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r>
                    <w:rPr>
                      <w:rFonts w:hint="eastAsia"/>
                      <w:b w:val="0"/>
                      <w:bCs/>
                      <w:color w:val="auto"/>
                      <w:kern w:val="0"/>
                      <w:sz w:val="21"/>
                      <w:szCs w:val="21"/>
                      <w:vertAlign w:val="baseline"/>
                      <w:lang w:val="en-US" w:eastAsia="zh-CN"/>
                    </w:rPr>
                    <w:t>本项目新增</w:t>
                  </w:r>
                </w:p>
              </w:tc>
            </w:tr>
            <w:tr w14:paraId="7068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7FC8EFB9">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0B093C4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数控横剪机</w:t>
                  </w:r>
                </w:p>
              </w:tc>
              <w:tc>
                <w:tcPr>
                  <w:tcW w:w="1836" w:type="dxa"/>
                  <w:shd w:val="clear" w:color="auto" w:fill="auto"/>
                  <w:vAlign w:val="center"/>
                </w:tcPr>
                <w:p w14:paraId="08B065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JN-2002</w:t>
                  </w:r>
                </w:p>
              </w:tc>
              <w:tc>
                <w:tcPr>
                  <w:tcW w:w="948" w:type="dxa"/>
                  <w:shd w:val="clear" w:color="auto" w:fill="auto"/>
                  <w:vAlign w:val="center"/>
                </w:tcPr>
                <w:p w14:paraId="69479BD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289DF212">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569D1321">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5F11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15DC663D">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11D67C6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kern w:val="0"/>
                      <w:sz w:val="21"/>
                      <w:szCs w:val="21"/>
                    </w:rPr>
                    <w:t>多条板料剪切床</w:t>
                  </w:r>
                </w:p>
              </w:tc>
              <w:tc>
                <w:tcPr>
                  <w:tcW w:w="1836" w:type="dxa"/>
                  <w:shd w:val="clear" w:color="auto" w:fill="auto"/>
                  <w:vAlign w:val="center"/>
                </w:tcPr>
                <w:p w14:paraId="0F3F91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AR872</w:t>
                  </w:r>
                </w:p>
              </w:tc>
              <w:tc>
                <w:tcPr>
                  <w:tcW w:w="948" w:type="dxa"/>
                  <w:shd w:val="clear" w:color="auto" w:fill="auto"/>
                  <w:vAlign w:val="center"/>
                </w:tcPr>
                <w:p w14:paraId="4B94226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156933D6">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1998658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5191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0354595">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1A9036EB">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线路板测试仪</w:t>
                  </w:r>
                </w:p>
              </w:tc>
              <w:tc>
                <w:tcPr>
                  <w:tcW w:w="1836" w:type="dxa"/>
                  <w:shd w:val="clear" w:color="auto" w:fill="auto"/>
                  <w:vAlign w:val="center"/>
                </w:tcPr>
                <w:p w14:paraId="23559B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PX-303</w:t>
                  </w:r>
                </w:p>
              </w:tc>
              <w:tc>
                <w:tcPr>
                  <w:tcW w:w="948" w:type="dxa"/>
                  <w:shd w:val="clear" w:color="auto" w:fill="auto"/>
                  <w:vAlign w:val="center"/>
                </w:tcPr>
                <w:p w14:paraId="16437866">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7"/>
                      <w:sz w:val="21"/>
                      <w:szCs w:val="21"/>
                    </w:rPr>
                    <w:t>10</w:t>
                  </w:r>
                  <w:r>
                    <w:rPr>
                      <w:rFonts w:hint="eastAsia" w:ascii="Times New Roman" w:hAnsi="Times New Roman" w:cs="Times New Roman" w:eastAsiaTheme="minorEastAsia"/>
                      <w:sz w:val="21"/>
                      <w:szCs w:val="21"/>
                      <w:lang w:val="en-US" w:eastAsia="zh-CN"/>
                    </w:rPr>
                    <w:t>台</w:t>
                  </w:r>
                </w:p>
              </w:tc>
              <w:tc>
                <w:tcPr>
                  <w:tcW w:w="1068" w:type="dxa"/>
                  <w:vMerge w:val="restart"/>
                  <w:vAlign w:val="center"/>
                </w:tcPr>
                <w:p w14:paraId="6D90439D">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b w:val="0"/>
                      <w:bCs/>
                      <w:color w:val="auto"/>
                      <w:kern w:val="0"/>
                      <w:sz w:val="21"/>
                      <w:szCs w:val="21"/>
                      <w:vertAlign w:val="baseline"/>
                      <w:lang w:val="en-US" w:eastAsia="zh-CN"/>
                    </w:rPr>
                  </w:pPr>
                  <w:r>
                    <w:rPr>
                      <w:rFonts w:hint="eastAsia"/>
                      <w:b w:val="0"/>
                      <w:bCs/>
                      <w:color w:val="auto"/>
                      <w:kern w:val="0"/>
                      <w:sz w:val="21"/>
                      <w:szCs w:val="21"/>
                      <w:vertAlign w:val="baseline"/>
                      <w:lang w:val="en-US" w:eastAsia="zh-CN"/>
                    </w:rPr>
                    <w:t>C车间</w:t>
                  </w:r>
                </w:p>
              </w:tc>
              <w:tc>
                <w:tcPr>
                  <w:tcW w:w="1083" w:type="dxa"/>
                  <w:vMerge w:val="restart"/>
                  <w:vAlign w:val="center"/>
                </w:tcPr>
                <w:p w14:paraId="5EBB6681">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r>
                    <w:rPr>
                      <w:rFonts w:hint="eastAsia"/>
                      <w:sz w:val="21"/>
                      <w:szCs w:val="21"/>
                    </w:rPr>
                    <w:t>B车间移至C车间</w:t>
                  </w:r>
                </w:p>
              </w:tc>
            </w:tr>
            <w:tr w14:paraId="6A76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386D8735">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BA9B0B5">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spacing w:val="-2"/>
                      <w:kern w:val="2"/>
                      <w:sz w:val="21"/>
                      <w:szCs w:val="21"/>
                      <w:lang w:val="en-US" w:eastAsia="en-US" w:bidi="ar-SA"/>
                    </w:rPr>
                  </w:pPr>
                  <w:r>
                    <w:rPr>
                      <w:rFonts w:hint="default" w:ascii="Times New Roman" w:hAnsi="Times New Roman" w:cs="Times New Roman"/>
                      <w:spacing w:val="1"/>
                      <w:sz w:val="21"/>
                      <w:szCs w:val="21"/>
                    </w:rPr>
                    <w:t>电动双梁行车</w:t>
                  </w:r>
                </w:p>
              </w:tc>
              <w:tc>
                <w:tcPr>
                  <w:tcW w:w="1836" w:type="dxa"/>
                  <w:shd w:val="clear" w:color="auto" w:fill="auto"/>
                  <w:vAlign w:val="center"/>
                </w:tcPr>
                <w:p w14:paraId="42F15F1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25</w:t>
                  </w:r>
                </w:p>
              </w:tc>
              <w:tc>
                <w:tcPr>
                  <w:tcW w:w="948" w:type="dxa"/>
                  <w:shd w:val="clear" w:color="auto" w:fill="auto"/>
                  <w:vAlign w:val="center"/>
                </w:tcPr>
                <w:p w14:paraId="7C5D1681">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cs="Times New Roman"/>
                      <w:spacing w:val="-7"/>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1219C750">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eastAsia="宋体"/>
                      <w:b w:val="0"/>
                      <w:bCs/>
                      <w:color w:val="auto"/>
                      <w:kern w:val="0"/>
                      <w:sz w:val="21"/>
                      <w:szCs w:val="21"/>
                      <w:vertAlign w:val="baseline"/>
                      <w:lang w:val="en-US" w:eastAsia="zh-CN"/>
                    </w:rPr>
                  </w:pPr>
                </w:p>
              </w:tc>
              <w:tc>
                <w:tcPr>
                  <w:tcW w:w="1083" w:type="dxa"/>
                  <w:vMerge w:val="continue"/>
                  <w:vAlign w:val="center"/>
                </w:tcPr>
                <w:p w14:paraId="1CEBDD6F">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3DD8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F949CEF">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40D7DAD1">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电动双梁行车</w:t>
                  </w:r>
                </w:p>
              </w:tc>
              <w:tc>
                <w:tcPr>
                  <w:tcW w:w="1836" w:type="dxa"/>
                  <w:shd w:val="clear" w:color="auto" w:fill="auto"/>
                  <w:vAlign w:val="center"/>
                </w:tcPr>
                <w:p w14:paraId="7D402AC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35吨</w:t>
                  </w:r>
                </w:p>
              </w:tc>
              <w:tc>
                <w:tcPr>
                  <w:tcW w:w="948" w:type="dxa"/>
                  <w:shd w:val="clear" w:color="auto" w:fill="auto"/>
                  <w:vAlign w:val="center"/>
                </w:tcPr>
                <w:p w14:paraId="0CB2CBC9">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cs="Times New Roman"/>
                      <w:spacing w:val="-7"/>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563BBF3F">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eastAsia="宋体"/>
                      <w:b w:val="0"/>
                      <w:bCs/>
                      <w:color w:val="auto"/>
                      <w:kern w:val="0"/>
                      <w:sz w:val="21"/>
                      <w:szCs w:val="21"/>
                      <w:vertAlign w:val="baseline"/>
                      <w:lang w:val="en-US" w:eastAsia="zh-CN"/>
                    </w:rPr>
                  </w:pPr>
                </w:p>
              </w:tc>
              <w:tc>
                <w:tcPr>
                  <w:tcW w:w="1083" w:type="dxa"/>
                  <w:vMerge w:val="continue"/>
                  <w:vAlign w:val="center"/>
                </w:tcPr>
                <w:p w14:paraId="6ADE85DB">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7E9A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28EFEEE9">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93F161A">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电动双梁行车</w:t>
                  </w:r>
                </w:p>
              </w:tc>
              <w:tc>
                <w:tcPr>
                  <w:tcW w:w="1836" w:type="dxa"/>
                  <w:shd w:val="clear" w:color="auto" w:fill="auto"/>
                  <w:vAlign w:val="center"/>
                </w:tcPr>
                <w:p w14:paraId="44FE4F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75吨</w:t>
                  </w:r>
                </w:p>
              </w:tc>
              <w:tc>
                <w:tcPr>
                  <w:tcW w:w="948" w:type="dxa"/>
                  <w:shd w:val="clear" w:color="auto" w:fill="auto"/>
                  <w:vAlign w:val="center"/>
                </w:tcPr>
                <w:p w14:paraId="48E4C4BD">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spacing w:val="-7"/>
                      <w:kern w:val="2"/>
                      <w:sz w:val="21"/>
                      <w:szCs w:val="21"/>
                      <w:lang w:val="en-US" w:eastAsia="zh-CN" w:bidi="ar-SA"/>
                    </w:rPr>
                  </w:pPr>
                  <w:r>
                    <w:rPr>
                      <w:rFonts w:hint="eastAsia" w:ascii="Times New Roman" w:hAnsi="Times New Roman" w:cs="Times New Roman"/>
                      <w:spacing w:val="-7"/>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3A086818">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eastAsia="宋体"/>
                      <w:b w:val="0"/>
                      <w:bCs/>
                      <w:color w:val="auto"/>
                      <w:kern w:val="0"/>
                      <w:sz w:val="21"/>
                      <w:szCs w:val="21"/>
                      <w:vertAlign w:val="baseline"/>
                      <w:lang w:val="en-US" w:eastAsia="zh-CN"/>
                    </w:rPr>
                  </w:pPr>
                </w:p>
              </w:tc>
              <w:tc>
                <w:tcPr>
                  <w:tcW w:w="1083" w:type="dxa"/>
                  <w:vMerge w:val="continue"/>
                  <w:vAlign w:val="center"/>
                </w:tcPr>
                <w:p w14:paraId="0922660E">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4C81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7B7CDEAE">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7F594E89">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FLUKE工业测量仪</w:t>
                  </w:r>
                </w:p>
              </w:tc>
              <w:tc>
                <w:tcPr>
                  <w:tcW w:w="1836" w:type="dxa"/>
                  <w:shd w:val="clear" w:color="auto" w:fill="auto"/>
                  <w:vAlign w:val="center"/>
                </w:tcPr>
                <w:p w14:paraId="296E47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123</w:t>
                  </w:r>
                </w:p>
              </w:tc>
              <w:tc>
                <w:tcPr>
                  <w:tcW w:w="948" w:type="dxa"/>
                  <w:shd w:val="clear" w:color="auto" w:fill="auto"/>
                  <w:vAlign w:val="center"/>
                </w:tcPr>
                <w:p w14:paraId="49DC5D69">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254305D9">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28C7C8E4">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7945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651AD1C5">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06079D65">
                  <w:pPr>
                    <w:pStyle w:val="7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IGBT</w:t>
                  </w:r>
                  <w:r>
                    <w:rPr>
                      <w:rFonts w:hint="default" w:ascii="Times New Roman" w:hAnsi="Times New Roman" w:cs="Times New Roman"/>
                      <w:spacing w:val="1"/>
                      <w:sz w:val="21"/>
                      <w:szCs w:val="21"/>
                    </w:rPr>
                    <w:t>直流氩弧焊机</w:t>
                  </w:r>
                </w:p>
              </w:tc>
              <w:tc>
                <w:tcPr>
                  <w:tcW w:w="1836" w:type="dxa"/>
                  <w:shd w:val="clear" w:color="auto" w:fill="auto"/>
                  <w:vAlign w:val="center"/>
                </w:tcPr>
                <w:p w14:paraId="64AFC74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WS-400-1</w:t>
                  </w:r>
                </w:p>
              </w:tc>
              <w:tc>
                <w:tcPr>
                  <w:tcW w:w="948" w:type="dxa"/>
                  <w:shd w:val="clear" w:color="auto" w:fill="auto"/>
                  <w:vAlign w:val="center"/>
                </w:tcPr>
                <w:p w14:paraId="02B5AC80">
                  <w:pPr>
                    <w:pStyle w:val="7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62F2F5C1">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restart"/>
                  <w:vAlign w:val="center"/>
                </w:tcPr>
                <w:p w14:paraId="2F266BF4">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r>
                    <w:rPr>
                      <w:rFonts w:hint="eastAsia"/>
                      <w:sz w:val="21"/>
                      <w:szCs w:val="21"/>
                      <w:lang w:val="en-US" w:eastAsia="zh-CN"/>
                    </w:rPr>
                    <w:t>A</w:t>
                  </w:r>
                  <w:r>
                    <w:rPr>
                      <w:rFonts w:hint="eastAsia"/>
                      <w:sz w:val="21"/>
                      <w:szCs w:val="21"/>
                    </w:rPr>
                    <w:t>车间移至C车间</w:t>
                  </w:r>
                </w:p>
              </w:tc>
            </w:tr>
            <w:tr w14:paraId="0805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6A87DDC5">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683166EA">
                  <w:pPr>
                    <w:pStyle w:val="7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2"/>
                      <w:sz w:val="21"/>
                      <w:szCs w:val="21"/>
                    </w:rPr>
                    <w:t>氩弧焊机</w:t>
                  </w:r>
                </w:p>
              </w:tc>
              <w:tc>
                <w:tcPr>
                  <w:tcW w:w="1836" w:type="dxa"/>
                  <w:shd w:val="clear" w:color="auto" w:fill="auto"/>
                  <w:vAlign w:val="center"/>
                </w:tcPr>
                <w:p w14:paraId="6CFE5F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WSM-315</w:t>
                  </w:r>
                </w:p>
              </w:tc>
              <w:tc>
                <w:tcPr>
                  <w:tcW w:w="948" w:type="dxa"/>
                  <w:shd w:val="clear" w:color="auto" w:fill="auto"/>
                  <w:vAlign w:val="center"/>
                </w:tcPr>
                <w:p w14:paraId="16C19A02">
                  <w:pPr>
                    <w:pStyle w:val="7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pacing w:val="-7"/>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3D9BBE7E">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c>
                <w:tcPr>
                  <w:tcW w:w="1083" w:type="dxa"/>
                  <w:vMerge w:val="continue"/>
                  <w:vAlign w:val="center"/>
                </w:tcPr>
                <w:p w14:paraId="56A7A2E2">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3CB6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66D4DACC">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4739A96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电焊机</w:t>
                  </w:r>
                </w:p>
              </w:tc>
              <w:tc>
                <w:tcPr>
                  <w:tcW w:w="1836" w:type="dxa"/>
                  <w:shd w:val="clear" w:color="auto" w:fill="auto"/>
                  <w:vAlign w:val="center"/>
                </w:tcPr>
                <w:p w14:paraId="07B9AA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t>
                  </w:r>
                </w:p>
              </w:tc>
              <w:tc>
                <w:tcPr>
                  <w:tcW w:w="948" w:type="dxa"/>
                  <w:shd w:val="clear" w:color="auto" w:fill="auto"/>
                  <w:vAlign w:val="center"/>
                </w:tcPr>
                <w:p w14:paraId="2384E9D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3</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2B1BD647">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b w:val="0"/>
                      <w:bCs/>
                      <w:color w:val="auto"/>
                      <w:kern w:val="0"/>
                      <w:sz w:val="21"/>
                      <w:szCs w:val="21"/>
                      <w:vertAlign w:val="baseline"/>
                      <w:lang w:val="en-US" w:eastAsia="zh-CN"/>
                    </w:rPr>
                  </w:pPr>
                </w:p>
              </w:tc>
              <w:tc>
                <w:tcPr>
                  <w:tcW w:w="1083" w:type="dxa"/>
                  <w:vMerge w:val="continue"/>
                  <w:vAlign w:val="center"/>
                </w:tcPr>
                <w:p w14:paraId="45B6AF57">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4632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38B3193E">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BCEE918">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感应圈缠绕专用设备</w:t>
                  </w:r>
                </w:p>
              </w:tc>
              <w:tc>
                <w:tcPr>
                  <w:tcW w:w="1836" w:type="dxa"/>
                  <w:shd w:val="clear" w:color="auto" w:fill="auto"/>
                  <w:vAlign w:val="center"/>
                </w:tcPr>
                <w:p w14:paraId="3D7BB9B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W-3E</w:t>
                  </w:r>
                </w:p>
              </w:tc>
              <w:tc>
                <w:tcPr>
                  <w:tcW w:w="948" w:type="dxa"/>
                  <w:shd w:val="clear" w:color="auto" w:fill="auto"/>
                  <w:vAlign w:val="center"/>
                </w:tcPr>
                <w:p w14:paraId="33C882F8">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eastAsiaTheme="minorEastAsia"/>
                      <w:spacing w:val="-7"/>
                      <w:sz w:val="21"/>
                      <w:szCs w:val="21"/>
                      <w:lang w:val="en-US" w:eastAsia="zh-CN"/>
                    </w:rPr>
                    <w:t>2</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6DBEE2E1">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b w:val="0"/>
                      <w:bCs/>
                      <w:color w:val="auto"/>
                      <w:kern w:val="0"/>
                      <w:sz w:val="21"/>
                      <w:szCs w:val="21"/>
                      <w:vertAlign w:val="baseline"/>
                      <w:lang w:val="en-US" w:eastAsia="zh-CN"/>
                    </w:rPr>
                  </w:pPr>
                </w:p>
              </w:tc>
              <w:tc>
                <w:tcPr>
                  <w:tcW w:w="1083" w:type="dxa"/>
                  <w:vMerge w:val="continue"/>
                  <w:vAlign w:val="center"/>
                </w:tcPr>
                <w:p w14:paraId="19903D7A">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1738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1D99BCE2">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505FB9B7">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pacing w:val="1"/>
                      <w:sz w:val="21"/>
                      <w:szCs w:val="21"/>
                    </w:rPr>
                    <w:t>电动双梁行车</w:t>
                  </w:r>
                </w:p>
              </w:tc>
              <w:tc>
                <w:tcPr>
                  <w:tcW w:w="1836" w:type="dxa"/>
                  <w:shd w:val="clear" w:color="auto" w:fill="auto"/>
                  <w:vAlign w:val="center"/>
                </w:tcPr>
                <w:p w14:paraId="1F896D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5吨10吨16吨</w:t>
                  </w:r>
                </w:p>
              </w:tc>
              <w:tc>
                <w:tcPr>
                  <w:tcW w:w="948" w:type="dxa"/>
                  <w:shd w:val="clear" w:color="auto" w:fill="auto"/>
                  <w:vAlign w:val="center"/>
                </w:tcPr>
                <w:p w14:paraId="1AC7565F">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cs="Times New Roman"/>
                      <w:spacing w:val="-7"/>
                      <w:sz w:val="21"/>
                      <w:szCs w:val="21"/>
                      <w:lang w:val="en-US" w:eastAsia="zh-CN"/>
                    </w:rPr>
                  </w:pPr>
                  <w:r>
                    <w:rPr>
                      <w:rFonts w:hint="eastAsia" w:ascii="Times New Roman" w:hAnsi="Times New Roman" w:cs="Times New Roman"/>
                      <w:spacing w:val="-7"/>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1C8CF731">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b w:val="0"/>
                      <w:bCs/>
                      <w:color w:val="auto"/>
                      <w:kern w:val="0"/>
                      <w:sz w:val="21"/>
                      <w:szCs w:val="21"/>
                      <w:vertAlign w:val="baseline"/>
                      <w:lang w:val="en-US" w:eastAsia="zh-CN"/>
                    </w:rPr>
                  </w:pPr>
                </w:p>
              </w:tc>
              <w:tc>
                <w:tcPr>
                  <w:tcW w:w="1083" w:type="dxa"/>
                  <w:vMerge w:val="continue"/>
                  <w:vAlign w:val="center"/>
                </w:tcPr>
                <w:p w14:paraId="45529FC2">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67DC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17781E56">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6A50E85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感应器焊接机</w:t>
                  </w:r>
                </w:p>
              </w:tc>
              <w:tc>
                <w:tcPr>
                  <w:tcW w:w="1836" w:type="dxa"/>
                  <w:shd w:val="clear" w:color="auto" w:fill="auto"/>
                  <w:vAlign w:val="center"/>
                </w:tcPr>
                <w:p w14:paraId="7C8EDD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PX-HJ-8-20</w:t>
                  </w:r>
                </w:p>
              </w:tc>
              <w:tc>
                <w:tcPr>
                  <w:tcW w:w="948" w:type="dxa"/>
                  <w:shd w:val="clear" w:color="auto" w:fill="auto"/>
                  <w:vAlign w:val="center"/>
                </w:tcPr>
                <w:p w14:paraId="4EC2993A">
                  <w:pPr>
                    <w:pStyle w:val="72"/>
                    <w:keepNext w:val="0"/>
                    <w:keepLines w:val="0"/>
                    <w:pageBreakBefore w:val="0"/>
                    <w:kinsoku/>
                    <w:wordWrap/>
                    <w:overflowPunct/>
                    <w:topLinePunct w:val="0"/>
                    <w:autoSpaceDE/>
                    <w:autoSpaceDN/>
                    <w:bidi w:val="0"/>
                    <w:adjustRightInd/>
                    <w:snapToGrid/>
                    <w:spacing w:line="240" w:lineRule="auto"/>
                    <w:ind w:left="0" w:leftChars="0" w:firstLine="0"/>
                    <w:jc w:val="center"/>
                    <w:textAlignment w:val="auto"/>
                    <w:rPr>
                      <w:rFonts w:hint="eastAsia" w:ascii="Times New Roman" w:hAnsi="Times New Roman" w:eastAsia="宋体" w:cs="Times New Roman"/>
                      <w:spacing w:val="-7"/>
                      <w:kern w:val="2"/>
                      <w:sz w:val="21"/>
                      <w:szCs w:val="21"/>
                      <w:lang w:val="en-US" w:eastAsia="zh-CN" w:bidi="ar-SA"/>
                    </w:rPr>
                  </w:pPr>
                  <w:r>
                    <w:rPr>
                      <w:rFonts w:hint="eastAsia" w:ascii="Times New Roman" w:hAnsi="Times New Roman" w:cs="Times New Roman"/>
                      <w:spacing w:val="-7"/>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1E8D3626">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75575261">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021E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CDA03A2">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066670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color w:val="000000"/>
                      <w:kern w:val="0"/>
                      <w:sz w:val="21"/>
                      <w:szCs w:val="21"/>
                    </w:rPr>
                    <w:t>多条板料剪切床</w:t>
                  </w:r>
                </w:p>
              </w:tc>
              <w:tc>
                <w:tcPr>
                  <w:tcW w:w="1836" w:type="dxa"/>
                  <w:shd w:val="clear" w:color="auto" w:fill="auto"/>
                  <w:vAlign w:val="center"/>
                </w:tcPr>
                <w:p w14:paraId="4A41A1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DT880</w:t>
                  </w:r>
                </w:p>
              </w:tc>
              <w:tc>
                <w:tcPr>
                  <w:tcW w:w="948" w:type="dxa"/>
                  <w:shd w:val="clear" w:color="auto" w:fill="auto"/>
                  <w:vAlign w:val="center"/>
                </w:tcPr>
                <w:p w14:paraId="0D2A14C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2CA20B99">
                  <w:pPr>
                    <w:keepNext w:val="0"/>
                    <w:keepLines w:val="0"/>
                    <w:pageBreakBefore w:val="0"/>
                    <w:widowControl/>
                    <w:kinsoku/>
                    <w:wordWrap/>
                    <w:overflowPunct/>
                    <w:topLinePunct w:val="0"/>
                    <w:autoSpaceDE/>
                    <w:autoSpaceDN/>
                    <w:bidi w:val="0"/>
                    <w:adjustRightInd/>
                    <w:snapToGrid/>
                    <w:ind w:left="0" w:firstLine="0"/>
                    <w:jc w:val="center"/>
                    <w:textAlignment w:val="auto"/>
                    <w:rPr>
                      <w:rFonts w:hint="default"/>
                      <w:b w:val="0"/>
                      <w:bCs/>
                      <w:color w:val="auto"/>
                      <w:kern w:val="0"/>
                      <w:sz w:val="21"/>
                      <w:szCs w:val="21"/>
                      <w:vertAlign w:val="baseline"/>
                      <w:lang w:val="en-US" w:eastAsia="zh-CN"/>
                    </w:rPr>
                  </w:pPr>
                </w:p>
              </w:tc>
              <w:tc>
                <w:tcPr>
                  <w:tcW w:w="1083" w:type="dxa"/>
                  <w:vMerge w:val="restart"/>
                  <w:vAlign w:val="center"/>
                </w:tcPr>
                <w:p w14:paraId="72E7CF83">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r>
                    <w:rPr>
                      <w:rFonts w:hint="eastAsia"/>
                      <w:b w:val="0"/>
                      <w:bCs/>
                      <w:color w:val="auto"/>
                      <w:kern w:val="0"/>
                      <w:sz w:val="21"/>
                      <w:szCs w:val="21"/>
                      <w:vertAlign w:val="baseline"/>
                      <w:lang w:val="en-US" w:eastAsia="zh-CN"/>
                    </w:rPr>
                    <w:t>本项目新增</w:t>
                  </w:r>
                </w:p>
              </w:tc>
            </w:tr>
            <w:tr w14:paraId="01427F39">
              <w:tblPrEx>
                <w:tblCellMar>
                  <w:top w:w="0" w:type="dxa"/>
                  <w:left w:w="108" w:type="dxa"/>
                  <w:bottom w:w="0" w:type="dxa"/>
                  <w:right w:w="108" w:type="dxa"/>
                </w:tblCellMar>
              </w:tblPrEx>
              <w:trPr>
                <w:trHeight w:val="397" w:hRule="atLeast"/>
                <w:jc w:val="center"/>
              </w:trPr>
              <w:tc>
                <w:tcPr>
                  <w:tcW w:w="639" w:type="dxa"/>
                  <w:vAlign w:val="center"/>
                </w:tcPr>
                <w:p w14:paraId="35439F72">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05F590E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打压仪</w:t>
                  </w:r>
                </w:p>
              </w:tc>
              <w:tc>
                <w:tcPr>
                  <w:tcW w:w="1836" w:type="dxa"/>
                  <w:shd w:val="clear" w:color="auto" w:fill="auto"/>
                  <w:vAlign w:val="center"/>
                </w:tcPr>
                <w:p w14:paraId="5DC7380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w:t>
                  </w:r>
                </w:p>
              </w:tc>
              <w:tc>
                <w:tcPr>
                  <w:tcW w:w="948" w:type="dxa"/>
                  <w:shd w:val="clear" w:color="auto" w:fill="auto"/>
                  <w:vAlign w:val="center"/>
                </w:tcPr>
                <w:p w14:paraId="7F247F7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35621184">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357BC3A7">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7848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64545EC3">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3406637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卧式端面铣床</w:t>
                  </w:r>
                </w:p>
              </w:tc>
              <w:tc>
                <w:tcPr>
                  <w:tcW w:w="1836" w:type="dxa"/>
                  <w:shd w:val="clear" w:color="auto" w:fill="auto"/>
                  <w:vAlign w:val="center"/>
                </w:tcPr>
                <w:p w14:paraId="1395A37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XT800D</w:t>
                  </w:r>
                </w:p>
              </w:tc>
              <w:tc>
                <w:tcPr>
                  <w:tcW w:w="948" w:type="dxa"/>
                  <w:shd w:val="clear" w:color="auto" w:fill="auto"/>
                  <w:vAlign w:val="center"/>
                </w:tcPr>
                <w:p w14:paraId="3F48286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746CAD0B">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5113D257">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06C8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7E3B0379">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1BABC22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三辊对称机械式卷板机</w:t>
                  </w:r>
                </w:p>
              </w:tc>
              <w:tc>
                <w:tcPr>
                  <w:tcW w:w="1836" w:type="dxa"/>
                  <w:shd w:val="clear" w:color="auto" w:fill="auto"/>
                  <w:vAlign w:val="center"/>
                </w:tcPr>
                <w:p w14:paraId="7B6500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W11-20x2500</w:t>
                  </w:r>
                </w:p>
              </w:tc>
              <w:tc>
                <w:tcPr>
                  <w:tcW w:w="948" w:type="dxa"/>
                  <w:shd w:val="clear" w:color="auto" w:fill="auto"/>
                  <w:vAlign w:val="center"/>
                </w:tcPr>
                <w:p w14:paraId="547574C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65ED7307">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716A257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589F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57E6178F">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0541C44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液压剪板机</w:t>
                  </w:r>
                </w:p>
              </w:tc>
              <w:tc>
                <w:tcPr>
                  <w:tcW w:w="1836" w:type="dxa"/>
                  <w:shd w:val="clear" w:color="auto" w:fill="auto"/>
                  <w:vAlign w:val="center"/>
                </w:tcPr>
                <w:p w14:paraId="1921D0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Q11Y-6x2500A</w:t>
                  </w:r>
                </w:p>
              </w:tc>
              <w:tc>
                <w:tcPr>
                  <w:tcW w:w="948" w:type="dxa"/>
                  <w:shd w:val="clear" w:color="auto" w:fill="auto"/>
                  <w:vAlign w:val="center"/>
                </w:tcPr>
                <w:p w14:paraId="2B93DA9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1台</w:t>
                  </w:r>
                </w:p>
              </w:tc>
              <w:tc>
                <w:tcPr>
                  <w:tcW w:w="1068" w:type="dxa"/>
                  <w:vMerge w:val="continue"/>
                  <w:vAlign w:val="center"/>
                </w:tcPr>
                <w:p w14:paraId="4C29B218">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7028F0DA">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395C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7DF4C733">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1509BB7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sz w:val="21"/>
                      <w:szCs w:val="21"/>
                    </w:rPr>
                    <w:t>线圈缠绕机</w:t>
                  </w:r>
                </w:p>
              </w:tc>
              <w:tc>
                <w:tcPr>
                  <w:tcW w:w="1836" w:type="dxa"/>
                  <w:shd w:val="clear" w:color="auto" w:fill="auto"/>
                  <w:vAlign w:val="center"/>
                </w:tcPr>
                <w:p w14:paraId="14F991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PX-CRJ-12-20</w:t>
                  </w:r>
                </w:p>
              </w:tc>
              <w:tc>
                <w:tcPr>
                  <w:tcW w:w="948" w:type="dxa"/>
                  <w:shd w:val="clear" w:color="auto" w:fill="auto"/>
                  <w:vAlign w:val="center"/>
                </w:tcPr>
                <w:p w14:paraId="333EF38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308FCF61">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1603B43C">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1D7A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367E5C66">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5FA277C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sz w:val="21"/>
                      <w:szCs w:val="21"/>
                    </w:rPr>
                    <w:t>交流弧焊机</w:t>
                  </w:r>
                </w:p>
              </w:tc>
              <w:tc>
                <w:tcPr>
                  <w:tcW w:w="1836" w:type="dxa"/>
                  <w:shd w:val="clear" w:color="auto" w:fill="auto"/>
                  <w:vAlign w:val="center"/>
                </w:tcPr>
                <w:p w14:paraId="046971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BX1-500F-3</w:t>
                  </w:r>
                </w:p>
              </w:tc>
              <w:tc>
                <w:tcPr>
                  <w:tcW w:w="948" w:type="dxa"/>
                  <w:shd w:val="clear" w:color="auto" w:fill="auto"/>
                  <w:vAlign w:val="center"/>
                </w:tcPr>
                <w:p w14:paraId="4DB9089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4B60EC4B">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6FBE0E98">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52FD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134E2180">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6D0050D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rPr>
                    <w:t>气体保护焊机</w:t>
                  </w:r>
                </w:p>
              </w:tc>
              <w:tc>
                <w:tcPr>
                  <w:tcW w:w="1836" w:type="dxa"/>
                  <w:shd w:val="clear" w:color="auto" w:fill="auto"/>
                  <w:vAlign w:val="center"/>
                </w:tcPr>
                <w:p w14:paraId="46C0A7F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CPVM500Ⅱ</w:t>
                  </w:r>
                </w:p>
              </w:tc>
              <w:tc>
                <w:tcPr>
                  <w:tcW w:w="948" w:type="dxa"/>
                  <w:shd w:val="clear" w:color="auto" w:fill="auto"/>
                  <w:vAlign w:val="center"/>
                </w:tcPr>
                <w:p w14:paraId="567CA30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35FECE00">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1FFC8B2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7943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9" w:type="dxa"/>
                  <w:vAlign w:val="center"/>
                </w:tcPr>
                <w:p w14:paraId="2A33359B">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0CD99F6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sz w:val="21"/>
                      <w:szCs w:val="21"/>
                    </w:rPr>
                    <w:t>氩弧焊机</w:t>
                  </w:r>
                </w:p>
              </w:tc>
              <w:tc>
                <w:tcPr>
                  <w:tcW w:w="1836" w:type="dxa"/>
                  <w:shd w:val="clear" w:color="auto" w:fill="auto"/>
                  <w:vAlign w:val="center"/>
                </w:tcPr>
                <w:p w14:paraId="4E595A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WSE-350</w:t>
                  </w:r>
                </w:p>
              </w:tc>
              <w:tc>
                <w:tcPr>
                  <w:tcW w:w="948" w:type="dxa"/>
                  <w:shd w:val="clear" w:color="auto" w:fill="auto"/>
                  <w:vAlign w:val="center"/>
                </w:tcPr>
                <w:p w14:paraId="0209CCB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608A76B7">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27157A07">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1C10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3D9F7DFB">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6570F25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液压冲孔机</w:t>
                  </w:r>
                </w:p>
              </w:tc>
              <w:tc>
                <w:tcPr>
                  <w:tcW w:w="1836" w:type="dxa"/>
                  <w:shd w:val="clear" w:color="auto" w:fill="auto"/>
                  <w:vAlign w:val="center"/>
                </w:tcPr>
                <w:p w14:paraId="2F15E7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CH-70</w:t>
                  </w:r>
                </w:p>
              </w:tc>
              <w:tc>
                <w:tcPr>
                  <w:tcW w:w="948" w:type="dxa"/>
                  <w:shd w:val="clear" w:color="auto" w:fill="auto"/>
                  <w:vAlign w:val="center"/>
                </w:tcPr>
                <w:p w14:paraId="569DE7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10F40418">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5E3F3747">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0A40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3A034936">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632C6ACD">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线圈缠绕机</w:t>
                  </w:r>
                </w:p>
              </w:tc>
              <w:tc>
                <w:tcPr>
                  <w:tcW w:w="1836" w:type="dxa"/>
                  <w:shd w:val="clear" w:color="auto" w:fill="auto"/>
                  <w:vAlign w:val="center"/>
                </w:tcPr>
                <w:p w14:paraId="2525CB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PX-CRJ-12-20</w:t>
                  </w:r>
                </w:p>
              </w:tc>
              <w:tc>
                <w:tcPr>
                  <w:tcW w:w="948" w:type="dxa"/>
                  <w:shd w:val="clear" w:color="auto" w:fill="auto"/>
                  <w:vAlign w:val="center"/>
                </w:tcPr>
                <w:p w14:paraId="77D6965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cs="Times New Roman" w:eastAsiaTheme="minorEastAsia"/>
                      <w:sz w:val="21"/>
                      <w:szCs w:val="21"/>
                      <w:highlight w:val="none"/>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46195064">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08BBB4C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477E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64427CE0">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5BF7ADC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线圈焊接机</w:t>
                  </w:r>
                </w:p>
              </w:tc>
              <w:tc>
                <w:tcPr>
                  <w:tcW w:w="1836" w:type="dxa"/>
                  <w:shd w:val="clear" w:color="auto" w:fill="auto"/>
                  <w:vAlign w:val="center"/>
                </w:tcPr>
                <w:p w14:paraId="7A4E384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PX-HJ-φ12-32</w:t>
                  </w:r>
                </w:p>
              </w:tc>
              <w:tc>
                <w:tcPr>
                  <w:tcW w:w="948" w:type="dxa"/>
                  <w:shd w:val="clear" w:color="auto" w:fill="auto"/>
                  <w:vAlign w:val="center"/>
                </w:tcPr>
                <w:p w14:paraId="7E3CBDA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2935F3E0">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0C1D404D">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57ED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358A80A5">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6622990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rPr>
                    <w:t>电热鼓风恒温干燥箱</w:t>
                  </w:r>
                </w:p>
              </w:tc>
              <w:tc>
                <w:tcPr>
                  <w:tcW w:w="1836" w:type="dxa"/>
                  <w:shd w:val="clear" w:color="auto" w:fill="auto"/>
                  <w:vAlign w:val="center"/>
                </w:tcPr>
                <w:p w14:paraId="626F3C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FB-1</w:t>
                  </w:r>
                </w:p>
              </w:tc>
              <w:tc>
                <w:tcPr>
                  <w:tcW w:w="948" w:type="dxa"/>
                  <w:shd w:val="clear" w:color="auto" w:fill="auto"/>
                  <w:vAlign w:val="center"/>
                </w:tcPr>
                <w:p w14:paraId="0B270BD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3DA02222">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2DADA1CF">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7D04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0D71EE96">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543A477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固化炉</w:t>
                  </w:r>
                </w:p>
              </w:tc>
              <w:tc>
                <w:tcPr>
                  <w:tcW w:w="1836" w:type="dxa"/>
                  <w:shd w:val="clear" w:color="auto" w:fill="auto"/>
                  <w:vAlign w:val="center"/>
                </w:tcPr>
                <w:p w14:paraId="52948E7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HB型</w:t>
                  </w:r>
                </w:p>
              </w:tc>
              <w:tc>
                <w:tcPr>
                  <w:tcW w:w="948" w:type="dxa"/>
                  <w:shd w:val="clear" w:color="auto" w:fill="auto"/>
                  <w:vAlign w:val="center"/>
                </w:tcPr>
                <w:p w14:paraId="4CCD93F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6126AD23">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58B1CDE5">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22F9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20675570">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2F615E3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rPr>
                    <w:t>喷枪</w:t>
                  </w:r>
                </w:p>
              </w:tc>
              <w:tc>
                <w:tcPr>
                  <w:tcW w:w="1836" w:type="dxa"/>
                  <w:shd w:val="clear" w:color="auto" w:fill="auto"/>
                  <w:vAlign w:val="center"/>
                </w:tcPr>
                <w:p w14:paraId="334879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w:t>
                  </w:r>
                </w:p>
              </w:tc>
              <w:tc>
                <w:tcPr>
                  <w:tcW w:w="948" w:type="dxa"/>
                  <w:shd w:val="clear" w:color="auto" w:fill="auto"/>
                  <w:vAlign w:val="center"/>
                </w:tcPr>
                <w:p w14:paraId="286D7AA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highlight w:val="none"/>
                      <w:lang w:val="en-US" w:eastAsia="zh-CN" w:bidi="ar-SA"/>
                    </w:rPr>
                  </w:pPr>
                  <w:r>
                    <w:rPr>
                      <w:rFonts w:hint="eastAsia" w:cs="Times New Roman" w:eastAsiaTheme="minorEastAsia"/>
                      <w:sz w:val="21"/>
                      <w:szCs w:val="21"/>
                      <w:highlight w:val="none"/>
                      <w:lang w:val="en-US" w:eastAsia="zh-CN"/>
                    </w:rPr>
                    <w:t>4</w:t>
                  </w:r>
                  <w:r>
                    <w:rPr>
                      <w:rFonts w:hint="eastAsia" w:ascii="Times New Roman" w:hAnsi="Times New Roman" w:cs="Times New Roman" w:eastAsiaTheme="minorEastAsia"/>
                      <w:sz w:val="21"/>
                      <w:szCs w:val="21"/>
                      <w:lang w:val="en-US" w:eastAsia="zh-CN"/>
                    </w:rPr>
                    <w:t>台</w:t>
                  </w:r>
                </w:p>
              </w:tc>
              <w:tc>
                <w:tcPr>
                  <w:tcW w:w="1068" w:type="dxa"/>
                  <w:vMerge w:val="continue"/>
                  <w:vAlign w:val="center"/>
                </w:tcPr>
                <w:p w14:paraId="306E05B0">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231DE332">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31B8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7C118652">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08C2F92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喷漆房</w:t>
                  </w:r>
                </w:p>
              </w:tc>
              <w:tc>
                <w:tcPr>
                  <w:tcW w:w="1836" w:type="dxa"/>
                  <w:shd w:val="clear" w:color="auto" w:fill="auto"/>
                  <w:vAlign w:val="center"/>
                </w:tcPr>
                <w:p w14:paraId="4C40B08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10m*8m*6m</w:t>
                  </w:r>
                </w:p>
              </w:tc>
              <w:tc>
                <w:tcPr>
                  <w:tcW w:w="948" w:type="dxa"/>
                  <w:shd w:val="clear" w:color="auto" w:fill="auto"/>
                  <w:vAlign w:val="center"/>
                </w:tcPr>
                <w:p w14:paraId="1E7FBB9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1间</w:t>
                  </w:r>
                </w:p>
              </w:tc>
              <w:tc>
                <w:tcPr>
                  <w:tcW w:w="1068" w:type="dxa"/>
                  <w:vMerge w:val="continue"/>
                  <w:vAlign w:val="center"/>
                </w:tcPr>
                <w:p w14:paraId="00C4F7C9">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4EE60C00">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1D68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A67B464">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75E80B4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喷砂房</w:t>
                  </w:r>
                </w:p>
              </w:tc>
              <w:tc>
                <w:tcPr>
                  <w:tcW w:w="1836" w:type="dxa"/>
                  <w:shd w:val="clear" w:color="auto" w:fill="auto"/>
                  <w:vAlign w:val="center"/>
                </w:tcPr>
                <w:p w14:paraId="107645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10m*8m*6m</w:t>
                  </w:r>
                </w:p>
              </w:tc>
              <w:tc>
                <w:tcPr>
                  <w:tcW w:w="948" w:type="dxa"/>
                  <w:shd w:val="clear" w:color="auto" w:fill="auto"/>
                  <w:vAlign w:val="center"/>
                </w:tcPr>
                <w:p w14:paraId="29E5DA4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1间</w:t>
                  </w:r>
                </w:p>
              </w:tc>
              <w:tc>
                <w:tcPr>
                  <w:tcW w:w="1068" w:type="dxa"/>
                  <w:vMerge w:val="continue"/>
                  <w:vAlign w:val="center"/>
                </w:tcPr>
                <w:p w14:paraId="044CE86E">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2B2831CD">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r w14:paraId="342B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47E6AB60">
                  <w:pPr>
                    <w:keepNext w:val="0"/>
                    <w:keepLines w:val="0"/>
                    <w:pageBreakBefore w:val="0"/>
                    <w:widowControl/>
                    <w:numPr>
                      <w:ilvl w:val="0"/>
                      <w:numId w:val="4"/>
                    </w:numPr>
                    <w:kinsoku/>
                    <w:wordWrap/>
                    <w:overflowPunct/>
                    <w:topLinePunct w:val="0"/>
                    <w:autoSpaceDE/>
                    <w:autoSpaceDN/>
                    <w:bidi w:val="0"/>
                    <w:adjustRightInd/>
                    <w:snapToGrid/>
                    <w:ind w:left="0" w:leftChars="0" w:firstLine="0" w:firstLineChars="0"/>
                    <w:jc w:val="center"/>
                    <w:textAlignment w:val="auto"/>
                    <w:rPr>
                      <w:b w:val="0"/>
                      <w:bCs/>
                      <w:color w:val="auto"/>
                      <w:kern w:val="0"/>
                      <w:sz w:val="21"/>
                      <w:szCs w:val="21"/>
                      <w:vertAlign w:val="baseline"/>
                    </w:rPr>
                  </w:pPr>
                </w:p>
              </w:tc>
              <w:tc>
                <w:tcPr>
                  <w:tcW w:w="2393" w:type="dxa"/>
                  <w:shd w:val="clear" w:color="auto" w:fill="auto"/>
                  <w:vAlign w:val="center"/>
                </w:tcPr>
                <w:p w14:paraId="4F6FBC9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喷塑房</w:t>
                  </w:r>
                </w:p>
              </w:tc>
              <w:tc>
                <w:tcPr>
                  <w:tcW w:w="1836" w:type="dxa"/>
                  <w:shd w:val="clear" w:color="auto" w:fill="auto"/>
                  <w:vAlign w:val="center"/>
                </w:tcPr>
                <w:p w14:paraId="271EE9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000000"/>
                      <w:kern w:val="0"/>
                      <w:sz w:val="21"/>
                      <w:szCs w:val="21"/>
                      <w:lang w:val="en-US" w:eastAsia="zh-CN"/>
                    </w:rPr>
                  </w:pPr>
                  <w:r>
                    <w:rPr>
                      <w:rFonts w:hint="eastAsia" w:ascii="Times New Roman" w:hAnsi="Times New Roman" w:cs="Times New Roman" w:eastAsiaTheme="minorEastAsia"/>
                      <w:color w:val="000000"/>
                      <w:kern w:val="0"/>
                      <w:sz w:val="21"/>
                      <w:szCs w:val="21"/>
                      <w:lang w:val="en-US" w:eastAsia="zh-CN"/>
                    </w:rPr>
                    <w:t>6m*4m*5m</w:t>
                  </w:r>
                </w:p>
              </w:tc>
              <w:tc>
                <w:tcPr>
                  <w:tcW w:w="948" w:type="dxa"/>
                  <w:shd w:val="clear" w:color="auto" w:fill="auto"/>
                  <w:vAlign w:val="center"/>
                </w:tcPr>
                <w:p w14:paraId="4D4C402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1间</w:t>
                  </w:r>
                </w:p>
              </w:tc>
              <w:tc>
                <w:tcPr>
                  <w:tcW w:w="1068" w:type="dxa"/>
                  <w:vMerge w:val="continue"/>
                  <w:vAlign w:val="center"/>
                </w:tcPr>
                <w:p w14:paraId="767D3EA4">
                  <w:pPr>
                    <w:keepNext w:val="0"/>
                    <w:keepLines w:val="0"/>
                    <w:pageBreakBefore w:val="0"/>
                    <w:widowControl/>
                    <w:kinsoku/>
                    <w:wordWrap/>
                    <w:overflowPunct/>
                    <w:topLinePunct w:val="0"/>
                    <w:autoSpaceDE/>
                    <w:autoSpaceDN/>
                    <w:bidi w:val="0"/>
                    <w:adjustRightInd/>
                    <w:snapToGrid/>
                    <w:ind w:left="0" w:firstLine="0"/>
                    <w:jc w:val="center"/>
                    <w:textAlignment w:val="auto"/>
                    <w:rPr>
                      <w:rFonts w:hint="eastAsia"/>
                      <w:b w:val="0"/>
                      <w:bCs/>
                      <w:color w:val="auto"/>
                      <w:kern w:val="0"/>
                      <w:sz w:val="21"/>
                      <w:szCs w:val="21"/>
                      <w:vertAlign w:val="baseline"/>
                      <w:lang w:val="en-US" w:eastAsia="zh-CN"/>
                    </w:rPr>
                  </w:pPr>
                </w:p>
              </w:tc>
              <w:tc>
                <w:tcPr>
                  <w:tcW w:w="1083" w:type="dxa"/>
                  <w:vMerge w:val="continue"/>
                  <w:vAlign w:val="center"/>
                </w:tcPr>
                <w:p w14:paraId="6BCD55A5">
                  <w:pPr>
                    <w:keepNext w:val="0"/>
                    <w:keepLines w:val="0"/>
                    <w:pageBreakBefore w:val="0"/>
                    <w:widowControl/>
                    <w:kinsoku/>
                    <w:wordWrap/>
                    <w:overflowPunct/>
                    <w:topLinePunct w:val="0"/>
                    <w:autoSpaceDE/>
                    <w:autoSpaceDN/>
                    <w:bidi w:val="0"/>
                    <w:adjustRightInd/>
                    <w:snapToGrid/>
                    <w:ind w:left="0" w:firstLine="0"/>
                    <w:jc w:val="center"/>
                    <w:textAlignment w:val="auto"/>
                    <w:rPr>
                      <w:b w:val="0"/>
                      <w:bCs/>
                      <w:color w:val="auto"/>
                      <w:kern w:val="0"/>
                      <w:sz w:val="21"/>
                      <w:szCs w:val="21"/>
                      <w:vertAlign w:val="baseline"/>
                    </w:rPr>
                  </w:pPr>
                </w:p>
              </w:tc>
            </w:tr>
          </w:tbl>
          <w:p w14:paraId="3718240E">
            <w:pPr>
              <w:bidi w:val="0"/>
              <w:rPr>
                <w:rFonts w:hint="eastAsia" w:ascii="宋体" w:hAnsi="宋体" w:cs="宋体"/>
                <w:b w:val="0"/>
                <w:bCs w:val="0"/>
                <w:kern w:val="0"/>
                <w:sz w:val="24"/>
                <w:szCs w:val="24"/>
                <w:lang w:val="en-US" w:eastAsia="zh-CN"/>
              </w:rPr>
            </w:pPr>
          </w:p>
          <w:p w14:paraId="24483BA4">
            <w:pPr>
              <w:spacing w:line="360" w:lineRule="auto"/>
              <w:jc w:val="left"/>
              <w:rPr>
                <w:b/>
                <w:bCs/>
                <w:sz w:val="24"/>
              </w:rPr>
            </w:pPr>
            <w:r>
              <w:rPr>
                <w:rFonts w:hint="eastAsia"/>
                <w:b/>
                <w:bCs/>
                <w:sz w:val="24"/>
                <w:lang w:val="en-US" w:eastAsia="zh-CN"/>
              </w:rPr>
              <w:t>6</w:t>
            </w:r>
            <w:r>
              <w:rPr>
                <w:b/>
                <w:bCs/>
                <w:sz w:val="24"/>
              </w:rPr>
              <w:t>、</w:t>
            </w:r>
            <w:r>
              <w:rPr>
                <w:rFonts w:hint="eastAsia"/>
                <w:b/>
                <w:sz w:val="24"/>
              </w:rPr>
              <w:t>主要原辅材料及年消耗量</w:t>
            </w:r>
          </w:p>
          <w:p w14:paraId="44E1FE9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bCs/>
                <w:sz w:val="24"/>
                <w:lang w:eastAsia="zh-CN"/>
              </w:rPr>
            </w:pPr>
            <w:r>
              <w:rPr>
                <w:rFonts w:hint="eastAsia"/>
                <w:bCs/>
                <w:sz w:val="24"/>
                <w:lang w:val="en-US" w:eastAsia="zh-CN"/>
              </w:rPr>
              <w:t>（1）本项目</w:t>
            </w:r>
            <w:r>
              <w:rPr>
                <w:rFonts w:hint="eastAsia"/>
                <w:bCs/>
                <w:sz w:val="24"/>
              </w:rPr>
              <w:t>使用的</w:t>
            </w:r>
            <w:r>
              <w:rPr>
                <w:rFonts w:hint="eastAsia"/>
                <w:bCs/>
                <w:sz w:val="24"/>
                <w:lang w:val="en-US" w:eastAsia="zh-CN"/>
              </w:rPr>
              <w:t>原辅材料及消耗情况</w:t>
            </w:r>
            <w:r>
              <w:rPr>
                <w:rFonts w:hint="eastAsia"/>
                <w:bCs/>
                <w:sz w:val="24"/>
              </w:rPr>
              <w:t>详见下表</w:t>
            </w:r>
            <w:r>
              <w:rPr>
                <w:rFonts w:hint="eastAsia"/>
                <w:bCs/>
                <w:sz w:val="24"/>
                <w:lang w:eastAsia="zh-CN"/>
              </w:rPr>
              <w:t>。</w:t>
            </w:r>
          </w:p>
          <w:p w14:paraId="1A53A7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b/>
                <w:bCs/>
                <w:lang w:val="en-US" w:eastAsia="zh-CN"/>
              </w:rPr>
            </w:pPr>
            <w:r>
              <w:rPr>
                <w:rFonts w:ascii="Times New Roman" w:hAnsi="Times New Roman" w:eastAsia="宋体"/>
                <w:b/>
                <w:kern w:val="0"/>
                <w:sz w:val="22"/>
                <w:szCs w:val="22"/>
              </w:rPr>
              <w:t>表2-</w:t>
            </w:r>
            <w:r>
              <w:rPr>
                <w:rFonts w:hint="eastAsia"/>
                <w:b/>
                <w:kern w:val="0"/>
                <w:sz w:val="22"/>
                <w:szCs w:val="22"/>
                <w:lang w:val="en-US" w:eastAsia="zh-CN"/>
              </w:rPr>
              <w:t>8</w:t>
            </w:r>
            <w:r>
              <w:rPr>
                <w:rFonts w:ascii="Times New Roman" w:hAnsi="Times New Roman" w:eastAsia="宋体"/>
                <w:b/>
                <w:kern w:val="0"/>
                <w:sz w:val="22"/>
                <w:szCs w:val="22"/>
              </w:rPr>
              <w:t xml:space="preserve">  </w:t>
            </w:r>
            <w:r>
              <w:rPr>
                <w:rFonts w:hint="eastAsia"/>
                <w:b/>
                <w:kern w:val="0"/>
                <w:sz w:val="22"/>
                <w:szCs w:val="22"/>
                <w:lang w:val="en-US" w:eastAsia="zh-CN"/>
              </w:rPr>
              <w:t>本项目</w:t>
            </w:r>
            <w:r>
              <w:rPr>
                <w:rFonts w:ascii="Times New Roman" w:hAnsi="Times New Roman" w:eastAsia="宋体"/>
                <w:b/>
                <w:kern w:val="0"/>
                <w:sz w:val="22"/>
                <w:szCs w:val="22"/>
              </w:rPr>
              <w:t>主要原辅材料</w:t>
            </w:r>
            <w:r>
              <w:rPr>
                <w:rFonts w:hint="eastAsia"/>
                <w:b/>
                <w:kern w:val="0"/>
                <w:sz w:val="22"/>
                <w:szCs w:val="22"/>
                <w:lang w:val="en-US" w:eastAsia="zh-CN"/>
              </w:rPr>
              <w:t>及</w:t>
            </w:r>
            <w:r>
              <w:rPr>
                <w:rFonts w:ascii="Times New Roman" w:hAnsi="Times New Roman" w:eastAsia="宋体"/>
                <w:b/>
                <w:kern w:val="0"/>
                <w:sz w:val="22"/>
                <w:szCs w:val="22"/>
              </w:rPr>
              <w:t>消耗</w:t>
            </w:r>
            <w:r>
              <w:rPr>
                <w:rFonts w:hint="eastAsia"/>
                <w:b/>
                <w:kern w:val="0"/>
                <w:sz w:val="22"/>
                <w:szCs w:val="22"/>
                <w:lang w:val="en-US" w:eastAsia="zh-CN"/>
              </w:rPr>
              <w:t>情况一览表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336"/>
              <w:gridCol w:w="719"/>
              <w:gridCol w:w="1005"/>
              <w:gridCol w:w="675"/>
              <w:gridCol w:w="705"/>
              <w:gridCol w:w="705"/>
              <w:gridCol w:w="735"/>
              <w:gridCol w:w="735"/>
              <w:gridCol w:w="1635"/>
              <w:gridCol w:w="890"/>
            </w:tblGrid>
            <w:tr w14:paraId="43E0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22584A81">
                  <w:pPr>
                    <w:keepNext w:val="0"/>
                    <w:keepLines w:val="0"/>
                    <w:pageBreakBefore w:val="0"/>
                    <w:widowControl w:val="0"/>
                    <w:kinsoku/>
                    <w:wordWrap/>
                    <w:overflowPunct/>
                    <w:topLinePunct w:val="0"/>
                    <w:autoSpaceDE/>
                    <w:autoSpaceDN/>
                    <w:bidi w:val="0"/>
                    <w:adjustRightInd/>
                    <w:snapToGrid/>
                    <w:ind w:left="0" w:firstLine="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1058" w:type="pct"/>
                  <w:gridSpan w:val="2"/>
                  <w:noWrap w:val="0"/>
                  <w:vAlign w:val="center"/>
                </w:tcPr>
                <w:p w14:paraId="5EEEA7CB">
                  <w:pPr>
                    <w:pStyle w:val="53"/>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color w:val="auto"/>
                      <w:sz w:val="21"/>
                      <w:szCs w:val="21"/>
                    </w:rPr>
                    <w:t>名称</w:t>
                  </w:r>
                </w:p>
              </w:tc>
              <w:tc>
                <w:tcPr>
                  <w:tcW w:w="414" w:type="pct"/>
                  <w:noWrap w:val="0"/>
                  <w:vAlign w:val="center"/>
                </w:tcPr>
                <w:p w14:paraId="123B182C">
                  <w:pPr>
                    <w:pStyle w:val="53"/>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color w:val="auto"/>
                      <w:sz w:val="21"/>
                      <w:szCs w:val="21"/>
                    </w:rPr>
                    <w:t>单位</w:t>
                  </w:r>
                </w:p>
              </w:tc>
              <w:tc>
                <w:tcPr>
                  <w:tcW w:w="433" w:type="pct"/>
                  <w:noWrap w:val="0"/>
                  <w:vAlign w:val="center"/>
                </w:tcPr>
                <w:p w14:paraId="57FA7423">
                  <w:pPr>
                    <w:pStyle w:val="53"/>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技改前用量</w:t>
                  </w:r>
                </w:p>
              </w:tc>
              <w:tc>
                <w:tcPr>
                  <w:tcW w:w="433" w:type="pct"/>
                  <w:noWrap w:val="0"/>
                  <w:vAlign w:val="center"/>
                </w:tcPr>
                <w:p w14:paraId="1C48E3FF">
                  <w:pPr>
                    <w:pStyle w:val="53"/>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本项目用量</w:t>
                  </w:r>
                </w:p>
              </w:tc>
              <w:tc>
                <w:tcPr>
                  <w:tcW w:w="451" w:type="pct"/>
                  <w:noWrap w:val="0"/>
                  <w:vAlign w:val="center"/>
                </w:tcPr>
                <w:p w14:paraId="1A6CE0F2">
                  <w:pPr>
                    <w:pStyle w:val="53"/>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color w:val="auto"/>
                      <w:sz w:val="21"/>
                      <w:szCs w:val="21"/>
                      <w:lang w:val="en-US" w:eastAsia="zh-CN"/>
                    </w:rPr>
                    <w:t>技改后</w:t>
                  </w:r>
                  <w:r>
                    <w:rPr>
                      <w:rFonts w:hint="default" w:ascii="Times New Roman" w:hAnsi="Times New Roman" w:eastAsia="宋体" w:cs="Times New Roman"/>
                      <w:b/>
                      <w:bCs/>
                      <w:color w:val="auto"/>
                      <w:sz w:val="21"/>
                      <w:szCs w:val="21"/>
                    </w:rPr>
                    <w:t>用量</w:t>
                  </w:r>
                </w:p>
              </w:tc>
              <w:tc>
                <w:tcPr>
                  <w:tcW w:w="451" w:type="pct"/>
                  <w:shd w:val="clear" w:color="auto" w:fill="auto"/>
                  <w:noWrap w:val="0"/>
                  <w:vAlign w:val="center"/>
                </w:tcPr>
                <w:p w14:paraId="78E90304">
                  <w:pPr>
                    <w:pStyle w:val="53"/>
                    <w:keepNext w:val="0"/>
                    <w:keepLines w:val="0"/>
                    <w:pageBreakBefore w:val="0"/>
                    <w:widowControl w:val="0"/>
                    <w:kinsoku/>
                    <w:wordWrap/>
                    <w:overflowPunct/>
                    <w:topLinePunct w:val="0"/>
                    <w:autoSpaceDE/>
                    <w:autoSpaceDN/>
                    <w:bidi w:val="0"/>
                    <w:adjustRightInd/>
                    <w:snapToGrid/>
                    <w:spacing w:before="0" w:beforeLines="0" w:line="240" w:lineRule="auto"/>
                    <w:ind w:right="113" w:rightChars="0" w:firstLine="0" w:firstLineChars="0"/>
                    <w:jc w:val="center"/>
                    <w:textAlignment w:val="auto"/>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color w:val="auto"/>
                      <w:sz w:val="21"/>
                      <w:szCs w:val="21"/>
                    </w:rPr>
                    <w:t>最大</w:t>
                  </w:r>
                  <w:r>
                    <w:rPr>
                      <w:rFonts w:hint="default" w:ascii="Times New Roman" w:hAnsi="Times New Roman" w:cs="Times New Roman"/>
                      <w:b/>
                      <w:bCs/>
                      <w:color w:val="auto"/>
                      <w:sz w:val="21"/>
                      <w:szCs w:val="21"/>
                      <w:lang w:val="en-US" w:eastAsia="zh-CN"/>
                    </w:rPr>
                    <w:t>存储</w:t>
                  </w:r>
                  <w:r>
                    <w:rPr>
                      <w:rFonts w:hint="default" w:ascii="Times New Roman" w:hAnsi="Times New Roman" w:eastAsia="宋体" w:cs="Times New Roman"/>
                      <w:b/>
                      <w:bCs/>
                      <w:color w:val="auto"/>
                      <w:sz w:val="21"/>
                      <w:szCs w:val="21"/>
                    </w:rPr>
                    <w:t>量</w:t>
                  </w:r>
                </w:p>
              </w:tc>
              <w:tc>
                <w:tcPr>
                  <w:tcW w:w="1004" w:type="pct"/>
                  <w:noWrap w:val="0"/>
                  <w:vAlign w:val="center"/>
                </w:tcPr>
                <w:p w14:paraId="6C117768">
                  <w:pPr>
                    <w:pStyle w:val="53"/>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val="en-US" w:eastAsia="zh-CN" w:bidi="ar-SA"/>
                    </w:rPr>
                    <w:t>形态及储存规格</w:t>
                  </w:r>
                </w:p>
              </w:tc>
              <w:tc>
                <w:tcPr>
                  <w:tcW w:w="546" w:type="pct"/>
                  <w:noWrap w:val="0"/>
                  <w:vAlign w:val="center"/>
                </w:tcPr>
                <w:p w14:paraId="14DA8D87">
                  <w:pPr>
                    <w:pStyle w:val="53"/>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备注</w:t>
                  </w:r>
                </w:p>
              </w:tc>
            </w:tr>
            <w:tr w14:paraId="4E1D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022" w:hRule="atLeast"/>
                <w:jc w:val="center"/>
              </w:trPr>
              <w:tc>
                <w:tcPr>
                  <w:tcW w:w="206" w:type="pct"/>
                  <w:noWrap w:val="0"/>
                  <w:vAlign w:val="center"/>
                </w:tcPr>
                <w:p w14:paraId="17F006F1">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1062607D">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电源柜体</w:t>
                  </w:r>
                </w:p>
              </w:tc>
              <w:tc>
                <w:tcPr>
                  <w:tcW w:w="414" w:type="pct"/>
                  <w:shd w:val="clear" w:color="auto" w:fill="auto"/>
                  <w:noWrap w:val="0"/>
                  <w:vAlign w:val="center"/>
                </w:tcPr>
                <w:p w14:paraId="61C3C7CF">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r>
                    <w:rPr>
                      <w:rFonts w:hint="default" w:ascii="Times New Roman" w:hAnsi="Times New Roman" w:eastAsia="宋体" w:cs="Times New Roman"/>
                      <w:sz w:val="21"/>
                      <w:szCs w:val="21"/>
                    </w:rPr>
                    <w:t>/a</w:t>
                  </w:r>
                </w:p>
              </w:tc>
              <w:tc>
                <w:tcPr>
                  <w:tcW w:w="433" w:type="pct"/>
                  <w:shd w:val="clear" w:color="auto" w:fill="auto"/>
                  <w:noWrap w:val="0"/>
                  <w:vAlign w:val="center"/>
                </w:tcPr>
                <w:p w14:paraId="0068BF88">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0</w:t>
                  </w:r>
                </w:p>
              </w:tc>
              <w:tc>
                <w:tcPr>
                  <w:tcW w:w="433" w:type="pct"/>
                  <w:shd w:val="clear" w:color="auto" w:fill="auto"/>
                  <w:noWrap w:val="0"/>
                  <w:vAlign w:val="center"/>
                </w:tcPr>
                <w:p w14:paraId="14E8A11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p>
              </w:tc>
              <w:tc>
                <w:tcPr>
                  <w:tcW w:w="451" w:type="pct"/>
                  <w:shd w:val="clear" w:color="auto" w:fill="auto"/>
                  <w:noWrap w:val="0"/>
                  <w:vAlign w:val="center"/>
                </w:tcPr>
                <w:p w14:paraId="7F54460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p>
              </w:tc>
              <w:tc>
                <w:tcPr>
                  <w:tcW w:w="451" w:type="pct"/>
                  <w:shd w:val="clear" w:color="auto" w:fill="auto"/>
                  <w:noWrap w:val="0"/>
                  <w:vAlign w:val="center"/>
                </w:tcPr>
                <w:p w14:paraId="63F1DF3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004" w:type="pct"/>
                  <w:shd w:val="clear" w:color="auto" w:fill="auto"/>
                  <w:noWrap w:val="0"/>
                  <w:vAlign w:val="center"/>
                </w:tcPr>
                <w:p w14:paraId="24E34307">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546" w:type="pct"/>
                  <w:shd w:val="clear" w:color="auto" w:fill="auto"/>
                  <w:noWrap w:val="0"/>
                  <w:vAlign w:val="center"/>
                </w:tcPr>
                <w:p w14:paraId="25C290EA">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r>
            <w:tr w14:paraId="7C8E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47ABD42C">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31116428">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炉体外壳</w:t>
                  </w:r>
                </w:p>
              </w:tc>
              <w:tc>
                <w:tcPr>
                  <w:tcW w:w="414" w:type="pct"/>
                  <w:shd w:val="clear" w:color="auto" w:fill="auto"/>
                  <w:noWrap w:val="0"/>
                  <w:vAlign w:val="center"/>
                </w:tcPr>
                <w:p w14:paraId="04CE1ED5">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套</w:t>
                  </w:r>
                  <w:r>
                    <w:rPr>
                      <w:rFonts w:hint="default" w:ascii="Times New Roman" w:hAnsi="Times New Roman" w:eastAsia="宋体" w:cs="Times New Roman"/>
                      <w:sz w:val="21"/>
                      <w:szCs w:val="21"/>
                    </w:rPr>
                    <w:t>/a</w:t>
                  </w:r>
                </w:p>
              </w:tc>
              <w:tc>
                <w:tcPr>
                  <w:tcW w:w="433" w:type="pct"/>
                  <w:shd w:val="clear" w:color="auto" w:fill="auto"/>
                  <w:noWrap w:val="0"/>
                  <w:vAlign w:val="center"/>
                </w:tcPr>
                <w:p w14:paraId="1833AF4C">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260</w:t>
                  </w:r>
                </w:p>
              </w:tc>
              <w:tc>
                <w:tcPr>
                  <w:tcW w:w="433" w:type="pct"/>
                  <w:shd w:val="clear" w:color="auto" w:fill="auto"/>
                  <w:noWrap w:val="0"/>
                  <w:vAlign w:val="center"/>
                </w:tcPr>
                <w:p w14:paraId="47BB957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p>
              </w:tc>
              <w:tc>
                <w:tcPr>
                  <w:tcW w:w="451" w:type="pct"/>
                  <w:shd w:val="clear" w:color="auto" w:fill="auto"/>
                  <w:noWrap w:val="0"/>
                  <w:vAlign w:val="center"/>
                </w:tcPr>
                <w:p w14:paraId="694316E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p>
              </w:tc>
              <w:tc>
                <w:tcPr>
                  <w:tcW w:w="451" w:type="pct"/>
                  <w:shd w:val="clear" w:color="auto" w:fill="auto"/>
                  <w:noWrap w:val="0"/>
                  <w:vAlign w:val="center"/>
                </w:tcPr>
                <w:p w14:paraId="30E18C9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004" w:type="pct"/>
                  <w:shd w:val="clear" w:color="auto" w:fill="auto"/>
                  <w:noWrap w:val="0"/>
                  <w:vAlign w:val="center"/>
                </w:tcPr>
                <w:p w14:paraId="4AF0A96B">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546" w:type="pct"/>
                  <w:shd w:val="clear" w:color="auto" w:fill="auto"/>
                  <w:noWrap w:val="0"/>
                  <w:vAlign w:val="center"/>
                </w:tcPr>
                <w:p w14:paraId="3A2E8BB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r>
            <w:tr w14:paraId="41F5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04F18994">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43400DD7">
                  <w:pPr>
                    <w:jc w:val="center"/>
                    <w:rPr>
                      <w:rFonts w:hint="default" w:cs="Times New Roman"/>
                      <w:sz w:val="21"/>
                      <w:szCs w:val="21"/>
                      <w:lang w:val="en-US" w:eastAsia="zh-CN"/>
                    </w:rPr>
                  </w:pPr>
                  <w:r>
                    <w:rPr>
                      <w:rFonts w:hint="eastAsia" w:cs="Times New Roman"/>
                      <w:sz w:val="21"/>
                      <w:szCs w:val="21"/>
                      <w:lang w:val="en-US" w:eastAsia="zh-CN"/>
                    </w:rPr>
                    <w:t>电子元器件</w:t>
                  </w:r>
                </w:p>
              </w:tc>
              <w:tc>
                <w:tcPr>
                  <w:tcW w:w="414" w:type="pct"/>
                  <w:shd w:val="clear" w:color="auto" w:fill="auto"/>
                  <w:noWrap w:val="0"/>
                  <w:vAlign w:val="center"/>
                </w:tcPr>
                <w:p w14:paraId="0E9A5991">
                  <w:pPr>
                    <w:pStyle w:val="7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spacing w:val="-2"/>
                      <w:kern w:val="2"/>
                      <w:sz w:val="21"/>
                      <w:szCs w:val="21"/>
                      <w:lang w:val="en-US" w:eastAsia="zh-CN" w:bidi="ar-SA"/>
                    </w:rPr>
                  </w:pPr>
                  <w:r>
                    <w:rPr>
                      <w:rFonts w:hint="default" w:ascii="Times New Roman" w:hAnsi="Times New Roman" w:cs="Times New Roman" w:eastAsiaTheme="minorEastAsia"/>
                      <w:spacing w:val="-2"/>
                      <w:sz w:val="21"/>
                      <w:szCs w:val="21"/>
                    </w:rPr>
                    <w:t>套/年</w:t>
                  </w:r>
                </w:p>
              </w:tc>
              <w:tc>
                <w:tcPr>
                  <w:tcW w:w="433" w:type="pct"/>
                  <w:shd w:val="clear" w:color="auto" w:fill="auto"/>
                  <w:noWrap w:val="0"/>
                  <w:vAlign w:val="center"/>
                </w:tcPr>
                <w:p w14:paraId="0CDEFB69">
                  <w:pPr>
                    <w:pStyle w:val="7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eastAsiaTheme="minorEastAsia"/>
                      <w:spacing w:val="-2"/>
                      <w:kern w:val="2"/>
                      <w:sz w:val="21"/>
                      <w:szCs w:val="21"/>
                      <w:lang w:val="en-US" w:eastAsia="zh-CN" w:bidi="ar-SA"/>
                    </w:rPr>
                  </w:pPr>
                  <w:r>
                    <w:rPr>
                      <w:rFonts w:hint="default" w:ascii="Times New Roman" w:hAnsi="Times New Roman" w:cs="Times New Roman" w:eastAsiaTheme="minorEastAsia"/>
                      <w:spacing w:val="-2"/>
                      <w:sz w:val="21"/>
                      <w:szCs w:val="21"/>
                    </w:rPr>
                    <w:t>260</w:t>
                  </w:r>
                </w:p>
              </w:tc>
              <w:tc>
                <w:tcPr>
                  <w:tcW w:w="433" w:type="pct"/>
                  <w:shd w:val="clear" w:color="auto" w:fill="auto"/>
                  <w:noWrap w:val="0"/>
                  <w:vAlign w:val="center"/>
                </w:tcPr>
                <w:p w14:paraId="52D2AC4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p>
              </w:tc>
              <w:tc>
                <w:tcPr>
                  <w:tcW w:w="451" w:type="pct"/>
                  <w:shd w:val="clear" w:color="auto" w:fill="auto"/>
                  <w:noWrap w:val="0"/>
                  <w:vAlign w:val="center"/>
                </w:tcPr>
                <w:p w14:paraId="111ADED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p>
              </w:tc>
              <w:tc>
                <w:tcPr>
                  <w:tcW w:w="451" w:type="pct"/>
                  <w:shd w:val="clear" w:color="auto" w:fill="auto"/>
                  <w:noWrap w:val="0"/>
                  <w:vAlign w:val="center"/>
                </w:tcPr>
                <w:p w14:paraId="534B024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004" w:type="pct"/>
                  <w:shd w:val="clear" w:color="auto" w:fill="auto"/>
                  <w:noWrap w:val="0"/>
                  <w:vAlign w:val="center"/>
                </w:tcPr>
                <w:p w14:paraId="62EF7439">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546" w:type="pct"/>
                  <w:shd w:val="clear" w:color="auto" w:fill="auto"/>
                  <w:noWrap w:val="0"/>
                  <w:vAlign w:val="center"/>
                </w:tcPr>
                <w:p w14:paraId="31DB609B">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r>
            <w:tr w14:paraId="4DA2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09057C33">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78E28E8D">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管材</w:t>
                  </w:r>
                </w:p>
              </w:tc>
              <w:tc>
                <w:tcPr>
                  <w:tcW w:w="414" w:type="pct"/>
                  <w:shd w:val="clear" w:color="auto" w:fill="auto"/>
                  <w:noWrap w:val="0"/>
                  <w:vAlign w:val="center"/>
                </w:tcPr>
                <w:p w14:paraId="50842FAA">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114EDC45">
                  <w:pPr>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433" w:type="pct"/>
                  <w:shd w:val="clear" w:color="auto" w:fill="auto"/>
                  <w:noWrap w:val="0"/>
                  <w:vAlign w:val="center"/>
                </w:tcPr>
                <w:p w14:paraId="059DD41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p>
              </w:tc>
              <w:tc>
                <w:tcPr>
                  <w:tcW w:w="451" w:type="pct"/>
                  <w:shd w:val="clear" w:color="auto" w:fill="auto"/>
                  <w:noWrap w:val="0"/>
                  <w:vAlign w:val="center"/>
                </w:tcPr>
                <w:p w14:paraId="319E2CF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p>
              </w:tc>
              <w:tc>
                <w:tcPr>
                  <w:tcW w:w="451" w:type="pct"/>
                  <w:shd w:val="clear" w:color="auto" w:fill="auto"/>
                  <w:noWrap w:val="0"/>
                  <w:vAlign w:val="center"/>
                </w:tcPr>
                <w:p w14:paraId="6DD1E33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004" w:type="pct"/>
                  <w:shd w:val="clear" w:color="auto" w:fill="auto"/>
                  <w:noWrap w:val="0"/>
                  <w:vAlign w:val="center"/>
                </w:tcPr>
                <w:p w14:paraId="46358BBE">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546" w:type="pct"/>
                  <w:shd w:val="clear" w:color="auto" w:fill="auto"/>
                  <w:noWrap w:val="0"/>
                  <w:vAlign w:val="center"/>
                </w:tcPr>
                <w:p w14:paraId="72441D1D">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r>
            <w:tr w14:paraId="287C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7C9C9FBA">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0FD978A7">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钢材</w:t>
                  </w:r>
                </w:p>
              </w:tc>
              <w:tc>
                <w:tcPr>
                  <w:tcW w:w="414" w:type="pct"/>
                  <w:shd w:val="clear" w:color="auto" w:fill="auto"/>
                  <w:noWrap w:val="0"/>
                  <w:vAlign w:val="center"/>
                </w:tcPr>
                <w:p w14:paraId="3D4802BE">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71AA93E9">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210</w:t>
                  </w:r>
                </w:p>
              </w:tc>
              <w:tc>
                <w:tcPr>
                  <w:tcW w:w="433" w:type="pct"/>
                  <w:shd w:val="clear" w:color="auto" w:fill="auto"/>
                  <w:noWrap w:val="0"/>
                  <w:vAlign w:val="center"/>
                </w:tcPr>
                <w:p w14:paraId="19DD09C8">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290</w:t>
                  </w:r>
                </w:p>
              </w:tc>
              <w:tc>
                <w:tcPr>
                  <w:tcW w:w="451" w:type="pct"/>
                  <w:shd w:val="clear" w:color="auto" w:fill="auto"/>
                  <w:noWrap w:val="0"/>
                  <w:vAlign w:val="center"/>
                </w:tcPr>
                <w:p w14:paraId="2848D73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500</w:t>
                  </w:r>
                </w:p>
              </w:tc>
              <w:tc>
                <w:tcPr>
                  <w:tcW w:w="451" w:type="pct"/>
                  <w:shd w:val="clear" w:color="auto" w:fill="auto"/>
                  <w:noWrap w:val="0"/>
                  <w:vAlign w:val="center"/>
                </w:tcPr>
                <w:p w14:paraId="70E2F44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p>
              </w:tc>
              <w:tc>
                <w:tcPr>
                  <w:tcW w:w="1004" w:type="pct"/>
                  <w:shd w:val="clear" w:color="auto" w:fill="auto"/>
                  <w:noWrap w:val="0"/>
                  <w:vAlign w:val="center"/>
                </w:tcPr>
                <w:p w14:paraId="5BC2E47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5mx1510mx6000m、150mx250mx10m等</w:t>
                  </w:r>
                </w:p>
              </w:tc>
              <w:tc>
                <w:tcPr>
                  <w:tcW w:w="546" w:type="pct"/>
                  <w:shd w:val="clear" w:color="auto" w:fill="auto"/>
                  <w:noWrap w:val="0"/>
                  <w:vAlign w:val="center"/>
                </w:tcPr>
                <w:p w14:paraId="422F379B">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用于下料工序</w:t>
                  </w:r>
                </w:p>
              </w:tc>
            </w:tr>
            <w:tr w14:paraId="282C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083373A5">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6E0D3E4C">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铜材</w:t>
                  </w:r>
                </w:p>
              </w:tc>
              <w:tc>
                <w:tcPr>
                  <w:tcW w:w="414" w:type="pct"/>
                  <w:shd w:val="clear" w:color="auto" w:fill="auto"/>
                  <w:noWrap w:val="0"/>
                  <w:vAlign w:val="center"/>
                </w:tcPr>
                <w:p w14:paraId="1D7AC3BA">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02C5E987">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33" w:type="pct"/>
                  <w:shd w:val="clear" w:color="auto" w:fill="auto"/>
                  <w:noWrap w:val="0"/>
                  <w:vAlign w:val="center"/>
                </w:tcPr>
                <w:p w14:paraId="0098D53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100</w:t>
                  </w:r>
                </w:p>
              </w:tc>
              <w:tc>
                <w:tcPr>
                  <w:tcW w:w="451" w:type="pct"/>
                  <w:shd w:val="clear" w:color="auto" w:fill="auto"/>
                  <w:noWrap w:val="0"/>
                  <w:vAlign w:val="center"/>
                </w:tcPr>
                <w:p w14:paraId="1E9AD57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100</w:t>
                  </w:r>
                </w:p>
              </w:tc>
              <w:tc>
                <w:tcPr>
                  <w:tcW w:w="451" w:type="pct"/>
                  <w:shd w:val="clear" w:color="auto" w:fill="auto"/>
                  <w:noWrap w:val="0"/>
                  <w:vAlign w:val="center"/>
                </w:tcPr>
                <w:p w14:paraId="484880E4">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w:t>
                  </w:r>
                </w:p>
              </w:tc>
              <w:tc>
                <w:tcPr>
                  <w:tcW w:w="1004" w:type="pct"/>
                  <w:shd w:val="clear" w:color="auto" w:fill="auto"/>
                  <w:noWrap w:val="0"/>
                  <w:vAlign w:val="center"/>
                </w:tcPr>
                <w:p w14:paraId="07B2D68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0.02mx0.02mx500m等</w:t>
                  </w:r>
                </w:p>
              </w:tc>
              <w:tc>
                <w:tcPr>
                  <w:tcW w:w="546" w:type="pct"/>
                  <w:shd w:val="clear" w:color="auto" w:fill="auto"/>
                  <w:noWrap w:val="0"/>
                  <w:vAlign w:val="center"/>
                </w:tcPr>
                <w:p w14:paraId="44E4461B">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用于铜管绕制工序</w:t>
                  </w:r>
                </w:p>
              </w:tc>
            </w:tr>
            <w:tr w14:paraId="186C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45CB521D">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1DE57ADA">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药芯焊丝</w:t>
                  </w:r>
                </w:p>
              </w:tc>
              <w:tc>
                <w:tcPr>
                  <w:tcW w:w="414" w:type="pct"/>
                  <w:shd w:val="clear" w:color="auto" w:fill="auto"/>
                  <w:noWrap w:val="0"/>
                  <w:vAlign w:val="center"/>
                </w:tcPr>
                <w:p w14:paraId="639CE414">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5BFDC9F8">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33" w:type="pct"/>
                  <w:shd w:val="clear" w:color="auto" w:fill="auto"/>
                  <w:noWrap w:val="0"/>
                  <w:vAlign w:val="center"/>
                </w:tcPr>
                <w:p w14:paraId="245EA45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0.45</w:t>
                  </w:r>
                </w:p>
              </w:tc>
              <w:tc>
                <w:tcPr>
                  <w:tcW w:w="451" w:type="pct"/>
                  <w:shd w:val="clear" w:color="auto" w:fill="auto"/>
                  <w:noWrap w:val="0"/>
                  <w:vAlign w:val="center"/>
                </w:tcPr>
                <w:p w14:paraId="207E463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0.45</w:t>
                  </w:r>
                </w:p>
              </w:tc>
              <w:tc>
                <w:tcPr>
                  <w:tcW w:w="451" w:type="pct"/>
                  <w:shd w:val="clear" w:color="auto" w:fill="auto"/>
                  <w:noWrap w:val="0"/>
                  <w:vAlign w:val="center"/>
                </w:tcPr>
                <w:p w14:paraId="1E2E05F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0.1</w:t>
                  </w:r>
                </w:p>
              </w:tc>
              <w:tc>
                <w:tcPr>
                  <w:tcW w:w="1004" w:type="pct"/>
                  <w:shd w:val="clear" w:color="auto" w:fill="auto"/>
                  <w:noWrap w:val="0"/>
                  <w:vAlign w:val="center"/>
                </w:tcPr>
                <w:p w14:paraId="76FA716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固态，20kg/盘</w:t>
                  </w:r>
                </w:p>
              </w:tc>
              <w:tc>
                <w:tcPr>
                  <w:tcW w:w="546" w:type="pct"/>
                  <w:vMerge w:val="restart"/>
                  <w:shd w:val="clear" w:color="auto" w:fill="auto"/>
                  <w:noWrap w:val="0"/>
                  <w:vAlign w:val="center"/>
                </w:tcPr>
                <w:p w14:paraId="0372AFDE">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用于焊接工序</w:t>
                  </w:r>
                </w:p>
              </w:tc>
            </w:tr>
            <w:tr w14:paraId="54EE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19FC0C37">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5576AAFB">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实芯焊丝</w:t>
                  </w:r>
                </w:p>
              </w:tc>
              <w:tc>
                <w:tcPr>
                  <w:tcW w:w="414" w:type="pct"/>
                  <w:shd w:val="clear" w:color="auto" w:fill="auto"/>
                  <w:noWrap w:val="0"/>
                  <w:vAlign w:val="center"/>
                </w:tcPr>
                <w:p w14:paraId="7F8E032B">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38EE4CFE">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w:t>
                  </w:r>
                </w:p>
              </w:tc>
              <w:tc>
                <w:tcPr>
                  <w:tcW w:w="433" w:type="pct"/>
                  <w:shd w:val="clear" w:color="auto" w:fill="auto"/>
                  <w:noWrap w:val="0"/>
                  <w:vAlign w:val="center"/>
                </w:tcPr>
                <w:p w14:paraId="35C91B25">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0.9</w:t>
                  </w:r>
                  <w:r>
                    <w:rPr>
                      <w:rFonts w:hint="default" w:ascii="Times New Roman" w:hAnsi="Times New Roman" w:cs="Times New Roman"/>
                      <w:sz w:val="21"/>
                      <w:szCs w:val="21"/>
                      <w:lang w:val="en-US" w:eastAsia="zh-CN"/>
                    </w:rPr>
                    <w:t>5</w:t>
                  </w:r>
                </w:p>
              </w:tc>
              <w:tc>
                <w:tcPr>
                  <w:tcW w:w="451" w:type="pct"/>
                  <w:shd w:val="clear" w:color="auto" w:fill="auto"/>
                  <w:noWrap w:val="0"/>
                  <w:vAlign w:val="center"/>
                </w:tcPr>
                <w:p w14:paraId="3BE14F5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1.35</w:t>
                  </w:r>
                </w:p>
              </w:tc>
              <w:tc>
                <w:tcPr>
                  <w:tcW w:w="451" w:type="pct"/>
                  <w:shd w:val="clear" w:color="auto" w:fill="auto"/>
                  <w:noWrap w:val="0"/>
                  <w:vAlign w:val="center"/>
                </w:tcPr>
                <w:p w14:paraId="0542723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0.2</w:t>
                  </w:r>
                </w:p>
              </w:tc>
              <w:tc>
                <w:tcPr>
                  <w:tcW w:w="1004" w:type="pct"/>
                  <w:shd w:val="clear" w:color="auto" w:fill="auto"/>
                  <w:noWrap w:val="0"/>
                  <w:vAlign w:val="center"/>
                </w:tcPr>
                <w:p w14:paraId="765087E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固态，20kg/盘</w:t>
                  </w:r>
                </w:p>
              </w:tc>
              <w:tc>
                <w:tcPr>
                  <w:tcW w:w="546" w:type="pct"/>
                  <w:vMerge w:val="continue"/>
                  <w:shd w:val="clear" w:color="auto" w:fill="auto"/>
                  <w:noWrap w:val="0"/>
                  <w:vAlign w:val="center"/>
                </w:tcPr>
                <w:p w14:paraId="6EB6A21B">
                  <w:pPr>
                    <w:jc w:val="center"/>
                    <w:rPr>
                      <w:rFonts w:hint="default" w:ascii="Times New Roman" w:hAnsi="Times New Roman" w:cs="Times New Roman"/>
                      <w:sz w:val="21"/>
                      <w:szCs w:val="21"/>
                      <w:lang w:val="en-US" w:eastAsia="zh-CN"/>
                    </w:rPr>
                  </w:pPr>
                </w:p>
              </w:tc>
            </w:tr>
            <w:tr w14:paraId="48BE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5C50BFF1">
                  <w:pPr>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5D9249D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粉末涂料</w:t>
                  </w:r>
                </w:p>
              </w:tc>
              <w:tc>
                <w:tcPr>
                  <w:tcW w:w="414" w:type="pct"/>
                  <w:shd w:val="clear" w:color="auto" w:fill="auto"/>
                  <w:noWrap w:val="0"/>
                  <w:vAlign w:val="center"/>
                </w:tcPr>
                <w:p w14:paraId="19B4A2DE">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25DE9D3F">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33" w:type="pct"/>
                  <w:shd w:val="clear" w:color="auto" w:fill="auto"/>
                  <w:noWrap w:val="0"/>
                  <w:vAlign w:val="center"/>
                </w:tcPr>
                <w:p w14:paraId="68662DB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p>
              </w:tc>
              <w:tc>
                <w:tcPr>
                  <w:tcW w:w="451" w:type="pct"/>
                  <w:shd w:val="clear" w:color="auto" w:fill="auto"/>
                  <w:noWrap w:val="0"/>
                  <w:vAlign w:val="center"/>
                </w:tcPr>
                <w:p w14:paraId="4E64FDA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p>
              </w:tc>
              <w:tc>
                <w:tcPr>
                  <w:tcW w:w="451" w:type="pct"/>
                  <w:shd w:val="clear" w:color="auto" w:fill="auto"/>
                  <w:noWrap w:val="0"/>
                  <w:vAlign w:val="center"/>
                </w:tcPr>
                <w:p w14:paraId="2684161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r>
                    <w:rPr>
                      <w:rFonts w:hint="eastAsia" w:cs="Times New Roman"/>
                      <w:sz w:val="21"/>
                      <w:szCs w:val="21"/>
                      <w:lang w:val="en-US" w:eastAsia="zh-CN"/>
                    </w:rPr>
                    <w:t>2</w:t>
                  </w:r>
                </w:p>
              </w:tc>
              <w:tc>
                <w:tcPr>
                  <w:tcW w:w="1004" w:type="pct"/>
                  <w:shd w:val="clear" w:color="auto" w:fill="auto"/>
                  <w:noWrap w:val="0"/>
                  <w:vAlign w:val="center"/>
                </w:tcPr>
                <w:p w14:paraId="79B52C9D">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固</w:t>
                  </w:r>
                  <w:r>
                    <w:rPr>
                      <w:rFonts w:hint="default" w:ascii="Times New Roman" w:hAnsi="Times New Roman" w:cs="Times New Roman"/>
                      <w:sz w:val="21"/>
                      <w:szCs w:val="21"/>
                      <w:lang w:val="en-US" w:eastAsia="zh-CN"/>
                    </w:rPr>
                    <w:t>态，</w:t>
                  </w:r>
                  <w:r>
                    <w:rPr>
                      <w:rFonts w:hint="eastAsia" w:cs="Times New Roman"/>
                      <w:sz w:val="21"/>
                      <w:szCs w:val="21"/>
                      <w:lang w:val="en-US" w:eastAsia="zh-CN"/>
                    </w:rPr>
                    <w:t>袋</w:t>
                  </w:r>
                  <w:r>
                    <w:rPr>
                      <w:rFonts w:hint="default" w:ascii="Times New Roman" w:hAnsi="Times New Roman" w:cs="Times New Roman"/>
                      <w:sz w:val="21"/>
                      <w:szCs w:val="21"/>
                      <w:lang w:val="en-US" w:eastAsia="zh-CN"/>
                    </w:rPr>
                    <w:t>装，</w:t>
                  </w:r>
                  <w:r>
                    <w:rPr>
                      <w:rFonts w:hint="eastAsia" w:cs="Times New Roman"/>
                      <w:sz w:val="21"/>
                      <w:szCs w:val="21"/>
                      <w:lang w:val="en-US" w:eastAsia="zh-CN"/>
                    </w:rPr>
                    <w:t>1</w:t>
                  </w:r>
                  <w:r>
                    <w:rPr>
                      <w:rFonts w:hint="default" w:ascii="Times New Roman" w:hAnsi="Times New Roman" w:cs="Times New Roman"/>
                      <w:sz w:val="21"/>
                      <w:szCs w:val="21"/>
                      <w:lang w:val="en-US" w:eastAsia="zh-CN"/>
                    </w:rPr>
                    <w:t>0</w:t>
                  </w:r>
                  <w:r>
                    <w:rPr>
                      <w:rFonts w:hint="default" w:ascii="Times New Roman" w:hAnsi="Times New Roman" w:eastAsia="宋体" w:cs="Times New Roman"/>
                      <w:color w:val="auto"/>
                      <w:kern w:val="2"/>
                      <w:sz w:val="21"/>
                      <w:szCs w:val="21"/>
                      <w:lang w:val="en-US" w:eastAsia="zh-CN" w:bidi="ar-SA"/>
                    </w:rPr>
                    <w:t>kg/</w:t>
                  </w:r>
                  <w:r>
                    <w:rPr>
                      <w:rFonts w:hint="eastAsia" w:cs="Times New Roman"/>
                      <w:color w:val="auto"/>
                      <w:kern w:val="2"/>
                      <w:sz w:val="21"/>
                      <w:szCs w:val="21"/>
                      <w:lang w:val="en-US" w:eastAsia="zh-CN" w:bidi="ar-SA"/>
                    </w:rPr>
                    <w:t>袋</w:t>
                  </w:r>
                </w:p>
              </w:tc>
              <w:tc>
                <w:tcPr>
                  <w:tcW w:w="546" w:type="pct"/>
                  <w:shd w:val="clear" w:color="auto" w:fill="auto"/>
                  <w:noWrap w:val="0"/>
                  <w:vAlign w:val="center"/>
                </w:tcPr>
                <w:p w14:paraId="5F15962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用于喷塑工序</w:t>
                  </w:r>
                </w:p>
              </w:tc>
            </w:tr>
            <w:tr w14:paraId="2546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5680364C">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42D98AE6">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砂子</w:t>
                  </w:r>
                </w:p>
              </w:tc>
              <w:tc>
                <w:tcPr>
                  <w:tcW w:w="414" w:type="pct"/>
                  <w:shd w:val="clear" w:color="auto" w:fill="auto"/>
                  <w:noWrap w:val="0"/>
                  <w:vAlign w:val="center"/>
                </w:tcPr>
                <w:p w14:paraId="75F4C3CB">
                  <w:pPr>
                    <w:jc w:val="center"/>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47C604E1">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33" w:type="pct"/>
                  <w:shd w:val="clear" w:color="auto" w:fill="auto"/>
                  <w:noWrap w:val="0"/>
                  <w:vAlign w:val="center"/>
                </w:tcPr>
                <w:p w14:paraId="5E8ABBA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w:t>
                  </w:r>
                </w:p>
              </w:tc>
              <w:tc>
                <w:tcPr>
                  <w:tcW w:w="451" w:type="pct"/>
                  <w:shd w:val="clear" w:color="auto" w:fill="auto"/>
                  <w:noWrap w:val="0"/>
                  <w:vAlign w:val="center"/>
                </w:tcPr>
                <w:p w14:paraId="0FC651A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w:t>
                  </w:r>
                </w:p>
              </w:tc>
              <w:tc>
                <w:tcPr>
                  <w:tcW w:w="451" w:type="pct"/>
                  <w:shd w:val="clear" w:color="auto" w:fill="auto"/>
                  <w:noWrap w:val="0"/>
                  <w:vAlign w:val="center"/>
                </w:tcPr>
                <w:p w14:paraId="2D0AB70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0.5</w:t>
                  </w:r>
                </w:p>
              </w:tc>
              <w:tc>
                <w:tcPr>
                  <w:tcW w:w="1004" w:type="pct"/>
                  <w:shd w:val="clear" w:color="auto" w:fill="auto"/>
                  <w:noWrap w:val="0"/>
                  <w:vAlign w:val="center"/>
                </w:tcPr>
                <w:p w14:paraId="049D074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固态，袋装，50</w:t>
                  </w:r>
                  <w:r>
                    <w:rPr>
                      <w:rFonts w:hint="default" w:ascii="Times New Roman" w:hAnsi="Times New Roman" w:eastAsia="宋体" w:cs="Times New Roman"/>
                      <w:color w:val="auto"/>
                      <w:kern w:val="2"/>
                      <w:sz w:val="21"/>
                      <w:szCs w:val="21"/>
                      <w:lang w:val="en-US" w:eastAsia="zh-CN" w:bidi="ar-SA"/>
                    </w:rPr>
                    <w:t>kg/袋</w:t>
                  </w:r>
                </w:p>
              </w:tc>
              <w:tc>
                <w:tcPr>
                  <w:tcW w:w="546" w:type="pct"/>
                  <w:shd w:val="clear" w:color="auto" w:fill="auto"/>
                  <w:noWrap w:val="0"/>
                  <w:vAlign w:val="center"/>
                </w:tcPr>
                <w:p w14:paraId="238D9BD9">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用于喷砂工序</w:t>
                  </w:r>
                </w:p>
              </w:tc>
            </w:tr>
            <w:tr w14:paraId="27C2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75388452">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770A968A">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非标定制件（其他配件）</w:t>
                  </w:r>
                </w:p>
              </w:tc>
              <w:tc>
                <w:tcPr>
                  <w:tcW w:w="414" w:type="pct"/>
                  <w:shd w:val="clear" w:color="auto" w:fill="auto"/>
                  <w:noWrap w:val="0"/>
                  <w:vAlign w:val="center"/>
                </w:tcPr>
                <w:p w14:paraId="245FB4E2">
                  <w:pPr>
                    <w:jc w:val="center"/>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6A09D6F3">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33" w:type="pct"/>
                  <w:shd w:val="clear" w:color="auto" w:fill="auto"/>
                  <w:noWrap w:val="0"/>
                  <w:vAlign w:val="center"/>
                </w:tcPr>
                <w:p w14:paraId="151902F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50</w:t>
                  </w:r>
                </w:p>
              </w:tc>
              <w:tc>
                <w:tcPr>
                  <w:tcW w:w="451" w:type="pct"/>
                  <w:shd w:val="clear" w:color="auto" w:fill="auto"/>
                  <w:noWrap w:val="0"/>
                  <w:vAlign w:val="center"/>
                </w:tcPr>
                <w:p w14:paraId="4AF49B2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50</w:t>
                  </w:r>
                </w:p>
              </w:tc>
              <w:tc>
                <w:tcPr>
                  <w:tcW w:w="451" w:type="pct"/>
                  <w:shd w:val="clear" w:color="auto" w:fill="auto"/>
                  <w:noWrap w:val="0"/>
                  <w:vAlign w:val="center"/>
                </w:tcPr>
                <w:p w14:paraId="78E84944">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w:t>
                  </w:r>
                </w:p>
              </w:tc>
              <w:tc>
                <w:tcPr>
                  <w:tcW w:w="1004" w:type="pct"/>
                  <w:shd w:val="clear" w:color="auto" w:fill="auto"/>
                  <w:noWrap w:val="0"/>
                  <w:vAlign w:val="center"/>
                </w:tcPr>
                <w:p w14:paraId="7275C36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固态，非标定</w:t>
                  </w:r>
                </w:p>
              </w:tc>
              <w:tc>
                <w:tcPr>
                  <w:tcW w:w="546" w:type="pct"/>
                  <w:shd w:val="clear" w:color="auto" w:fill="auto"/>
                  <w:noWrap w:val="0"/>
                  <w:vAlign w:val="center"/>
                </w:tcPr>
                <w:p w14:paraId="237D3CCE">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装配使用</w:t>
                  </w:r>
                </w:p>
              </w:tc>
            </w:tr>
            <w:tr w14:paraId="0A4C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6FE13027">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3BF98E0A">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绝缘布</w:t>
                  </w:r>
                </w:p>
              </w:tc>
              <w:tc>
                <w:tcPr>
                  <w:tcW w:w="414" w:type="pct"/>
                  <w:shd w:val="clear" w:color="auto" w:fill="auto"/>
                  <w:noWrap w:val="0"/>
                  <w:vAlign w:val="center"/>
                </w:tcPr>
                <w:p w14:paraId="1F129DC9">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米/a</w:t>
                  </w:r>
                </w:p>
              </w:tc>
              <w:tc>
                <w:tcPr>
                  <w:tcW w:w="433" w:type="pct"/>
                  <w:shd w:val="clear" w:color="auto" w:fill="auto"/>
                  <w:noWrap w:val="0"/>
                  <w:vAlign w:val="center"/>
                </w:tcPr>
                <w:p w14:paraId="2DF31AAC">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2A06C0A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10000</w:t>
                  </w:r>
                </w:p>
              </w:tc>
              <w:tc>
                <w:tcPr>
                  <w:tcW w:w="451" w:type="pct"/>
                  <w:shd w:val="clear" w:color="auto" w:fill="auto"/>
                  <w:noWrap w:val="0"/>
                  <w:vAlign w:val="center"/>
                </w:tcPr>
                <w:p w14:paraId="26AE451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10000</w:t>
                  </w:r>
                </w:p>
              </w:tc>
              <w:tc>
                <w:tcPr>
                  <w:tcW w:w="451" w:type="pct"/>
                  <w:shd w:val="clear" w:color="auto" w:fill="auto"/>
                  <w:noWrap w:val="0"/>
                  <w:vAlign w:val="center"/>
                </w:tcPr>
                <w:p w14:paraId="4B5DFB9C">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1000</w:t>
                  </w:r>
                </w:p>
              </w:tc>
              <w:tc>
                <w:tcPr>
                  <w:tcW w:w="1004" w:type="pct"/>
                  <w:shd w:val="clear" w:color="auto" w:fill="auto"/>
                  <w:noWrap w:val="0"/>
                  <w:vAlign w:val="center"/>
                </w:tcPr>
                <w:p w14:paraId="35942DA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固态，50米/卷</w:t>
                  </w:r>
                </w:p>
              </w:tc>
              <w:tc>
                <w:tcPr>
                  <w:tcW w:w="546" w:type="pct"/>
                  <w:shd w:val="clear" w:color="auto" w:fill="auto"/>
                  <w:noWrap w:val="0"/>
                  <w:vAlign w:val="center"/>
                </w:tcPr>
                <w:p w14:paraId="372F8621">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用于铜管绕制工序</w:t>
                  </w:r>
                </w:p>
              </w:tc>
            </w:tr>
            <w:tr w14:paraId="2789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325BDDD4">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197A1792">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氧气</w:t>
                  </w:r>
                </w:p>
              </w:tc>
              <w:tc>
                <w:tcPr>
                  <w:tcW w:w="414" w:type="pct"/>
                  <w:shd w:val="clear" w:color="auto" w:fill="auto"/>
                  <w:noWrap w:val="0"/>
                  <w:vAlign w:val="center"/>
                </w:tcPr>
                <w:p w14:paraId="5708B913">
                  <w:pPr>
                    <w:jc w:val="center"/>
                    <w:rPr>
                      <w:rFonts w:hint="default" w:ascii="Times New Roman" w:hAnsi="Times New Roman" w:cs="Times New Roman"/>
                      <w:sz w:val="21"/>
                      <w:szCs w:val="21"/>
                      <w:lang w:val="en-US" w:eastAsia="zh-CN"/>
                    </w:rPr>
                  </w:pPr>
                  <w:r>
                    <w:rPr>
                      <w:rFonts w:hint="eastAsia" w:cs="Times New Roman"/>
                      <w:color w:val="auto"/>
                      <w:sz w:val="21"/>
                      <w:szCs w:val="21"/>
                      <w:lang w:val="en-US" w:eastAsia="zh-CN"/>
                    </w:rPr>
                    <w:t>瓶</w:t>
                  </w:r>
                  <w:r>
                    <w:rPr>
                      <w:rFonts w:hint="default" w:ascii="Times New Roman" w:hAnsi="Times New Roman" w:cs="Times New Roman"/>
                      <w:color w:val="auto"/>
                      <w:sz w:val="21"/>
                      <w:szCs w:val="21"/>
                      <w:lang w:val="en-US" w:eastAsia="zh-CN"/>
                    </w:rPr>
                    <w:t>/a</w:t>
                  </w:r>
                </w:p>
              </w:tc>
              <w:tc>
                <w:tcPr>
                  <w:tcW w:w="433" w:type="pct"/>
                  <w:shd w:val="clear" w:color="auto" w:fill="auto"/>
                  <w:noWrap w:val="0"/>
                  <w:vAlign w:val="center"/>
                </w:tcPr>
                <w:p w14:paraId="324EDFF6">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057BE78F">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1400</w:t>
                  </w:r>
                </w:p>
              </w:tc>
              <w:tc>
                <w:tcPr>
                  <w:tcW w:w="451" w:type="pct"/>
                  <w:shd w:val="clear" w:color="auto" w:fill="auto"/>
                  <w:noWrap w:val="0"/>
                  <w:vAlign w:val="center"/>
                </w:tcPr>
                <w:p w14:paraId="194A2675">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1400</w:t>
                  </w:r>
                </w:p>
              </w:tc>
              <w:tc>
                <w:tcPr>
                  <w:tcW w:w="451" w:type="pct"/>
                  <w:shd w:val="clear" w:color="auto" w:fill="auto"/>
                  <w:noWrap w:val="0"/>
                  <w:vAlign w:val="center"/>
                </w:tcPr>
                <w:p w14:paraId="4EBC9DA7">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200</w:t>
                  </w:r>
                </w:p>
              </w:tc>
              <w:tc>
                <w:tcPr>
                  <w:tcW w:w="1004" w:type="pct"/>
                  <w:shd w:val="clear" w:color="auto" w:fill="auto"/>
                  <w:noWrap w:val="0"/>
                  <w:vAlign w:val="center"/>
                </w:tcPr>
                <w:p w14:paraId="6BD9BFF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气态，40L/瓶</w:t>
                  </w:r>
                </w:p>
              </w:tc>
              <w:tc>
                <w:tcPr>
                  <w:tcW w:w="546" w:type="pct"/>
                  <w:vMerge w:val="restart"/>
                  <w:shd w:val="clear" w:color="auto" w:fill="auto"/>
                  <w:noWrap w:val="0"/>
                  <w:vAlign w:val="center"/>
                </w:tcPr>
                <w:p w14:paraId="43608B80">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用于焊接工序</w:t>
                  </w:r>
                </w:p>
              </w:tc>
            </w:tr>
            <w:tr w14:paraId="539F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1047E5C0">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6D8F8F8E">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氩气</w:t>
                  </w:r>
                </w:p>
              </w:tc>
              <w:tc>
                <w:tcPr>
                  <w:tcW w:w="414" w:type="pct"/>
                  <w:shd w:val="clear" w:color="auto" w:fill="auto"/>
                  <w:noWrap w:val="0"/>
                  <w:vAlign w:val="center"/>
                </w:tcPr>
                <w:p w14:paraId="15FC0B98">
                  <w:pPr>
                    <w:jc w:val="center"/>
                    <w:rPr>
                      <w:rFonts w:hint="default" w:ascii="Times New Roman" w:hAnsi="Times New Roman" w:cs="Times New Roman"/>
                      <w:sz w:val="21"/>
                      <w:szCs w:val="21"/>
                      <w:lang w:val="en-US" w:eastAsia="zh-CN"/>
                    </w:rPr>
                  </w:pPr>
                  <w:r>
                    <w:rPr>
                      <w:rFonts w:hint="eastAsia" w:cs="Times New Roman"/>
                      <w:color w:val="auto"/>
                      <w:sz w:val="21"/>
                      <w:szCs w:val="21"/>
                      <w:lang w:val="en-US" w:eastAsia="zh-CN"/>
                    </w:rPr>
                    <w:t>瓶</w:t>
                  </w:r>
                  <w:r>
                    <w:rPr>
                      <w:rFonts w:hint="default" w:ascii="Times New Roman" w:hAnsi="Times New Roman" w:cs="Times New Roman"/>
                      <w:color w:val="auto"/>
                      <w:sz w:val="21"/>
                      <w:szCs w:val="21"/>
                      <w:lang w:val="en-US" w:eastAsia="zh-CN"/>
                    </w:rPr>
                    <w:t>/a</w:t>
                  </w:r>
                </w:p>
              </w:tc>
              <w:tc>
                <w:tcPr>
                  <w:tcW w:w="433" w:type="pct"/>
                  <w:shd w:val="clear" w:color="auto" w:fill="auto"/>
                  <w:noWrap w:val="0"/>
                  <w:vAlign w:val="center"/>
                </w:tcPr>
                <w:p w14:paraId="12568A36">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00AFCFDA">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365</w:t>
                  </w:r>
                </w:p>
              </w:tc>
              <w:tc>
                <w:tcPr>
                  <w:tcW w:w="451" w:type="pct"/>
                  <w:shd w:val="clear" w:color="auto" w:fill="auto"/>
                  <w:noWrap w:val="0"/>
                  <w:vAlign w:val="center"/>
                </w:tcPr>
                <w:p w14:paraId="3BD31BE5">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365</w:t>
                  </w:r>
                </w:p>
              </w:tc>
              <w:tc>
                <w:tcPr>
                  <w:tcW w:w="451" w:type="pct"/>
                  <w:shd w:val="clear" w:color="auto" w:fill="auto"/>
                  <w:noWrap w:val="0"/>
                  <w:vAlign w:val="center"/>
                </w:tcPr>
                <w:p w14:paraId="5AC11540">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60</w:t>
                  </w:r>
                </w:p>
              </w:tc>
              <w:tc>
                <w:tcPr>
                  <w:tcW w:w="1004" w:type="pct"/>
                  <w:shd w:val="clear" w:color="auto" w:fill="auto"/>
                  <w:noWrap w:val="0"/>
                  <w:vAlign w:val="center"/>
                </w:tcPr>
                <w:p w14:paraId="33904D2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气态，40L/瓶</w:t>
                  </w:r>
                </w:p>
              </w:tc>
              <w:tc>
                <w:tcPr>
                  <w:tcW w:w="546" w:type="pct"/>
                  <w:vMerge w:val="continue"/>
                  <w:shd w:val="clear" w:color="auto" w:fill="auto"/>
                  <w:noWrap w:val="0"/>
                  <w:vAlign w:val="center"/>
                </w:tcPr>
                <w:p w14:paraId="4984736D">
                  <w:pPr>
                    <w:jc w:val="center"/>
                    <w:rPr>
                      <w:rFonts w:hint="default" w:ascii="Times New Roman" w:hAnsi="Times New Roman" w:cs="Times New Roman"/>
                      <w:sz w:val="21"/>
                      <w:szCs w:val="21"/>
                      <w:lang w:val="en-US" w:eastAsia="zh-CN"/>
                    </w:rPr>
                  </w:pPr>
                </w:p>
              </w:tc>
            </w:tr>
            <w:tr w14:paraId="1C8D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232F7A97">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32973BD9">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丙烷</w:t>
                  </w:r>
                </w:p>
              </w:tc>
              <w:tc>
                <w:tcPr>
                  <w:tcW w:w="414" w:type="pct"/>
                  <w:shd w:val="clear" w:color="auto" w:fill="auto"/>
                  <w:noWrap w:val="0"/>
                  <w:vAlign w:val="center"/>
                </w:tcPr>
                <w:p w14:paraId="12B38778">
                  <w:pPr>
                    <w:jc w:val="center"/>
                    <w:rPr>
                      <w:rFonts w:hint="default" w:ascii="Times New Roman" w:hAnsi="Times New Roman" w:cs="Times New Roman"/>
                      <w:sz w:val="21"/>
                      <w:szCs w:val="21"/>
                      <w:lang w:val="en-US" w:eastAsia="zh-CN"/>
                    </w:rPr>
                  </w:pPr>
                  <w:r>
                    <w:rPr>
                      <w:rFonts w:hint="eastAsia" w:cs="Times New Roman"/>
                      <w:color w:val="auto"/>
                      <w:sz w:val="21"/>
                      <w:szCs w:val="21"/>
                      <w:lang w:val="en-US" w:eastAsia="zh-CN"/>
                    </w:rPr>
                    <w:t>瓶</w:t>
                  </w:r>
                  <w:r>
                    <w:rPr>
                      <w:rFonts w:hint="default" w:ascii="Times New Roman" w:hAnsi="Times New Roman" w:cs="Times New Roman"/>
                      <w:color w:val="auto"/>
                      <w:sz w:val="21"/>
                      <w:szCs w:val="21"/>
                      <w:lang w:val="en-US" w:eastAsia="zh-CN"/>
                    </w:rPr>
                    <w:t>/a</w:t>
                  </w:r>
                </w:p>
              </w:tc>
              <w:tc>
                <w:tcPr>
                  <w:tcW w:w="433" w:type="pct"/>
                  <w:shd w:val="clear" w:color="auto" w:fill="auto"/>
                  <w:noWrap w:val="0"/>
                  <w:vAlign w:val="center"/>
                </w:tcPr>
                <w:p w14:paraId="7580E68E">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49DBBEDE">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70</w:t>
                  </w:r>
                </w:p>
              </w:tc>
              <w:tc>
                <w:tcPr>
                  <w:tcW w:w="451" w:type="pct"/>
                  <w:shd w:val="clear" w:color="auto" w:fill="auto"/>
                  <w:noWrap w:val="0"/>
                  <w:vAlign w:val="center"/>
                </w:tcPr>
                <w:p w14:paraId="21345B3E">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70</w:t>
                  </w:r>
                </w:p>
              </w:tc>
              <w:tc>
                <w:tcPr>
                  <w:tcW w:w="451" w:type="pct"/>
                  <w:shd w:val="clear" w:color="auto" w:fill="auto"/>
                  <w:noWrap w:val="0"/>
                  <w:vAlign w:val="center"/>
                </w:tcPr>
                <w:p w14:paraId="0173E771">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20</w:t>
                  </w:r>
                </w:p>
              </w:tc>
              <w:tc>
                <w:tcPr>
                  <w:tcW w:w="1004" w:type="pct"/>
                  <w:shd w:val="clear" w:color="auto" w:fill="auto"/>
                  <w:noWrap w:val="0"/>
                  <w:vAlign w:val="center"/>
                </w:tcPr>
                <w:p w14:paraId="37FA9C1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气态，40L/瓶</w:t>
                  </w:r>
                </w:p>
              </w:tc>
              <w:tc>
                <w:tcPr>
                  <w:tcW w:w="546" w:type="pct"/>
                  <w:vMerge w:val="continue"/>
                  <w:shd w:val="clear" w:color="auto" w:fill="auto"/>
                  <w:noWrap w:val="0"/>
                  <w:vAlign w:val="center"/>
                </w:tcPr>
                <w:p w14:paraId="35AFA432">
                  <w:pPr>
                    <w:jc w:val="center"/>
                    <w:rPr>
                      <w:rFonts w:hint="default" w:ascii="Times New Roman" w:hAnsi="Times New Roman" w:cs="Times New Roman"/>
                      <w:sz w:val="21"/>
                      <w:szCs w:val="21"/>
                      <w:lang w:val="en-US" w:eastAsia="zh-CN"/>
                    </w:rPr>
                  </w:pPr>
                </w:p>
              </w:tc>
            </w:tr>
            <w:tr w14:paraId="514A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527246E5">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1F2D30C8">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混合气</w:t>
                  </w:r>
                </w:p>
              </w:tc>
              <w:tc>
                <w:tcPr>
                  <w:tcW w:w="414" w:type="pct"/>
                  <w:shd w:val="clear" w:color="auto" w:fill="auto"/>
                  <w:noWrap w:val="0"/>
                  <w:vAlign w:val="center"/>
                </w:tcPr>
                <w:p w14:paraId="0A0EA577">
                  <w:pPr>
                    <w:jc w:val="center"/>
                    <w:rPr>
                      <w:rFonts w:hint="default" w:ascii="Times New Roman" w:hAnsi="Times New Roman" w:cs="Times New Roman"/>
                      <w:sz w:val="21"/>
                      <w:szCs w:val="21"/>
                      <w:lang w:val="en-US" w:eastAsia="zh-CN"/>
                    </w:rPr>
                  </w:pPr>
                  <w:r>
                    <w:rPr>
                      <w:rFonts w:hint="eastAsia" w:cs="Times New Roman"/>
                      <w:color w:val="auto"/>
                      <w:sz w:val="21"/>
                      <w:szCs w:val="21"/>
                      <w:lang w:val="en-US" w:eastAsia="zh-CN"/>
                    </w:rPr>
                    <w:t>瓶</w:t>
                  </w:r>
                  <w:r>
                    <w:rPr>
                      <w:rFonts w:hint="default" w:ascii="Times New Roman" w:hAnsi="Times New Roman" w:cs="Times New Roman"/>
                      <w:color w:val="auto"/>
                      <w:sz w:val="21"/>
                      <w:szCs w:val="21"/>
                      <w:lang w:val="en-US" w:eastAsia="zh-CN"/>
                    </w:rPr>
                    <w:t>/a</w:t>
                  </w:r>
                </w:p>
              </w:tc>
              <w:tc>
                <w:tcPr>
                  <w:tcW w:w="433" w:type="pct"/>
                  <w:shd w:val="clear" w:color="auto" w:fill="auto"/>
                  <w:noWrap w:val="0"/>
                  <w:vAlign w:val="center"/>
                </w:tcPr>
                <w:p w14:paraId="4E4CE11E">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63549FF1">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1400</w:t>
                  </w:r>
                </w:p>
              </w:tc>
              <w:tc>
                <w:tcPr>
                  <w:tcW w:w="451" w:type="pct"/>
                  <w:shd w:val="clear" w:color="auto" w:fill="auto"/>
                  <w:noWrap w:val="0"/>
                  <w:vAlign w:val="center"/>
                </w:tcPr>
                <w:p w14:paraId="1D5C7096">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1400</w:t>
                  </w:r>
                </w:p>
              </w:tc>
              <w:tc>
                <w:tcPr>
                  <w:tcW w:w="451" w:type="pct"/>
                  <w:shd w:val="clear" w:color="auto" w:fill="auto"/>
                  <w:noWrap w:val="0"/>
                  <w:vAlign w:val="center"/>
                </w:tcPr>
                <w:p w14:paraId="633E5B35">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200</w:t>
                  </w:r>
                </w:p>
              </w:tc>
              <w:tc>
                <w:tcPr>
                  <w:tcW w:w="1004" w:type="pct"/>
                  <w:shd w:val="clear" w:color="auto" w:fill="auto"/>
                  <w:noWrap w:val="0"/>
                  <w:vAlign w:val="center"/>
                </w:tcPr>
                <w:p w14:paraId="6F4A308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氩气和二氧化碳混合气，40L/瓶</w:t>
                  </w:r>
                </w:p>
              </w:tc>
              <w:tc>
                <w:tcPr>
                  <w:tcW w:w="546" w:type="pct"/>
                  <w:vMerge w:val="continue"/>
                  <w:shd w:val="clear" w:color="auto" w:fill="auto"/>
                  <w:noWrap w:val="0"/>
                  <w:vAlign w:val="center"/>
                </w:tcPr>
                <w:p w14:paraId="43B04532">
                  <w:pPr>
                    <w:jc w:val="center"/>
                    <w:rPr>
                      <w:rFonts w:hint="default" w:ascii="Times New Roman" w:hAnsi="Times New Roman" w:eastAsia="宋体" w:cs="Times New Roman"/>
                      <w:sz w:val="21"/>
                      <w:szCs w:val="21"/>
                      <w:lang w:val="en-US" w:eastAsia="zh-CN"/>
                    </w:rPr>
                  </w:pPr>
                </w:p>
              </w:tc>
            </w:tr>
            <w:tr w14:paraId="1B25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580EF0A9">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61441BD4">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机油</w:t>
                  </w:r>
                </w:p>
              </w:tc>
              <w:tc>
                <w:tcPr>
                  <w:tcW w:w="414" w:type="pct"/>
                  <w:shd w:val="clear" w:color="auto" w:fill="auto"/>
                  <w:noWrap w:val="0"/>
                  <w:vAlign w:val="center"/>
                </w:tcPr>
                <w:p w14:paraId="55C3B2D4">
                  <w:pPr>
                    <w:jc w:val="center"/>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4F317079">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0.01</w:t>
                  </w:r>
                </w:p>
              </w:tc>
              <w:tc>
                <w:tcPr>
                  <w:tcW w:w="433" w:type="pct"/>
                  <w:shd w:val="clear" w:color="auto" w:fill="auto"/>
                  <w:noWrap w:val="0"/>
                  <w:vAlign w:val="center"/>
                </w:tcPr>
                <w:p w14:paraId="3AC0B54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1</w:t>
                  </w:r>
                </w:p>
              </w:tc>
              <w:tc>
                <w:tcPr>
                  <w:tcW w:w="451" w:type="pct"/>
                  <w:shd w:val="clear" w:color="auto" w:fill="auto"/>
                  <w:noWrap w:val="0"/>
                  <w:vAlign w:val="center"/>
                </w:tcPr>
                <w:p w14:paraId="489B582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2</w:t>
                  </w:r>
                </w:p>
              </w:tc>
              <w:tc>
                <w:tcPr>
                  <w:tcW w:w="451" w:type="pct"/>
                  <w:shd w:val="clear" w:color="auto" w:fill="auto"/>
                  <w:noWrap w:val="0"/>
                  <w:vAlign w:val="center"/>
                </w:tcPr>
                <w:p w14:paraId="06641EF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0.01</w:t>
                  </w:r>
                </w:p>
              </w:tc>
              <w:tc>
                <w:tcPr>
                  <w:tcW w:w="1004" w:type="pct"/>
                  <w:shd w:val="clear" w:color="auto" w:fill="auto"/>
                  <w:noWrap w:val="0"/>
                  <w:vAlign w:val="center"/>
                </w:tcPr>
                <w:p w14:paraId="7AAD870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液态，桶装，10kg/桶</w:t>
                  </w:r>
                </w:p>
              </w:tc>
              <w:tc>
                <w:tcPr>
                  <w:tcW w:w="546" w:type="pct"/>
                  <w:shd w:val="clear" w:color="auto" w:fill="auto"/>
                  <w:noWrap w:val="0"/>
                  <w:vAlign w:val="center"/>
                </w:tcPr>
                <w:p w14:paraId="65F4579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用于设备维修</w:t>
                  </w:r>
                </w:p>
              </w:tc>
            </w:tr>
            <w:tr w14:paraId="2C49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4ED06123">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6458BFE3">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切削液</w:t>
                  </w:r>
                </w:p>
              </w:tc>
              <w:tc>
                <w:tcPr>
                  <w:tcW w:w="414" w:type="pct"/>
                  <w:shd w:val="clear" w:color="auto" w:fill="auto"/>
                  <w:noWrap w:val="0"/>
                  <w:vAlign w:val="center"/>
                </w:tcPr>
                <w:p w14:paraId="2CF7F3D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4E66124A">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w:t>
                  </w:r>
                </w:p>
              </w:tc>
              <w:tc>
                <w:tcPr>
                  <w:tcW w:w="433" w:type="pct"/>
                  <w:shd w:val="clear" w:color="auto" w:fill="auto"/>
                  <w:noWrap w:val="0"/>
                  <w:vAlign w:val="center"/>
                </w:tcPr>
                <w:p w14:paraId="41A2902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r>
                    <w:rPr>
                      <w:rFonts w:hint="eastAsia" w:cs="Times New Roman"/>
                      <w:sz w:val="21"/>
                      <w:szCs w:val="21"/>
                      <w:lang w:val="en-US" w:eastAsia="zh-CN"/>
                    </w:rPr>
                    <w:t>2</w:t>
                  </w:r>
                </w:p>
              </w:tc>
              <w:tc>
                <w:tcPr>
                  <w:tcW w:w="451" w:type="pct"/>
                  <w:shd w:val="clear" w:color="auto" w:fill="auto"/>
                  <w:noWrap w:val="0"/>
                  <w:vAlign w:val="center"/>
                </w:tcPr>
                <w:p w14:paraId="11C3094F">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0.4</w:t>
                  </w:r>
                </w:p>
              </w:tc>
              <w:tc>
                <w:tcPr>
                  <w:tcW w:w="451" w:type="pct"/>
                  <w:shd w:val="clear" w:color="auto" w:fill="auto"/>
                  <w:noWrap w:val="0"/>
                  <w:vAlign w:val="center"/>
                </w:tcPr>
                <w:p w14:paraId="7C22A11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r>
                    <w:rPr>
                      <w:rFonts w:hint="eastAsia" w:cs="Times New Roman"/>
                      <w:sz w:val="21"/>
                      <w:szCs w:val="21"/>
                      <w:lang w:val="en-US" w:eastAsia="zh-CN"/>
                    </w:rPr>
                    <w:t>04</w:t>
                  </w:r>
                </w:p>
              </w:tc>
              <w:tc>
                <w:tcPr>
                  <w:tcW w:w="1004" w:type="pct"/>
                  <w:shd w:val="clear" w:color="auto" w:fill="auto"/>
                  <w:noWrap w:val="0"/>
                  <w:vAlign w:val="center"/>
                </w:tcPr>
                <w:p w14:paraId="42D05ED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液态，桶装，10</w:t>
                  </w:r>
                  <w:r>
                    <w:rPr>
                      <w:rFonts w:hint="default" w:ascii="Times New Roman" w:hAnsi="Times New Roman" w:eastAsia="宋体" w:cs="Times New Roman"/>
                      <w:color w:val="auto"/>
                      <w:kern w:val="2"/>
                      <w:sz w:val="21"/>
                      <w:szCs w:val="21"/>
                      <w:lang w:val="en-US" w:eastAsia="zh-CN" w:bidi="ar-SA"/>
                    </w:rPr>
                    <w:t>kg/桶</w:t>
                  </w:r>
                </w:p>
              </w:tc>
              <w:tc>
                <w:tcPr>
                  <w:tcW w:w="546" w:type="pct"/>
                  <w:vMerge w:val="restart"/>
                  <w:shd w:val="clear" w:color="auto" w:fill="auto"/>
                  <w:noWrap w:val="0"/>
                  <w:vAlign w:val="center"/>
                </w:tcPr>
                <w:p w14:paraId="3DF90EAC">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用于下料工序</w:t>
                  </w:r>
                </w:p>
              </w:tc>
            </w:tr>
            <w:tr w14:paraId="75B1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2759F3C7">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3BDEE450">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液压油</w:t>
                  </w:r>
                </w:p>
              </w:tc>
              <w:tc>
                <w:tcPr>
                  <w:tcW w:w="414" w:type="pct"/>
                  <w:shd w:val="clear" w:color="auto" w:fill="auto"/>
                  <w:noWrap w:val="0"/>
                  <w:vAlign w:val="center"/>
                </w:tcPr>
                <w:p w14:paraId="5724E1B8">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74C646F5">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76D1C381">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p>
              </w:tc>
              <w:tc>
                <w:tcPr>
                  <w:tcW w:w="451" w:type="pct"/>
                  <w:shd w:val="clear" w:color="auto" w:fill="auto"/>
                  <w:noWrap w:val="0"/>
                  <w:vAlign w:val="center"/>
                </w:tcPr>
                <w:p w14:paraId="6E5D7AA1">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p>
              </w:tc>
              <w:tc>
                <w:tcPr>
                  <w:tcW w:w="451" w:type="pct"/>
                  <w:shd w:val="clear" w:color="auto" w:fill="auto"/>
                  <w:noWrap w:val="0"/>
                  <w:vAlign w:val="center"/>
                </w:tcPr>
                <w:p w14:paraId="51FE012B">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1</w:t>
                  </w:r>
                </w:p>
              </w:tc>
              <w:tc>
                <w:tcPr>
                  <w:tcW w:w="1004" w:type="pct"/>
                  <w:shd w:val="clear" w:color="auto" w:fill="auto"/>
                  <w:noWrap w:val="0"/>
                  <w:vAlign w:val="center"/>
                </w:tcPr>
                <w:p w14:paraId="3845F709">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液态，桶装，</w:t>
                  </w:r>
                  <w:r>
                    <w:rPr>
                      <w:rFonts w:hint="eastAsia" w:ascii="Times New Roman" w:hAnsi="Times New Roman" w:cs="Times New Roman"/>
                      <w:sz w:val="21"/>
                      <w:szCs w:val="21"/>
                      <w:lang w:val="en-US" w:eastAsia="zh-CN"/>
                    </w:rPr>
                    <w:t>15</w:t>
                  </w:r>
                  <w:r>
                    <w:rPr>
                      <w:rFonts w:hint="default" w:ascii="Times New Roman" w:hAnsi="Times New Roman" w:eastAsia="宋体" w:cs="Times New Roman"/>
                      <w:color w:val="auto"/>
                      <w:kern w:val="2"/>
                      <w:sz w:val="21"/>
                      <w:szCs w:val="21"/>
                      <w:lang w:val="en-US" w:eastAsia="zh-CN" w:bidi="ar-SA"/>
                    </w:rPr>
                    <w:t>kg/桶</w:t>
                  </w:r>
                </w:p>
              </w:tc>
              <w:tc>
                <w:tcPr>
                  <w:tcW w:w="546" w:type="pct"/>
                  <w:vMerge w:val="continue"/>
                  <w:shd w:val="clear" w:color="auto" w:fill="auto"/>
                  <w:noWrap w:val="0"/>
                  <w:vAlign w:val="center"/>
                </w:tcPr>
                <w:p w14:paraId="0B25D5DA">
                  <w:pPr>
                    <w:jc w:val="center"/>
                    <w:rPr>
                      <w:rFonts w:hint="default" w:ascii="Times New Roman" w:hAnsi="Times New Roman" w:cs="Times New Roman"/>
                      <w:sz w:val="21"/>
                      <w:szCs w:val="21"/>
                      <w:lang w:val="en-US" w:eastAsia="zh-CN"/>
                    </w:rPr>
                  </w:pPr>
                </w:p>
              </w:tc>
            </w:tr>
            <w:tr w14:paraId="5005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9" w:hRule="atLeast"/>
                <w:jc w:val="center"/>
              </w:trPr>
              <w:tc>
                <w:tcPr>
                  <w:tcW w:w="206" w:type="pct"/>
                  <w:vMerge w:val="restart"/>
                  <w:noWrap w:val="0"/>
                  <w:vAlign w:val="center"/>
                </w:tcPr>
                <w:p w14:paraId="51415203">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441" w:type="pct"/>
                  <w:vMerge w:val="restart"/>
                  <w:shd w:val="clear" w:color="auto" w:fill="auto"/>
                  <w:noWrap w:val="0"/>
                  <w:vAlign w:val="center"/>
                </w:tcPr>
                <w:p w14:paraId="2C86D829">
                  <w:pPr>
                    <w:jc w:val="center"/>
                    <w:rPr>
                      <w:rFonts w:hint="default" w:cs="Times New Roman"/>
                      <w:sz w:val="21"/>
                      <w:szCs w:val="21"/>
                      <w:highlight w:val="none"/>
                      <w:lang w:val="en-US" w:eastAsia="zh-CN"/>
                    </w:rPr>
                  </w:pPr>
                  <w:r>
                    <w:rPr>
                      <w:rFonts w:hint="eastAsia" w:cs="Times New Roman"/>
                      <w:sz w:val="21"/>
                      <w:szCs w:val="21"/>
                      <w:highlight w:val="none"/>
                      <w:lang w:val="en-US" w:eastAsia="zh-CN"/>
                    </w:rPr>
                    <w:t>底漆</w:t>
                  </w:r>
                </w:p>
              </w:tc>
              <w:tc>
                <w:tcPr>
                  <w:tcW w:w="617" w:type="pct"/>
                  <w:shd w:val="clear" w:color="auto" w:fill="auto"/>
                  <w:noWrap w:val="0"/>
                  <w:vAlign w:val="center"/>
                </w:tcPr>
                <w:p w14:paraId="3C86700D">
                  <w:pPr>
                    <w:jc w:val="center"/>
                    <w:rPr>
                      <w:rFonts w:hint="default" w:cs="Times New Roman"/>
                      <w:sz w:val="21"/>
                      <w:szCs w:val="21"/>
                      <w:highlight w:val="none"/>
                      <w:lang w:val="en-US" w:eastAsia="zh-CN"/>
                    </w:rPr>
                  </w:pPr>
                  <w:r>
                    <w:rPr>
                      <w:rFonts w:hint="eastAsia" w:cs="Times New Roman"/>
                      <w:sz w:val="21"/>
                      <w:szCs w:val="21"/>
                      <w:highlight w:val="none"/>
                      <w:lang w:val="en-US" w:eastAsia="zh-CN"/>
                    </w:rPr>
                    <w:t>底漆A</w:t>
                  </w:r>
                </w:p>
              </w:tc>
              <w:tc>
                <w:tcPr>
                  <w:tcW w:w="414" w:type="pct"/>
                  <w:shd w:val="clear" w:color="auto" w:fill="auto"/>
                  <w:noWrap w:val="0"/>
                  <w:vAlign w:val="center"/>
                </w:tcPr>
                <w:p w14:paraId="77C73B3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2DD153E5">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293A6BAF">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1.8</w:t>
                  </w:r>
                </w:p>
              </w:tc>
              <w:tc>
                <w:tcPr>
                  <w:tcW w:w="451" w:type="pct"/>
                  <w:shd w:val="clear" w:color="auto" w:fill="auto"/>
                  <w:noWrap w:val="0"/>
                  <w:vAlign w:val="center"/>
                </w:tcPr>
                <w:p w14:paraId="6B8CF8ED">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1.8</w:t>
                  </w:r>
                </w:p>
              </w:tc>
              <w:tc>
                <w:tcPr>
                  <w:tcW w:w="451" w:type="pct"/>
                  <w:shd w:val="clear" w:color="auto" w:fill="auto"/>
                  <w:noWrap w:val="0"/>
                  <w:vAlign w:val="center"/>
                </w:tcPr>
                <w:p w14:paraId="5F3D5BF7">
                  <w:pPr>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0.2</w:t>
                  </w:r>
                </w:p>
              </w:tc>
              <w:tc>
                <w:tcPr>
                  <w:tcW w:w="1004" w:type="pct"/>
                  <w:shd w:val="clear" w:color="auto" w:fill="auto"/>
                  <w:noWrap w:val="0"/>
                  <w:vAlign w:val="center"/>
                </w:tcPr>
                <w:p w14:paraId="47C2485B">
                  <w:pPr>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液态，桶装，10kg/桶</w:t>
                  </w:r>
                </w:p>
              </w:tc>
              <w:tc>
                <w:tcPr>
                  <w:tcW w:w="546" w:type="pct"/>
                  <w:vMerge w:val="restart"/>
                  <w:shd w:val="clear" w:color="auto" w:fill="auto"/>
                  <w:noWrap w:val="0"/>
                  <w:vAlign w:val="center"/>
                </w:tcPr>
                <w:p w14:paraId="0B89D397">
                  <w:pPr>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A和B按照10:1调配使用</w:t>
                  </w:r>
                </w:p>
              </w:tc>
            </w:tr>
            <w:tr w14:paraId="7DAB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9" w:hRule="atLeast"/>
                <w:jc w:val="center"/>
              </w:trPr>
              <w:tc>
                <w:tcPr>
                  <w:tcW w:w="206" w:type="pct"/>
                  <w:vMerge w:val="continue"/>
                  <w:noWrap w:val="0"/>
                  <w:vAlign w:val="center"/>
                </w:tcPr>
                <w:p w14:paraId="641ADCA3">
                  <w:pPr>
                    <w:jc w:val="center"/>
                  </w:pPr>
                </w:p>
              </w:tc>
              <w:tc>
                <w:tcPr>
                  <w:tcW w:w="441" w:type="pct"/>
                  <w:vMerge w:val="continue"/>
                  <w:shd w:val="clear" w:color="auto" w:fill="auto"/>
                  <w:noWrap w:val="0"/>
                  <w:vAlign w:val="center"/>
                </w:tcPr>
                <w:p w14:paraId="6FF091A2">
                  <w:pPr>
                    <w:jc w:val="center"/>
                    <w:rPr>
                      <w:highlight w:val="none"/>
                    </w:rPr>
                  </w:pPr>
                </w:p>
              </w:tc>
              <w:tc>
                <w:tcPr>
                  <w:tcW w:w="617" w:type="pct"/>
                  <w:shd w:val="clear" w:color="auto" w:fill="auto"/>
                  <w:noWrap w:val="0"/>
                  <w:vAlign w:val="center"/>
                </w:tcPr>
                <w:p w14:paraId="66BB4C5A">
                  <w:pPr>
                    <w:jc w:val="center"/>
                    <w:rPr>
                      <w:rFonts w:hint="default" w:cs="Times New Roman"/>
                      <w:sz w:val="21"/>
                      <w:szCs w:val="21"/>
                      <w:highlight w:val="none"/>
                      <w:lang w:val="en-US" w:eastAsia="zh-CN"/>
                    </w:rPr>
                  </w:pPr>
                  <w:r>
                    <w:rPr>
                      <w:rFonts w:hint="eastAsia" w:cs="Times New Roman"/>
                      <w:sz w:val="21"/>
                      <w:szCs w:val="21"/>
                      <w:highlight w:val="none"/>
                      <w:lang w:val="en-US" w:eastAsia="zh-CN"/>
                    </w:rPr>
                    <w:t>底漆B</w:t>
                  </w:r>
                </w:p>
              </w:tc>
              <w:tc>
                <w:tcPr>
                  <w:tcW w:w="414" w:type="pct"/>
                  <w:shd w:val="clear" w:color="auto" w:fill="auto"/>
                  <w:noWrap w:val="0"/>
                  <w:vAlign w:val="center"/>
                </w:tcPr>
                <w:p w14:paraId="5C63A992">
                  <w:pPr>
                    <w:jc w:val="center"/>
                    <w:rPr>
                      <w:rFonts w:hint="eastAsia" w:cs="Times New Roman"/>
                      <w:sz w:val="21"/>
                      <w:szCs w:val="21"/>
                      <w:highlight w:val="none"/>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5E12480B">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29BB4842">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0.18</w:t>
                  </w:r>
                </w:p>
              </w:tc>
              <w:tc>
                <w:tcPr>
                  <w:tcW w:w="451" w:type="pct"/>
                  <w:shd w:val="clear" w:color="auto" w:fill="auto"/>
                  <w:noWrap w:val="0"/>
                  <w:vAlign w:val="center"/>
                </w:tcPr>
                <w:p w14:paraId="361DCCC7">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0.18</w:t>
                  </w:r>
                </w:p>
              </w:tc>
              <w:tc>
                <w:tcPr>
                  <w:tcW w:w="451" w:type="pct"/>
                  <w:shd w:val="clear" w:color="auto" w:fill="auto"/>
                  <w:noWrap w:val="0"/>
                  <w:vAlign w:val="center"/>
                </w:tcPr>
                <w:p w14:paraId="7726CE2F">
                  <w:pPr>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0.02</w:t>
                  </w:r>
                </w:p>
              </w:tc>
              <w:tc>
                <w:tcPr>
                  <w:tcW w:w="1004" w:type="pct"/>
                  <w:shd w:val="clear" w:color="auto" w:fill="auto"/>
                  <w:noWrap w:val="0"/>
                  <w:vAlign w:val="center"/>
                </w:tcPr>
                <w:p w14:paraId="19A4025D">
                  <w:pPr>
                    <w:jc w:val="center"/>
                    <w:rPr>
                      <w:rFonts w:hint="eastAsia" w:cs="Times New Roman"/>
                      <w:sz w:val="21"/>
                      <w:szCs w:val="21"/>
                      <w:highlight w:val="none"/>
                      <w:lang w:val="en-US" w:eastAsia="zh-CN"/>
                    </w:rPr>
                  </w:pPr>
                  <w:r>
                    <w:rPr>
                      <w:rFonts w:hint="default" w:ascii="Times New Roman" w:hAnsi="Times New Roman" w:eastAsia="宋体" w:cs="Times New Roman"/>
                      <w:sz w:val="21"/>
                      <w:szCs w:val="21"/>
                      <w:lang w:val="en-US" w:eastAsia="zh-CN"/>
                    </w:rPr>
                    <w:t>液态，桶装，10kg/桶</w:t>
                  </w:r>
                </w:p>
              </w:tc>
              <w:tc>
                <w:tcPr>
                  <w:tcW w:w="546" w:type="pct"/>
                  <w:vMerge w:val="continue"/>
                  <w:shd w:val="clear" w:color="auto" w:fill="auto"/>
                  <w:noWrap w:val="0"/>
                  <w:vAlign w:val="center"/>
                </w:tcPr>
                <w:p w14:paraId="2D0D1565">
                  <w:pPr>
                    <w:jc w:val="center"/>
                    <w:rPr>
                      <w:rFonts w:hint="eastAsia" w:cs="Times New Roman"/>
                      <w:sz w:val="21"/>
                      <w:szCs w:val="21"/>
                      <w:highlight w:val="none"/>
                      <w:lang w:val="en-US" w:eastAsia="zh-CN"/>
                    </w:rPr>
                  </w:pPr>
                </w:p>
              </w:tc>
            </w:tr>
            <w:tr w14:paraId="0302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6" w:hRule="atLeast"/>
                <w:jc w:val="center"/>
              </w:trPr>
              <w:tc>
                <w:tcPr>
                  <w:tcW w:w="206" w:type="pct"/>
                  <w:vMerge w:val="restart"/>
                  <w:noWrap w:val="0"/>
                  <w:vAlign w:val="center"/>
                </w:tcPr>
                <w:p w14:paraId="57C6F1F1">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441" w:type="pct"/>
                  <w:vMerge w:val="restart"/>
                  <w:shd w:val="clear" w:color="auto" w:fill="auto"/>
                  <w:noWrap w:val="0"/>
                  <w:vAlign w:val="center"/>
                </w:tcPr>
                <w:p w14:paraId="2653B485">
                  <w:pPr>
                    <w:jc w:val="center"/>
                    <w:rPr>
                      <w:rFonts w:hint="default" w:cs="Times New Roman"/>
                      <w:sz w:val="21"/>
                      <w:szCs w:val="21"/>
                      <w:highlight w:val="none"/>
                      <w:lang w:val="en-US" w:eastAsia="zh-CN"/>
                    </w:rPr>
                  </w:pPr>
                  <w:r>
                    <w:rPr>
                      <w:rFonts w:hint="eastAsia" w:cs="Times New Roman"/>
                      <w:sz w:val="21"/>
                      <w:szCs w:val="21"/>
                      <w:highlight w:val="none"/>
                      <w:lang w:val="en-US" w:eastAsia="zh-CN"/>
                    </w:rPr>
                    <w:t>炉体面漆</w:t>
                  </w:r>
                </w:p>
              </w:tc>
              <w:tc>
                <w:tcPr>
                  <w:tcW w:w="617" w:type="pct"/>
                  <w:shd w:val="clear" w:color="auto" w:fill="auto"/>
                  <w:noWrap w:val="0"/>
                  <w:vAlign w:val="center"/>
                </w:tcPr>
                <w:p w14:paraId="32C31949">
                  <w:pPr>
                    <w:jc w:val="center"/>
                    <w:rPr>
                      <w:rFonts w:hint="eastAsia" w:cs="Times New Roman"/>
                      <w:sz w:val="21"/>
                      <w:szCs w:val="21"/>
                      <w:highlight w:val="none"/>
                      <w:lang w:val="en-US" w:eastAsia="zh-CN"/>
                    </w:rPr>
                  </w:pPr>
                  <w:r>
                    <w:rPr>
                      <w:rFonts w:hint="eastAsia" w:cs="Times New Roman" w:eastAsiaTheme="minorEastAsia"/>
                      <w:sz w:val="21"/>
                      <w:szCs w:val="21"/>
                      <w:highlight w:val="none"/>
                      <w:lang w:val="en-US" w:eastAsia="zh-CN"/>
                    </w:rPr>
                    <w:t>醇酸面漆</w:t>
                  </w:r>
                </w:p>
              </w:tc>
              <w:tc>
                <w:tcPr>
                  <w:tcW w:w="414" w:type="pct"/>
                  <w:shd w:val="clear" w:color="auto" w:fill="auto"/>
                  <w:noWrap w:val="0"/>
                  <w:vAlign w:val="center"/>
                </w:tcPr>
                <w:p w14:paraId="405E47B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6F943EB1">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705DB9D6">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1.44</w:t>
                  </w:r>
                </w:p>
              </w:tc>
              <w:tc>
                <w:tcPr>
                  <w:tcW w:w="451" w:type="pct"/>
                  <w:shd w:val="clear" w:color="auto" w:fill="auto"/>
                  <w:noWrap w:val="0"/>
                  <w:vAlign w:val="center"/>
                </w:tcPr>
                <w:p w14:paraId="1259C4D2">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1.44</w:t>
                  </w:r>
                </w:p>
              </w:tc>
              <w:tc>
                <w:tcPr>
                  <w:tcW w:w="451" w:type="pct"/>
                  <w:shd w:val="clear" w:color="auto" w:fill="auto"/>
                  <w:noWrap w:val="0"/>
                  <w:vAlign w:val="center"/>
                </w:tcPr>
                <w:p w14:paraId="3DB30310">
                  <w:pPr>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0.2</w:t>
                  </w:r>
                </w:p>
              </w:tc>
              <w:tc>
                <w:tcPr>
                  <w:tcW w:w="1004" w:type="pct"/>
                  <w:shd w:val="clear" w:color="auto" w:fill="auto"/>
                  <w:noWrap w:val="0"/>
                  <w:vAlign w:val="center"/>
                </w:tcPr>
                <w:p w14:paraId="08E45CE6">
                  <w:pPr>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液态，桶装，10kg/桶</w:t>
                  </w:r>
                </w:p>
              </w:tc>
              <w:tc>
                <w:tcPr>
                  <w:tcW w:w="546" w:type="pct"/>
                  <w:vMerge w:val="restart"/>
                  <w:shd w:val="clear" w:color="auto" w:fill="auto"/>
                  <w:noWrap w:val="0"/>
                  <w:vAlign w:val="center"/>
                </w:tcPr>
                <w:p w14:paraId="3CD084FA">
                  <w:pPr>
                    <w:jc w:val="center"/>
                    <w:rPr>
                      <w:rFonts w:hint="default" w:ascii="Times New Roman" w:hAnsi="Times New Roman" w:cs="Times New Roman"/>
                      <w:sz w:val="21"/>
                      <w:szCs w:val="21"/>
                      <w:highlight w:val="none"/>
                      <w:lang w:val="en-US" w:eastAsia="zh-CN"/>
                    </w:rPr>
                  </w:pPr>
                  <w:r>
                    <w:rPr>
                      <w:rFonts w:hint="eastAsia" w:cs="Times New Roman"/>
                      <w:sz w:val="21"/>
                      <w:szCs w:val="21"/>
                      <w:lang w:val="en-US" w:eastAsia="zh-CN"/>
                    </w:rPr>
                    <w:t>漆：稀释剂：固化剂按照4:1:1调配使用，喷枪清洗使用稀释剂</w:t>
                  </w:r>
                </w:p>
              </w:tc>
            </w:tr>
            <w:tr w14:paraId="076F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6" w:hRule="atLeast"/>
                <w:jc w:val="center"/>
              </w:trPr>
              <w:tc>
                <w:tcPr>
                  <w:tcW w:w="206" w:type="pct"/>
                  <w:vMerge w:val="continue"/>
                  <w:noWrap w:val="0"/>
                  <w:vAlign w:val="center"/>
                </w:tcPr>
                <w:p w14:paraId="7EA0392E">
                  <w:pPr>
                    <w:jc w:val="center"/>
                  </w:pPr>
                </w:p>
              </w:tc>
              <w:tc>
                <w:tcPr>
                  <w:tcW w:w="441" w:type="pct"/>
                  <w:vMerge w:val="continue"/>
                  <w:shd w:val="clear" w:color="auto" w:fill="auto"/>
                  <w:noWrap w:val="0"/>
                  <w:vAlign w:val="center"/>
                </w:tcPr>
                <w:p w14:paraId="6D18E6C1">
                  <w:pPr>
                    <w:jc w:val="center"/>
                  </w:pPr>
                </w:p>
              </w:tc>
              <w:tc>
                <w:tcPr>
                  <w:tcW w:w="617" w:type="pct"/>
                  <w:shd w:val="clear" w:color="auto" w:fill="auto"/>
                  <w:noWrap w:val="0"/>
                  <w:vAlign w:val="center"/>
                </w:tcPr>
                <w:p w14:paraId="05A120CE">
                  <w:pPr>
                    <w:jc w:val="center"/>
                    <w:rPr>
                      <w:rFonts w:hint="default" w:cs="Times New Roman"/>
                      <w:sz w:val="21"/>
                      <w:szCs w:val="21"/>
                      <w:highlight w:val="none"/>
                      <w:lang w:val="en-US" w:eastAsia="zh-CN"/>
                    </w:rPr>
                  </w:pPr>
                  <w:r>
                    <w:rPr>
                      <w:rFonts w:hint="eastAsia" w:cs="Times New Roman"/>
                      <w:sz w:val="21"/>
                      <w:szCs w:val="21"/>
                      <w:highlight w:val="none"/>
                      <w:lang w:val="en-US" w:eastAsia="zh-CN"/>
                    </w:rPr>
                    <w:t>稀释剂</w:t>
                  </w:r>
                </w:p>
              </w:tc>
              <w:tc>
                <w:tcPr>
                  <w:tcW w:w="414" w:type="pct"/>
                  <w:shd w:val="clear" w:color="auto" w:fill="auto"/>
                  <w:noWrap w:val="0"/>
                  <w:vAlign w:val="center"/>
                </w:tcPr>
                <w:p w14:paraId="42DEA5D0">
                  <w:pPr>
                    <w:jc w:val="center"/>
                    <w:rPr>
                      <w:rFonts w:hint="eastAsia" w:cs="Times New Roman"/>
                      <w:sz w:val="21"/>
                      <w:szCs w:val="21"/>
                      <w:highlight w:val="none"/>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24661538">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637FDDCA">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0.39</w:t>
                  </w:r>
                </w:p>
              </w:tc>
              <w:tc>
                <w:tcPr>
                  <w:tcW w:w="451" w:type="pct"/>
                  <w:shd w:val="clear" w:color="auto" w:fill="auto"/>
                  <w:noWrap w:val="0"/>
                  <w:vAlign w:val="center"/>
                </w:tcPr>
                <w:p w14:paraId="3985F8F8">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0.39</w:t>
                  </w:r>
                </w:p>
              </w:tc>
              <w:tc>
                <w:tcPr>
                  <w:tcW w:w="451" w:type="pct"/>
                  <w:shd w:val="clear" w:color="auto" w:fill="auto"/>
                  <w:noWrap w:val="0"/>
                  <w:vAlign w:val="center"/>
                </w:tcPr>
                <w:p w14:paraId="29864145">
                  <w:pPr>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0.1</w:t>
                  </w:r>
                </w:p>
              </w:tc>
              <w:tc>
                <w:tcPr>
                  <w:tcW w:w="1004" w:type="pct"/>
                  <w:shd w:val="clear" w:color="auto" w:fill="auto"/>
                  <w:noWrap w:val="0"/>
                  <w:vAlign w:val="center"/>
                </w:tcPr>
                <w:p w14:paraId="75B55FB2">
                  <w:pPr>
                    <w:jc w:val="center"/>
                    <w:rPr>
                      <w:rFonts w:hint="eastAsia" w:cs="Times New Roman"/>
                      <w:sz w:val="21"/>
                      <w:szCs w:val="21"/>
                      <w:highlight w:val="none"/>
                      <w:lang w:val="en-US" w:eastAsia="zh-CN"/>
                    </w:rPr>
                  </w:pPr>
                  <w:r>
                    <w:rPr>
                      <w:rFonts w:hint="default" w:ascii="Times New Roman" w:hAnsi="Times New Roman" w:eastAsia="宋体" w:cs="Times New Roman"/>
                      <w:sz w:val="21"/>
                      <w:szCs w:val="21"/>
                      <w:lang w:val="en-US" w:eastAsia="zh-CN"/>
                    </w:rPr>
                    <w:t>液态，桶装，10kg/桶</w:t>
                  </w:r>
                </w:p>
              </w:tc>
              <w:tc>
                <w:tcPr>
                  <w:tcW w:w="546" w:type="pct"/>
                  <w:vMerge w:val="continue"/>
                  <w:shd w:val="clear" w:color="auto" w:fill="auto"/>
                  <w:noWrap w:val="0"/>
                  <w:vAlign w:val="center"/>
                </w:tcPr>
                <w:p w14:paraId="06FA24AE">
                  <w:pPr>
                    <w:jc w:val="center"/>
                    <w:rPr>
                      <w:rFonts w:hint="eastAsia" w:cs="Times New Roman"/>
                      <w:sz w:val="21"/>
                      <w:szCs w:val="21"/>
                      <w:highlight w:val="none"/>
                      <w:lang w:val="en-US" w:eastAsia="zh-CN"/>
                    </w:rPr>
                  </w:pPr>
                </w:p>
              </w:tc>
            </w:tr>
            <w:tr w14:paraId="1108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6" w:hRule="atLeast"/>
                <w:jc w:val="center"/>
              </w:trPr>
              <w:tc>
                <w:tcPr>
                  <w:tcW w:w="206" w:type="pct"/>
                  <w:vMerge w:val="continue"/>
                  <w:noWrap w:val="0"/>
                  <w:vAlign w:val="center"/>
                </w:tcPr>
                <w:p w14:paraId="3E917251">
                  <w:pPr>
                    <w:jc w:val="center"/>
                    <w:rPr>
                      <w:rFonts w:hint="eastAsia" w:cs="Times New Roman"/>
                      <w:sz w:val="21"/>
                      <w:szCs w:val="21"/>
                      <w:highlight w:val="none"/>
                      <w:lang w:val="en-US" w:eastAsia="zh-CN"/>
                    </w:rPr>
                  </w:pPr>
                </w:p>
              </w:tc>
              <w:tc>
                <w:tcPr>
                  <w:tcW w:w="441" w:type="pct"/>
                  <w:vMerge w:val="continue"/>
                  <w:shd w:val="clear" w:color="auto" w:fill="auto"/>
                  <w:noWrap w:val="0"/>
                  <w:vAlign w:val="center"/>
                </w:tcPr>
                <w:p w14:paraId="1E9D30B0">
                  <w:pPr>
                    <w:jc w:val="center"/>
                    <w:rPr>
                      <w:rFonts w:hint="eastAsia" w:cs="Times New Roman"/>
                      <w:sz w:val="21"/>
                      <w:szCs w:val="21"/>
                      <w:highlight w:val="none"/>
                      <w:lang w:val="en-US" w:eastAsia="zh-CN"/>
                    </w:rPr>
                  </w:pPr>
                </w:p>
              </w:tc>
              <w:tc>
                <w:tcPr>
                  <w:tcW w:w="617" w:type="pct"/>
                  <w:shd w:val="clear" w:color="auto" w:fill="auto"/>
                  <w:noWrap w:val="0"/>
                  <w:vAlign w:val="center"/>
                </w:tcPr>
                <w:p w14:paraId="381BB2C8">
                  <w:pPr>
                    <w:jc w:val="center"/>
                    <w:rPr>
                      <w:rFonts w:hint="default" w:cs="Times New Roman"/>
                      <w:sz w:val="21"/>
                      <w:szCs w:val="21"/>
                      <w:highlight w:val="none"/>
                      <w:lang w:val="en-US" w:eastAsia="zh-CN"/>
                    </w:rPr>
                  </w:pPr>
                  <w:r>
                    <w:rPr>
                      <w:rFonts w:hint="eastAsia" w:cs="Times New Roman"/>
                      <w:sz w:val="21"/>
                      <w:szCs w:val="21"/>
                      <w:highlight w:val="none"/>
                      <w:lang w:val="en-US" w:eastAsia="zh-CN"/>
                    </w:rPr>
                    <w:t>固化剂</w:t>
                  </w:r>
                </w:p>
              </w:tc>
              <w:tc>
                <w:tcPr>
                  <w:tcW w:w="414" w:type="pct"/>
                  <w:shd w:val="clear" w:color="auto" w:fill="auto"/>
                  <w:noWrap w:val="0"/>
                  <w:vAlign w:val="center"/>
                </w:tcPr>
                <w:p w14:paraId="705DD660">
                  <w:pPr>
                    <w:jc w:val="center"/>
                    <w:rPr>
                      <w:rFonts w:hint="eastAsia" w:cs="Times New Roman"/>
                      <w:sz w:val="21"/>
                      <w:szCs w:val="21"/>
                      <w:highlight w:val="none"/>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42B4E253">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2A4DF42F">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0.36</w:t>
                  </w:r>
                </w:p>
              </w:tc>
              <w:tc>
                <w:tcPr>
                  <w:tcW w:w="451" w:type="pct"/>
                  <w:shd w:val="clear" w:color="auto" w:fill="auto"/>
                  <w:noWrap w:val="0"/>
                  <w:vAlign w:val="center"/>
                </w:tcPr>
                <w:p w14:paraId="36296D95">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0.36</w:t>
                  </w:r>
                </w:p>
              </w:tc>
              <w:tc>
                <w:tcPr>
                  <w:tcW w:w="451" w:type="pct"/>
                  <w:shd w:val="clear" w:color="auto" w:fill="auto"/>
                  <w:noWrap w:val="0"/>
                  <w:vAlign w:val="center"/>
                </w:tcPr>
                <w:p w14:paraId="3070618A">
                  <w:pPr>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0.1</w:t>
                  </w:r>
                </w:p>
              </w:tc>
              <w:tc>
                <w:tcPr>
                  <w:tcW w:w="1004" w:type="pct"/>
                  <w:shd w:val="clear" w:color="auto" w:fill="auto"/>
                  <w:noWrap w:val="0"/>
                  <w:vAlign w:val="center"/>
                </w:tcPr>
                <w:p w14:paraId="1EB8CEF8">
                  <w:pPr>
                    <w:jc w:val="center"/>
                    <w:rPr>
                      <w:rFonts w:hint="eastAsia" w:cs="Times New Roman"/>
                      <w:sz w:val="21"/>
                      <w:szCs w:val="21"/>
                      <w:highlight w:val="none"/>
                      <w:lang w:val="en-US" w:eastAsia="zh-CN"/>
                    </w:rPr>
                  </w:pPr>
                  <w:r>
                    <w:rPr>
                      <w:rFonts w:hint="default" w:ascii="Times New Roman" w:hAnsi="Times New Roman" w:eastAsia="宋体" w:cs="Times New Roman"/>
                      <w:sz w:val="21"/>
                      <w:szCs w:val="21"/>
                      <w:lang w:val="en-US" w:eastAsia="zh-CN"/>
                    </w:rPr>
                    <w:t>液态，桶装，10kg/桶</w:t>
                  </w:r>
                </w:p>
              </w:tc>
              <w:tc>
                <w:tcPr>
                  <w:tcW w:w="546" w:type="pct"/>
                  <w:vMerge w:val="continue"/>
                  <w:shd w:val="clear" w:color="auto" w:fill="auto"/>
                  <w:noWrap w:val="0"/>
                  <w:vAlign w:val="center"/>
                </w:tcPr>
                <w:p w14:paraId="70C56D7A">
                  <w:pPr>
                    <w:jc w:val="center"/>
                    <w:rPr>
                      <w:rFonts w:hint="eastAsia" w:cs="Times New Roman"/>
                      <w:sz w:val="21"/>
                      <w:szCs w:val="21"/>
                      <w:highlight w:val="none"/>
                      <w:lang w:val="en-US" w:eastAsia="zh-CN"/>
                    </w:rPr>
                  </w:pPr>
                </w:p>
              </w:tc>
            </w:tr>
            <w:tr w14:paraId="1D85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6" w:hRule="atLeast"/>
                <w:jc w:val="center"/>
              </w:trPr>
              <w:tc>
                <w:tcPr>
                  <w:tcW w:w="206" w:type="pct"/>
                  <w:vMerge w:val="restart"/>
                  <w:noWrap w:val="0"/>
                  <w:vAlign w:val="center"/>
                </w:tcPr>
                <w:p w14:paraId="5F605B80">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441" w:type="pct"/>
                  <w:vMerge w:val="restart"/>
                  <w:shd w:val="clear" w:color="auto" w:fill="auto"/>
                  <w:noWrap w:val="0"/>
                  <w:vAlign w:val="center"/>
                </w:tcPr>
                <w:p w14:paraId="3B52D13C">
                  <w:pPr>
                    <w:jc w:val="center"/>
                    <w:rPr>
                      <w:rFonts w:hint="eastAsia" w:cs="Times New Roman"/>
                      <w:sz w:val="21"/>
                      <w:szCs w:val="21"/>
                      <w:highlight w:val="none"/>
                      <w:lang w:val="en-US" w:eastAsia="zh-CN"/>
                    </w:rPr>
                  </w:pPr>
                  <w:r>
                    <w:rPr>
                      <w:rFonts w:hint="eastAsia" w:cs="Times New Roman"/>
                      <w:sz w:val="21"/>
                      <w:szCs w:val="21"/>
                      <w:lang w:val="en-US" w:eastAsia="zh-CN"/>
                    </w:rPr>
                    <w:t>柜体面漆</w:t>
                  </w:r>
                </w:p>
              </w:tc>
              <w:tc>
                <w:tcPr>
                  <w:tcW w:w="617" w:type="pct"/>
                  <w:shd w:val="clear" w:color="auto" w:fill="auto"/>
                  <w:noWrap w:val="0"/>
                  <w:vAlign w:val="center"/>
                </w:tcPr>
                <w:p w14:paraId="164B8CC0">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eastAsiaTheme="minorEastAsia"/>
                      <w:sz w:val="21"/>
                      <w:szCs w:val="21"/>
                      <w:lang w:val="en-US" w:eastAsia="zh-CN"/>
                    </w:rPr>
                    <w:t>丙烯酸</w:t>
                  </w:r>
                  <w:r>
                    <w:rPr>
                      <w:rFonts w:hint="eastAsia" w:cs="Times New Roman" w:eastAsiaTheme="minorEastAsia"/>
                      <w:sz w:val="21"/>
                      <w:szCs w:val="21"/>
                      <w:lang w:val="en-US" w:eastAsia="zh-CN"/>
                    </w:rPr>
                    <w:t>聚氨酯树脂涂料</w:t>
                  </w:r>
                </w:p>
              </w:tc>
              <w:tc>
                <w:tcPr>
                  <w:tcW w:w="414" w:type="pct"/>
                  <w:shd w:val="clear" w:color="auto" w:fill="auto"/>
                  <w:noWrap w:val="0"/>
                  <w:vAlign w:val="center"/>
                </w:tcPr>
                <w:p w14:paraId="78DE302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615306BE">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3B5EF33D">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0.58</w:t>
                  </w:r>
                </w:p>
              </w:tc>
              <w:tc>
                <w:tcPr>
                  <w:tcW w:w="451" w:type="pct"/>
                  <w:shd w:val="clear" w:color="auto" w:fill="auto"/>
                  <w:noWrap w:val="0"/>
                  <w:vAlign w:val="center"/>
                </w:tcPr>
                <w:p w14:paraId="00CB36D7">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0.58</w:t>
                  </w:r>
                </w:p>
              </w:tc>
              <w:tc>
                <w:tcPr>
                  <w:tcW w:w="451" w:type="pct"/>
                  <w:shd w:val="clear" w:color="auto" w:fill="auto"/>
                  <w:noWrap w:val="0"/>
                  <w:vAlign w:val="center"/>
                </w:tcPr>
                <w:p w14:paraId="41EC42D3">
                  <w:pPr>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0.04</w:t>
                  </w:r>
                </w:p>
              </w:tc>
              <w:tc>
                <w:tcPr>
                  <w:tcW w:w="1004" w:type="pct"/>
                  <w:shd w:val="clear" w:color="auto" w:fill="auto"/>
                  <w:noWrap w:val="0"/>
                  <w:vAlign w:val="center"/>
                </w:tcPr>
                <w:p w14:paraId="5E133689">
                  <w:pPr>
                    <w:jc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sz w:val="21"/>
                      <w:szCs w:val="21"/>
                      <w:lang w:val="en-US" w:eastAsia="zh-CN"/>
                    </w:rPr>
                    <w:t>液态，桶装，10kg/桶</w:t>
                  </w:r>
                </w:p>
              </w:tc>
              <w:tc>
                <w:tcPr>
                  <w:tcW w:w="546" w:type="pct"/>
                  <w:vMerge w:val="continue"/>
                  <w:shd w:val="clear" w:color="auto" w:fill="auto"/>
                  <w:noWrap w:val="0"/>
                  <w:vAlign w:val="center"/>
                </w:tcPr>
                <w:p w14:paraId="69AE954D">
                  <w:pPr>
                    <w:jc w:val="center"/>
                    <w:rPr>
                      <w:rFonts w:hint="default" w:ascii="Times New Roman" w:hAnsi="Times New Roman" w:cs="Times New Roman"/>
                      <w:sz w:val="21"/>
                      <w:szCs w:val="21"/>
                      <w:highlight w:val="none"/>
                      <w:lang w:val="en-US" w:eastAsia="zh-CN"/>
                    </w:rPr>
                  </w:pPr>
                </w:p>
              </w:tc>
            </w:tr>
            <w:tr w14:paraId="7202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6" w:hRule="atLeast"/>
                <w:jc w:val="center"/>
              </w:trPr>
              <w:tc>
                <w:tcPr>
                  <w:tcW w:w="206" w:type="pct"/>
                  <w:vMerge w:val="continue"/>
                  <w:noWrap w:val="0"/>
                  <w:vAlign w:val="center"/>
                </w:tcPr>
                <w:p w14:paraId="64DC7F2C">
                  <w:pPr>
                    <w:jc w:val="center"/>
                  </w:pPr>
                </w:p>
              </w:tc>
              <w:tc>
                <w:tcPr>
                  <w:tcW w:w="441" w:type="pct"/>
                  <w:vMerge w:val="continue"/>
                  <w:shd w:val="clear" w:color="auto" w:fill="auto"/>
                  <w:noWrap w:val="0"/>
                  <w:vAlign w:val="center"/>
                </w:tcPr>
                <w:p w14:paraId="136DA84A">
                  <w:pPr>
                    <w:jc w:val="center"/>
                    <w:rPr>
                      <w:rFonts w:hint="eastAsia" w:cs="Times New Roman"/>
                      <w:sz w:val="21"/>
                      <w:szCs w:val="21"/>
                      <w:highlight w:val="none"/>
                      <w:lang w:val="en-US" w:eastAsia="zh-CN"/>
                    </w:rPr>
                  </w:pPr>
                </w:p>
              </w:tc>
              <w:tc>
                <w:tcPr>
                  <w:tcW w:w="617" w:type="pct"/>
                  <w:shd w:val="clear" w:color="auto" w:fill="auto"/>
                  <w:noWrap w:val="0"/>
                  <w:vAlign w:val="center"/>
                </w:tcPr>
                <w:p w14:paraId="146DDFE4">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稀释剂</w:t>
                  </w:r>
                </w:p>
              </w:tc>
              <w:tc>
                <w:tcPr>
                  <w:tcW w:w="414" w:type="pct"/>
                  <w:shd w:val="clear" w:color="auto" w:fill="auto"/>
                  <w:noWrap w:val="0"/>
                  <w:vAlign w:val="center"/>
                </w:tcPr>
                <w:p w14:paraId="442D12B3">
                  <w:pPr>
                    <w:jc w:val="center"/>
                    <w:rPr>
                      <w:rFonts w:hint="eastAsia" w:cs="Times New Roman"/>
                      <w:sz w:val="21"/>
                      <w:szCs w:val="21"/>
                      <w:highlight w:val="none"/>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5D6899D5">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239817E3">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0.175</w:t>
                  </w:r>
                </w:p>
              </w:tc>
              <w:tc>
                <w:tcPr>
                  <w:tcW w:w="451" w:type="pct"/>
                  <w:shd w:val="clear" w:color="auto" w:fill="auto"/>
                  <w:noWrap w:val="0"/>
                  <w:vAlign w:val="center"/>
                </w:tcPr>
                <w:p w14:paraId="0D62447F">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0.175</w:t>
                  </w:r>
                </w:p>
              </w:tc>
              <w:tc>
                <w:tcPr>
                  <w:tcW w:w="451" w:type="pct"/>
                  <w:shd w:val="clear" w:color="auto" w:fill="auto"/>
                  <w:noWrap w:val="0"/>
                  <w:vAlign w:val="center"/>
                </w:tcPr>
                <w:p w14:paraId="79B88EF6">
                  <w:pPr>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0.05</w:t>
                  </w:r>
                </w:p>
              </w:tc>
              <w:tc>
                <w:tcPr>
                  <w:tcW w:w="1004" w:type="pct"/>
                  <w:shd w:val="clear" w:color="auto" w:fill="auto"/>
                  <w:noWrap w:val="0"/>
                  <w:vAlign w:val="center"/>
                </w:tcPr>
                <w:p w14:paraId="27870445">
                  <w:pPr>
                    <w:jc w:val="center"/>
                    <w:rPr>
                      <w:rFonts w:hint="eastAsia" w:cs="Times New Roman"/>
                      <w:sz w:val="21"/>
                      <w:szCs w:val="21"/>
                      <w:highlight w:val="none"/>
                      <w:lang w:val="en-US" w:eastAsia="zh-CN"/>
                    </w:rPr>
                  </w:pPr>
                  <w:r>
                    <w:rPr>
                      <w:rFonts w:hint="default" w:ascii="Times New Roman" w:hAnsi="Times New Roman" w:eastAsia="宋体" w:cs="Times New Roman"/>
                      <w:sz w:val="21"/>
                      <w:szCs w:val="21"/>
                      <w:lang w:val="en-US" w:eastAsia="zh-CN"/>
                    </w:rPr>
                    <w:t>液态，桶装，10kg/桶</w:t>
                  </w:r>
                </w:p>
              </w:tc>
              <w:tc>
                <w:tcPr>
                  <w:tcW w:w="546" w:type="pct"/>
                  <w:vMerge w:val="continue"/>
                  <w:shd w:val="clear" w:color="auto" w:fill="auto"/>
                  <w:noWrap w:val="0"/>
                  <w:vAlign w:val="center"/>
                </w:tcPr>
                <w:p w14:paraId="2BD922A3">
                  <w:pPr>
                    <w:jc w:val="center"/>
                    <w:rPr>
                      <w:rFonts w:hint="eastAsia" w:cs="Times New Roman"/>
                      <w:sz w:val="21"/>
                      <w:szCs w:val="21"/>
                      <w:highlight w:val="none"/>
                      <w:lang w:val="en-US" w:eastAsia="zh-CN"/>
                    </w:rPr>
                  </w:pPr>
                </w:p>
              </w:tc>
            </w:tr>
            <w:tr w14:paraId="5ACD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86" w:hRule="atLeast"/>
                <w:jc w:val="center"/>
              </w:trPr>
              <w:tc>
                <w:tcPr>
                  <w:tcW w:w="206" w:type="pct"/>
                  <w:vMerge w:val="continue"/>
                  <w:noWrap w:val="0"/>
                  <w:vAlign w:val="center"/>
                </w:tcPr>
                <w:p w14:paraId="1FD2F5EF">
                  <w:pPr>
                    <w:jc w:val="center"/>
                    <w:rPr>
                      <w:rFonts w:hint="eastAsia" w:cs="Times New Roman"/>
                      <w:sz w:val="21"/>
                      <w:szCs w:val="21"/>
                      <w:highlight w:val="none"/>
                      <w:lang w:val="en-US" w:eastAsia="zh-CN"/>
                    </w:rPr>
                  </w:pPr>
                </w:p>
              </w:tc>
              <w:tc>
                <w:tcPr>
                  <w:tcW w:w="441" w:type="pct"/>
                  <w:vMerge w:val="continue"/>
                  <w:shd w:val="clear" w:color="auto" w:fill="auto"/>
                  <w:noWrap w:val="0"/>
                  <w:vAlign w:val="center"/>
                </w:tcPr>
                <w:p w14:paraId="5FF24F3E">
                  <w:pPr>
                    <w:jc w:val="center"/>
                    <w:rPr>
                      <w:rFonts w:hint="eastAsia" w:cs="Times New Roman"/>
                      <w:sz w:val="21"/>
                      <w:szCs w:val="21"/>
                      <w:highlight w:val="none"/>
                      <w:lang w:val="en-US" w:eastAsia="zh-CN"/>
                    </w:rPr>
                  </w:pPr>
                </w:p>
              </w:tc>
              <w:tc>
                <w:tcPr>
                  <w:tcW w:w="617" w:type="pct"/>
                  <w:shd w:val="clear" w:color="auto" w:fill="auto"/>
                  <w:noWrap w:val="0"/>
                  <w:vAlign w:val="center"/>
                </w:tcPr>
                <w:p w14:paraId="79CF220A">
                  <w:pPr>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固化剂</w:t>
                  </w:r>
                </w:p>
              </w:tc>
              <w:tc>
                <w:tcPr>
                  <w:tcW w:w="414" w:type="pct"/>
                  <w:shd w:val="clear" w:color="auto" w:fill="auto"/>
                  <w:noWrap w:val="0"/>
                  <w:vAlign w:val="center"/>
                </w:tcPr>
                <w:p w14:paraId="530EEF18">
                  <w:pPr>
                    <w:jc w:val="center"/>
                    <w:rPr>
                      <w:rFonts w:hint="eastAsia" w:cs="Times New Roman"/>
                      <w:sz w:val="21"/>
                      <w:szCs w:val="21"/>
                      <w:highlight w:val="none"/>
                      <w:lang w:val="en-US" w:eastAsia="zh-CN"/>
                    </w:rPr>
                  </w:pPr>
                  <w:r>
                    <w:rPr>
                      <w:rFonts w:hint="default" w:ascii="Times New Roman" w:hAnsi="Times New Roman" w:cs="Times New Roman"/>
                      <w:color w:val="auto"/>
                      <w:sz w:val="21"/>
                      <w:szCs w:val="21"/>
                      <w:lang w:val="en-US" w:eastAsia="zh-CN"/>
                    </w:rPr>
                    <w:t>t/a</w:t>
                  </w:r>
                </w:p>
              </w:tc>
              <w:tc>
                <w:tcPr>
                  <w:tcW w:w="433" w:type="pct"/>
                  <w:shd w:val="clear" w:color="auto" w:fill="auto"/>
                  <w:noWrap w:val="0"/>
                  <w:vAlign w:val="center"/>
                </w:tcPr>
                <w:p w14:paraId="510266D4">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lang w:val="en-US" w:eastAsia="zh-CN"/>
                    </w:rPr>
                    <w:t>/</w:t>
                  </w:r>
                </w:p>
              </w:tc>
              <w:tc>
                <w:tcPr>
                  <w:tcW w:w="433" w:type="pct"/>
                  <w:shd w:val="clear" w:color="auto" w:fill="auto"/>
                  <w:noWrap w:val="0"/>
                  <w:vAlign w:val="center"/>
                </w:tcPr>
                <w:p w14:paraId="064E5748">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0.145</w:t>
                  </w:r>
                </w:p>
              </w:tc>
              <w:tc>
                <w:tcPr>
                  <w:tcW w:w="451" w:type="pct"/>
                  <w:shd w:val="clear" w:color="auto" w:fill="auto"/>
                  <w:noWrap w:val="0"/>
                  <w:vAlign w:val="center"/>
                </w:tcPr>
                <w:p w14:paraId="49EA8E22">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0.145</w:t>
                  </w:r>
                </w:p>
              </w:tc>
              <w:tc>
                <w:tcPr>
                  <w:tcW w:w="451" w:type="pct"/>
                  <w:shd w:val="clear" w:color="auto" w:fill="auto"/>
                  <w:noWrap w:val="0"/>
                  <w:vAlign w:val="center"/>
                </w:tcPr>
                <w:p w14:paraId="32909654">
                  <w:pPr>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0.05</w:t>
                  </w:r>
                </w:p>
              </w:tc>
              <w:tc>
                <w:tcPr>
                  <w:tcW w:w="1004" w:type="pct"/>
                  <w:shd w:val="clear" w:color="auto" w:fill="auto"/>
                  <w:noWrap w:val="0"/>
                  <w:vAlign w:val="center"/>
                </w:tcPr>
                <w:p w14:paraId="579DFA90">
                  <w:pPr>
                    <w:jc w:val="center"/>
                    <w:rPr>
                      <w:rFonts w:hint="eastAsia" w:cs="Times New Roman"/>
                      <w:sz w:val="21"/>
                      <w:szCs w:val="21"/>
                      <w:highlight w:val="none"/>
                      <w:lang w:val="en-US" w:eastAsia="zh-CN"/>
                    </w:rPr>
                  </w:pPr>
                  <w:r>
                    <w:rPr>
                      <w:rFonts w:hint="default" w:ascii="Times New Roman" w:hAnsi="Times New Roman" w:eastAsia="宋体" w:cs="Times New Roman"/>
                      <w:sz w:val="21"/>
                      <w:szCs w:val="21"/>
                      <w:lang w:val="en-US" w:eastAsia="zh-CN"/>
                    </w:rPr>
                    <w:t>液态，桶装，10kg/桶</w:t>
                  </w:r>
                </w:p>
              </w:tc>
              <w:tc>
                <w:tcPr>
                  <w:tcW w:w="546" w:type="pct"/>
                  <w:vMerge w:val="continue"/>
                  <w:shd w:val="clear" w:color="auto" w:fill="auto"/>
                  <w:noWrap w:val="0"/>
                  <w:vAlign w:val="center"/>
                </w:tcPr>
                <w:p w14:paraId="70209EE8">
                  <w:pPr>
                    <w:jc w:val="center"/>
                    <w:rPr>
                      <w:rFonts w:hint="eastAsia" w:cs="Times New Roman"/>
                      <w:sz w:val="21"/>
                      <w:szCs w:val="21"/>
                      <w:highlight w:val="none"/>
                      <w:lang w:val="en-US" w:eastAsia="zh-CN"/>
                    </w:rPr>
                  </w:pPr>
                </w:p>
              </w:tc>
            </w:tr>
            <w:tr w14:paraId="342C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303A485F">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74D8FD07">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封装料A</w:t>
                  </w:r>
                </w:p>
              </w:tc>
              <w:tc>
                <w:tcPr>
                  <w:tcW w:w="414" w:type="pct"/>
                  <w:shd w:val="clear" w:color="auto" w:fill="auto"/>
                  <w:noWrap w:val="0"/>
                  <w:vAlign w:val="center"/>
                </w:tcPr>
                <w:p w14:paraId="4B1C3F51">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433" w:type="pct"/>
                  <w:shd w:val="clear" w:color="auto" w:fill="auto"/>
                  <w:noWrap w:val="0"/>
                  <w:vAlign w:val="center"/>
                </w:tcPr>
                <w:p w14:paraId="23C66A1D">
                  <w:pPr>
                    <w:spacing w:line="240" w:lineRule="auto"/>
                    <w:ind w:firstLine="0" w:firstLineChars="0"/>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433" w:type="pct"/>
                  <w:shd w:val="clear" w:color="auto" w:fill="auto"/>
                  <w:noWrap w:val="0"/>
                  <w:vAlign w:val="center"/>
                </w:tcPr>
                <w:p w14:paraId="66F4A0E7">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1.948</w:t>
                  </w:r>
                </w:p>
              </w:tc>
              <w:tc>
                <w:tcPr>
                  <w:tcW w:w="451" w:type="pct"/>
                  <w:shd w:val="clear" w:color="auto" w:fill="auto"/>
                  <w:noWrap w:val="0"/>
                  <w:vAlign w:val="center"/>
                </w:tcPr>
                <w:p w14:paraId="7D9D588F">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1.948</w:t>
                  </w:r>
                </w:p>
              </w:tc>
              <w:tc>
                <w:tcPr>
                  <w:tcW w:w="451" w:type="pct"/>
                  <w:shd w:val="clear" w:color="auto" w:fill="auto"/>
                  <w:noWrap w:val="0"/>
                  <w:vAlign w:val="center"/>
                </w:tcPr>
                <w:p w14:paraId="31D4AE8D">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w:t>
                  </w:r>
                </w:p>
              </w:tc>
              <w:tc>
                <w:tcPr>
                  <w:tcW w:w="1004" w:type="pct"/>
                  <w:shd w:val="clear" w:color="auto" w:fill="auto"/>
                  <w:noWrap w:val="0"/>
                  <w:vAlign w:val="center"/>
                </w:tcPr>
                <w:p w14:paraId="711E4936">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液态，桶装，</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0</w:t>
                  </w:r>
                  <w:r>
                    <w:rPr>
                      <w:rFonts w:hint="default" w:ascii="Times New Roman" w:hAnsi="Times New Roman" w:eastAsia="宋体" w:cs="Times New Roman"/>
                      <w:color w:val="auto"/>
                      <w:kern w:val="2"/>
                      <w:sz w:val="21"/>
                      <w:szCs w:val="21"/>
                      <w:lang w:val="en-US" w:eastAsia="zh-CN" w:bidi="ar-SA"/>
                    </w:rPr>
                    <w:t>kg/桶</w:t>
                  </w:r>
                </w:p>
              </w:tc>
              <w:tc>
                <w:tcPr>
                  <w:tcW w:w="546" w:type="pct"/>
                  <w:vMerge w:val="restart"/>
                  <w:shd w:val="clear" w:color="auto" w:fill="auto"/>
                  <w:noWrap w:val="0"/>
                  <w:vAlign w:val="center"/>
                </w:tcPr>
                <w:p w14:paraId="44831FD0">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1:1混合使用，用于浇注固化工序</w:t>
                  </w:r>
                </w:p>
              </w:tc>
            </w:tr>
            <w:tr w14:paraId="3FAE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68FE31AC">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6CAE1AAE">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封装料B</w:t>
                  </w:r>
                </w:p>
              </w:tc>
              <w:tc>
                <w:tcPr>
                  <w:tcW w:w="414" w:type="pct"/>
                  <w:shd w:val="clear" w:color="auto" w:fill="auto"/>
                  <w:noWrap w:val="0"/>
                  <w:vAlign w:val="center"/>
                </w:tcPr>
                <w:p w14:paraId="0DC637D6">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433" w:type="pct"/>
                  <w:shd w:val="clear" w:color="auto" w:fill="auto"/>
                  <w:noWrap w:val="0"/>
                  <w:vAlign w:val="center"/>
                </w:tcPr>
                <w:p w14:paraId="7DA418A8">
                  <w:pPr>
                    <w:spacing w:line="240" w:lineRule="auto"/>
                    <w:ind w:firstLine="0" w:firstLineChars="0"/>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433" w:type="pct"/>
                  <w:shd w:val="clear" w:color="auto" w:fill="auto"/>
                  <w:noWrap w:val="0"/>
                  <w:vAlign w:val="center"/>
                </w:tcPr>
                <w:p w14:paraId="70E8BE66">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1.948</w:t>
                  </w:r>
                </w:p>
              </w:tc>
              <w:tc>
                <w:tcPr>
                  <w:tcW w:w="451" w:type="pct"/>
                  <w:shd w:val="clear" w:color="auto" w:fill="auto"/>
                  <w:noWrap w:val="0"/>
                  <w:vAlign w:val="center"/>
                </w:tcPr>
                <w:p w14:paraId="352E56CC">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1.948</w:t>
                  </w:r>
                </w:p>
              </w:tc>
              <w:tc>
                <w:tcPr>
                  <w:tcW w:w="451" w:type="pct"/>
                  <w:shd w:val="clear" w:color="auto" w:fill="auto"/>
                  <w:noWrap w:val="0"/>
                  <w:vAlign w:val="center"/>
                </w:tcPr>
                <w:p w14:paraId="2267111B">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w:t>
                  </w:r>
                </w:p>
              </w:tc>
              <w:tc>
                <w:tcPr>
                  <w:tcW w:w="1004" w:type="pct"/>
                  <w:shd w:val="clear" w:color="auto" w:fill="auto"/>
                  <w:noWrap w:val="0"/>
                  <w:vAlign w:val="center"/>
                </w:tcPr>
                <w:p w14:paraId="11B20BF0">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液态，桶装，</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0</w:t>
                  </w:r>
                  <w:r>
                    <w:rPr>
                      <w:rFonts w:hint="default" w:ascii="Times New Roman" w:hAnsi="Times New Roman" w:eastAsia="宋体" w:cs="Times New Roman"/>
                      <w:color w:val="auto"/>
                      <w:kern w:val="2"/>
                      <w:sz w:val="21"/>
                      <w:szCs w:val="21"/>
                      <w:lang w:val="en-US" w:eastAsia="zh-CN" w:bidi="ar-SA"/>
                    </w:rPr>
                    <w:t>kg/桶</w:t>
                  </w:r>
                </w:p>
              </w:tc>
              <w:tc>
                <w:tcPr>
                  <w:tcW w:w="546" w:type="pct"/>
                  <w:vMerge w:val="continue"/>
                  <w:shd w:val="clear" w:color="auto" w:fill="auto"/>
                  <w:noWrap w:val="0"/>
                  <w:vAlign w:val="center"/>
                </w:tcPr>
                <w:p w14:paraId="7718A66A">
                  <w:pPr>
                    <w:jc w:val="center"/>
                    <w:rPr>
                      <w:rFonts w:hint="default" w:ascii="Times New Roman" w:hAnsi="Times New Roman" w:cs="Times New Roman"/>
                      <w:sz w:val="21"/>
                      <w:szCs w:val="21"/>
                      <w:lang w:val="en-US" w:eastAsia="zh-CN"/>
                    </w:rPr>
                  </w:pPr>
                </w:p>
              </w:tc>
            </w:tr>
            <w:tr w14:paraId="5BE8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4C301826">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4BC605F3">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水</w:t>
                  </w:r>
                </w:p>
              </w:tc>
              <w:tc>
                <w:tcPr>
                  <w:tcW w:w="414" w:type="pct"/>
                  <w:shd w:val="clear" w:color="auto" w:fill="auto"/>
                  <w:noWrap w:val="0"/>
                  <w:vAlign w:val="center"/>
                </w:tcPr>
                <w:p w14:paraId="4B458849">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t/a</w:t>
                  </w:r>
                </w:p>
              </w:tc>
              <w:tc>
                <w:tcPr>
                  <w:tcW w:w="433" w:type="pct"/>
                  <w:shd w:val="clear" w:color="auto" w:fill="auto"/>
                  <w:noWrap w:val="0"/>
                  <w:vAlign w:val="center"/>
                </w:tcPr>
                <w:p w14:paraId="2E2648B3">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600</w:t>
                  </w:r>
                </w:p>
              </w:tc>
              <w:tc>
                <w:tcPr>
                  <w:tcW w:w="433" w:type="pct"/>
                  <w:shd w:val="clear" w:color="auto" w:fill="auto"/>
                  <w:noWrap w:val="0"/>
                  <w:vAlign w:val="center"/>
                </w:tcPr>
                <w:p w14:paraId="75665504">
                  <w:pPr>
                    <w:jc w:val="center"/>
                    <w:rPr>
                      <w:rFonts w:hint="default" w:ascii="Times New Roman" w:hAnsi="Times New Roman" w:eastAsia="宋体" w:cs="Times New Roman"/>
                      <w:kern w:val="2"/>
                      <w:sz w:val="21"/>
                      <w:szCs w:val="21"/>
                      <w:highlight w:val="green"/>
                      <w:lang w:val="en-US" w:eastAsia="zh-CN" w:bidi="ar-SA"/>
                    </w:rPr>
                  </w:pPr>
                  <w:r>
                    <w:rPr>
                      <w:rFonts w:hint="eastAsia"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2</w:t>
                  </w:r>
                </w:p>
              </w:tc>
              <w:tc>
                <w:tcPr>
                  <w:tcW w:w="451" w:type="pct"/>
                  <w:shd w:val="clear" w:color="auto" w:fill="auto"/>
                  <w:noWrap w:val="0"/>
                  <w:vAlign w:val="center"/>
                </w:tcPr>
                <w:p w14:paraId="144DB23E">
                  <w:pPr>
                    <w:jc w:val="center"/>
                    <w:rPr>
                      <w:rFonts w:hint="eastAsia" w:ascii="Times New Roman" w:hAnsi="Times New Roman" w:eastAsia="宋体" w:cs="Times New Roman"/>
                      <w:kern w:val="2"/>
                      <w:sz w:val="21"/>
                      <w:szCs w:val="21"/>
                      <w:highlight w:val="green"/>
                      <w:lang w:val="en-US" w:eastAsia="zh-CN" w:bidi="ar-SA"/>
                    </w:rPr>
                  </w:pPr>
                  <w:r>
                    <w:rPr>
                      <w:rFonts w:hint="default" w:ascii="Times New Roman" w:hAnsi="Times New Roman" w:cs="Times New Roman"/>
                      <w:sz w:val="21"/>
                      <w:szCs w:val="21"/>
                      <w:highlight w:val="none"/>
                      <w:lang w:val="en-US" w:eastAsia="zh-CN"/>
                    </w:rPr>
                    <w:t>75</w:t>
                  </w:r>
                  <w:r>
                    <w:rPr>
                      <w:rFonts w:hint="eastAsia" w:cs="Times New Roman"/>
                      <w:sz w:val="21"/>
                      <w:szCs w:val="21"/>
                      <w:highlight w:val="none"/>
                      <w:lang w:val="en-US" w:eastAsia="zh-CN"/>
                    </w:rPr>
                    <w:t>2</w:t>
                  </w:r>
                </w:p>
              </w:tc>
              <w:tc>
                <w:tcPr>
                  <w:tcW w:w="451" w:type="pct"/>
                  <w:shd w:val="clear" w:color="auto" w:fill="auto"/>
                  <w:noWrap w:val="0"/>
                  <w:vAlign w:val="center"/>
                </w:tcPr>
                <w:p w14:paraId="3EA90E9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1004" w:type="pct"/>
                  <w:shd w:val="clear" w:color="auto" w:fill="auto"/>
                  <w:noWrap w:val="0"/>
                  <w:vAlign w:val="center"/>
                </w:tcPr>
                <w:p w14:paraId="153721B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546" w:type="pct"/>
                  <w:shd w:val="clear" w:color="auto" w:fill="auto"/>
                  <w:noWrap w:val="0"/>
                  <w:vAlign w:val="center"/>
                </w:tcPr>
                <w:p w14:paraId="1BF8FC5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r>
            <w:tr w14:paraId="38C8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06" w:type="pct"/>
                  <w:noWrap w:val="0"/>
                  <w:vAlign w:val="center"/>
                </w:tcPr>
                <w:p w14:paraId="622FE0F9">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1058" w:type="pct"/>
                  <w:gridSpan w:val="2"/>
                  <w:shd w:val="clear" w:color="auto" w:fill="auto"/>
                  <w:noWrap w:val="0"/>
                  <w:vAlign w:val="center"/>
                </w:tcPr>
                <w:p w14:paraId="7F92F8C9">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电</w:t>
                  </w:r>
                </w:p>
              </w:tc>
              <w:tc>
                <w:tcPr>
                  <w:tcW w:w="414" w:type="pct"/>
                  <w:shd w:val="clear" w:color="auto" w:fill="auto"/>
                  <w:noWrap w:val="0"/>
                  <w:vAlign w:val="center"/>
                </w:tcPr>
                <w:p w14:paraId="11FE635B">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万千瓦时/年</w:t>
                  </w:r>
                </w:p>
              </w:tc>
              <w:tc>
                <w:tcPr>
                  <w:tcW w:w="433" w:type="pct"/>
                  <w:shd w:val="clear" w:color="auto" w:fill="auto"/>
                  <w:noWrap w:val="0"/>
                  <w:vAlign w:val="center"/>
                </w:tcPr>
                <w:p w14:paraId="30387257">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w:t>
                  </w:r>
                </w:p>
              </w:tc>
              <w:tc>
                <w:tcPr>
                  <w:tcW w:w="433" w:type="pct"/>
                  <w:shd w:val="clear" w:color="auto" w:fill="auto"/>
                  <w:noWrap w:val="0"/>
                  <w:vAlign w:val="center"/>
                </w:tcPr>
                <w:p w14:paraId="30F79163">
                  <w:pPr>
                    <w:jc w:val="center"/>
                    <w:rPr>
                      <w:rFonts w:hint="default" w:ascii="Times New Roman" w:hAnsi="Times New Roman" w:eastAsia="宋体" w:cs="Times New Roman"/>
                      <w:kern w:val="2"/>
                      <w:sz w:val="21"/>
                      <w:szCs w:val="21"/>
                      <w:highlight w:val="green"/>
                      <w:lang w:val="en-US" w:eastAsia="zh-CN" w:bidi="ar-SA"/>
                    </w:rPr>
                  </w:pPr>
                  <w:r>
                    <w:rPr>
                      <w:rFonts w:hint="eastAsia" w:cs="Times New Roman"/>
                      <w:sz w:val="21"/>
                      <w:szCs w:val="21"/>
                      <w:highlight w:val="none"/>
                      <w:lang w:val="en-US" w:eastAsia="zh-CN"/>
                    </w:rPr>
                    <w:t>5</w:t>
                  </w:r>
                </w:p>
              </w:tc>
              <w:tc>
                <w:tcPr>
                  <w:tcW w:w="451" w:type="pct"/>
                  <w:shd w:val="clear" w:color="auto" w:fill="auto"/>
                  <w:noWrap w:val="0"/>
                  <w:vAlign w:val="center"/>
                </w:tcPr>
                <w:p w14:paraId="7FF6AD1C">
                  <w:pPr>
                    <w:jc w:val="center"/>
                    <w:rPr>
                      <w:rFonts w:hint="default" w:ascii="Times New Roman" w:hAnsi="Times New Roman" w:eastAsia="宋体" w:cs="Times New Roman"/>
                      <w:kern w:val="2"/>
                      <w:sz w:val="21"/>
                      <w:szCs w:val="21"/>
                      <w:highlight w:val="green"/>
                      <w:lang w:val="en-US" w:eastAsia="zh-CN" w:bidi="ar-SA"/>
                    </w:rPr>
                  </w:pPr>
                  <w:r>
                    <w:rPr>
                      <w:rFonts w:hint="eastAsia" w:cs="Times New Roman"/>
                      <w:sz w:val="21"/>
                      <w:szCs w:val="21"/>
                      <w:highlight w:val="none"/>
                      <w:lang w:val="en-US" w:eastAsia="zh-CN"/>
                    </w:rPr>
                    <w:t>15</w:t>
                  </w:r>
                </w:p>
              </w:tc>
              <w:tc>
                <w:tcPr>
                  <w:tcW w:w="451" w:type="pct"/>
                  <w:shd w:val="clear" w:color="auto" w:fill="auto"/>
                  <w:noWrap w:val="0"/>
                  <w:vAlign w:val="center"/>
                </w:tcPr>
                <w:p w14:paraId="5CB88CD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1004" w:type="pct"/>
                  <w:shd w:val="clear" w:color="auto" w:fill="auto"/>
                  <w:noWrap w:val="0"/>
                  <w:vAlign w:val="center"/>
                </w:tcPr>
                <w:p w14:paraId="3AE20D6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546" w:type="pct"/>
                  <w:shd w:val="clear" w:color="auto" w:fill="auto"/>
                  <w:noWrap w:val="0"/>
                  <w:vAlign w:val="center"/>
                </w:tcPr>
                <w:p w14:paraId="078411B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r>
          </w:tbl>
          <w:p w14:paraId="1A6730EA">
            <w:pPr>
              <w:autoSpaceDE w:val="0"/>
              <w:autoSpaceDN w:val="0"/>
              <w:adjustRightInd w:val="0"/>
              <w:snapToGrid w:val="0"/>
              <w:jc w:val="both"/>
              <w:rPr>
                <w:rFonts w:hint="eastAsia"/>
                <w:bCs/>
                <w:sz w:val="24"/>
                <w:lang w:eastAsia="zh-CN"/>
              </w:rPr>
            </w:pPr>
          </w:p>
          <w:p w14:paraId="1C621943">
            <w:pPr>
              <w:autoSpaceDE w:val="0"/>
              <w:autoSpaceDN w:val="0"/>
              <w:adjustRightInd w:val="0"/>
              <w:spacing w:line="360" w:lineRule="auto"/>
              <w:ind w:firstLine="480" w:firstLineChars="200"/>
              <w:rPr>
                <w:rFonts w:hint="default" w:cs="Times New Roman"/>
                <w:color w:val="auto"/>
                <w:sz w:val="24"/>
                <w:szCs w:val="24"/>
                <w:highlight w:val="none"/>
                <w:vertAlign w:val="baseline"/>
                <w:lang w:val="en-US" w:eastAsia="zh-CN"/>
              </w:rPr>
            </w:pPr>
            <w:r>
              <w:rPr>
                <w:rFonts w:hint="eastAsia"/>
                <w:sz w:val="24"/>
                <w:szCs w:val="24"/>
                <w:lang w:val="en-US" w:eastAsia="zh-CN"/>
              </w:rPr>
              <w:t>本次项目新增漆料主要为喷漆工序使用的油性漆。根据建设单位提供的资料（附件7），底漆由底漆A与底漆B10:1混合使用，其中底漆A密度为</w:t>
            </w:r>
            <w:r>
              <w:rPr>
                <w:rFonts w:hint="eastAsia"/>
                <w:sz w:val="24"/>
                <w:szCs w:val="24"/>
                <w:vertAlign w:val="baseline"/>
                <w:lang w:val="en-US" w:eastAsia="zh-CN"/>
              </w:rPr>
              <w:t>1.1</w:t>
            </w:r>
            <w:r>
              <w:rPr>
                <w:rFonts w:hint="eastAsia"/>
                <w:sz w:val="24"/>
                <w:szCs w:val="24"/>
                <w:lang w:val="en-US" w:eastAsia="zh-CN"/>
              </w:rPr>
              <w:t>~1.3g/m</w:t>
            </w:r>
            <w:r>
              <w:rPr>
                <w:rFonts w:hint="eastAsia"/>
                <w:sz w:val="24"/>
                <w:szCs w:val="24"/>
                <w:vertAlign w:val="superscript"/>
                <w:lang w:val="en-US" w:eastAsia="zh-CN"/>
              </w:rPr>
              <w:t>3</w:t>
            </w:r>
            <w:r>
              <w:rPr>
                <w:rFonts w:hint="eastAsia"/>
                <w:sz w:val="24"/>
                <w:szCs w:val="24"/>
                <w:vertAlign w:val="baseline"/>
                <w:lang w:val="en-US" w:eastAsia="zh-CN"/>
              </w:rPr>
              <w:t>，本次取值1.2</w:t>
            </w:r>
            <w:r>
              <w:rPr>
                <w:rFonts w:hint="eastAsia"/>
                <w:sz w:val="24"/>
                <w:szCs w:val="24"/>
                <w:lang w:val="en-US" w:eastAsia="zh-CN"/>
              </w:rPr>
              <w:t>g/m</w:t>
            </w:r>
            <w:r>
              <w:rPr>
                <w:rFonts w:hint="eastAsia"/>
                <w:sz w:val="24"/>
                <w:szCs w:val="24"/>
                <w:vertAlign w:val="superscript"/>
                <w:lang w:val="en-US" w:eastAsia="zh-CN"/>
              </w:rPr>
              <w:t>3</w:t>
            </w:r>
            <w:r>
              <w:rPr>
                <w:rFonts w:hint="eastAsia"/>
                <w:sz w:val="24"/>
                <w:szCs w:val="24"/>
                <w:vertAlign w:val="baseline"/>
                <w:lang w:val="en-US" w:eastAsia="zh-CN"/>
              </w:rPr>
              <w:t>，</w:t>
            </w:r>
            <w:r>
              <w:rPr>
                <w:rFonts w:hint="eastAsia"/>
                <w:sz w:val="24"/>
                <w:szCs w:val="24"/>
                <w:lang w:val="en-US" w:eastAsia="zh-CN"/>
              </w:rPr>
              <w:t>底漆B密度为</w:t>
            </w:r>
            <w:r>
              <w:rPr>
                <w:rFonts w:hint="eastAsia"/>
                <w:sz w:val="24"/>
                <w:szCs w:val="24"/>
                <w:vertAlign w:val="baseline"/>
                <w:lang w:val="en-US" w:eastAsia="zh-CN"/>
              </w:rPr>
              <w:t>0.91</w:t>
            </w:r>
            <w:r>
              <w:rPr>
                <w:rFonts w:hint="eastAsia"/>
                <w:sz w:val="24"/>
                <w:szCs w:val="24"/>
                <w:lang w:val="en-US" w:eastAsia="zh-CN"/>
              </w:rPr>
              <w:t>~0.96g/m</w:t>
            </w:r>
            <w:r>
              <w:rPr>
                <w:rFonts w:hint="eastAsia"/>
                <w:sz w:val="24"/>
                <w:szCs w:val="24"/>
                <w:vertAlign w:val="superscript"/>
                <w:lang w:val="en-US" w:eastAsia="zh-CN"/>
              </w:rPr>
              <w:t>3</w:t>
            </w:r>
            <w:r>
              <w:rPr>
                <w:rFonts w:hint="eastAsia"/>
                <w:sz w:val="24"/>
                <w:szCs w:val="24"/>
                <w:vertAlign w:val="baseline"/>
                <w:lang w:val="en-US" w:eastAsia="zh-CN"/>
              </w:rPr>
              <w:t>，本次取值0.94</w:t>
            </w:r>
            <w:r>
              <w:rPr>
                <w:rFonts w:hint="eastAsia"/>
                <w:sz w:val="24"/>
                <w:szCs w:val="24"/>
                <w:lang w:val="en-US" w:eastAsia="zh-CN"/>
              </w:rPr>
              <w:t>g/m</w:t>
            </w:r>
            <w:r>
              <w:rPr>
                <w:rFonts w:hint="eastAsia"/>
                <w:sz w:val="24"/>
                <w:szCs w:val="24"/>
                <w:vertAlign w:val="superscript"/>
                <w:lang w:val="en-US" w:eastAsia="zh-CN"/>
              </w:rPr>
              <w:t>3</w:t>
            </w:r>
            <w:r>
              <w:rPr>
                <w:rFonts w:hint="eastAsia"/>
                <w:sz w:val="24"/>
                <w:szCs w:val="24"/>
                <w:vertAlign w:val="baseline"/>
                <w:lang w:val="en-US" w:eastAsia="zh-CN"/>
              </w:rPr>
              <w:t>，计算可知混合后</w:t>
            </w:r>
            <w:r>
              <w:rPr>
                <w:rFonts w:hint="eastAsia" w:cs="Times New Roman"/>
                <w:color w:val="auto"/>
                <w:sz w:val="24"/>
                <w:szCs w:val="24"/>
                <w:highlight w:val="none"/>
                <w:lang w:val="en-US" w:eastAsia="zh-CN"/>
              </w:rPr>
              <w:t>工作状态下的油漆</w:t>
            </w:r>
            <w:r>
              <w:rPr>
                <w:rFonts w:hint="default" w:ascii="Times New Roman" w:hAnsi="Times New Roman" w:eastAsia="宋体" w:cs="Times New Roman"/>
                <w:color w:val="auto"/>
                <w:sz w:val="24"/>
                <w:szCs w:val="24"/>
                <w:highlight w:val="none"/>
                <w:lang w:eastAsia="zh-CN"/>
              </w:rPr>
              <w:t>密度</w:t>
            </w:r>
            <w:r>
              <w:rPr>
                <w:rFonts w:hint="eastAsia"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lang w:eastAsia="zh-CN"/>
              </w:rPr>
              <w:t>为</w:t>
            </w:r>
            <w:r>
              <w:rPr>
                <w:rFonts w:hint="eastAsia" w:cs="Times New Roman"/>
                <w:color w:val="auto"/>
                <w:sz w:val="24"/>
                <w:szCs w:val="24"/>
                <w:highlight w:val="none"/>
                <w:lang w:val="en-US" w:eastAsia="zh-CN"/>
              </w:rPr>
              <w:t>1.17</w:t>
            </w:r>
            <w:r>
              <w:rPr>
                <w:rFonts w:hint="default" w:ascii="Times New Roman" w:hAnsi="Times New Roman" w:eastAsia="宋体" w:cs="Times New Roman"/>
                <w:color w:val="auto"/>
                <w:sz w:val="24"/>
                <w:szCs w:val="24"/>
                <w:highlight w:val="none"/>
                <w:lang w:val="en-US" w:eastAsia="en-US"/>
              </w:rPr>
              <w:t>g/cm</w:t>
            </w:r>
            <w:r>
              <w:rPr>
                <w:rFonts w:hint="default" w:ascii="Times New Roman" w:hAnsi="Times New Roman" w:eastAsia="宋体" w:cs="Times New Roman"/>
                <w:color w:val="auto"/>
                <w:sz w:val="24"/>
                <w:szCs w:val="24"/>
                <w:highlight w:val="none"/>
                <w:vertAlign w:val="superscript"/>
                <w:lang w:val="en-US" w:eastAsia="en-US"/>
              </w:rPr>
              <w:t>3</w:t>
            </w:r>
            <w:r>
              <w:rPr>
                <w:rFonts w:hint="eastAsia" w:cs="Times New Roman"/>
                <w:color w:val="auto"/>
                <w:sz w:val="24"/>
                <w:szCs w:val="24"/>
                <w:highlight w:val="none"/>
                <w:vertAlign w:val="baseline"/>
                <w:lang w:val="en-US" w:eastAsia="zh-CN"/>
              </w:rPr>
              <w:t>，体积为9.4L。按最不利因素考虑，</w:t>
            </w:r>
            <w:r>
              <w:rPr>
                <w:rFonts w:hint="eastAsia"/>
                <w:sz w:val="24"/>
                <w:szCs w:val="24"/>
                <w:lang w:val="en-US" w:eastAsia="zh-CN"/>
              </w:rPr>
              <w:t>底漆A中</w:t>
            </w:r>
            <w:r>
              <w:rPr>
                <w:rFonts w:hint="default" w:ascii="Times New Roman" w:hAnsi="Times New Roman" w:cs="Times New Roman"/>
                <w:b w:val="0"/>
                <w:bCs w:val="0"/>
                <w:sz w:val="24"/>
                <w:szCs w:val="24"/>
                <w:highlight w:val="none"/>
                <w:lang w:val="en-US" w:eastAsia="zh-CN"/>
              </w:rPr>
              <w:t>VOC</w:t>
            </w:r>
            <w:r>
              <w:rPr>
                <w:rFonts w:hint="eastAsia" w:ascii="Times New Roman" w:hAnsi="Times New Roman" w:cs="Times New Roman"/>
                <w:b w:val="0"/>
                <w:bCs w:val="0"/>
                <w:sz w:val="24"/>
                <w:szCs w:val="24"/>
                <w:highlight w:val="none"/>
                <w:lang w:val="en-US" w:eastAsia="zh-CN"/>
              </w:rPr>
              <w:t>含量为20%，</w:t>
            </w:r>
            <w:r>
              <w:rPr>
                <w:rFonts w:hint="eastAsia"/>
                <w:sz w:val="24"/>
                <w:szCs w:val="24"/>
                <w:lang w:val="en-US" w:eastAsia="zh-CN"/>
              </w:rPr>
              <w:t>底漆B中</w:t>
            </w:r>
            <w:r>
              <w:rPr>
                <w:rFonts w:hint="default" w:ascii="Times New Roman" w:hAnsi="Times New Roman" w:cs="Times New Roman"/>
                <w:b w:val="0"/>
                <w:bCs w:val="0"/>
                <w:sz w:val="24"/>
                <w:szCs w:val="24"/>
                <w:highlight w:val="none"/>
                <w:lang w:val="en-US" w:eastAsia="zh-CN"/>
              </w:rPr>
              <w:t>VOC</w:t>
            </w:r>
            <w:r>
              <w:rPr>
                <w:rFonts w:hint="eastAsia" w:ascii="Times New Roman" w:hAnsi="Times New Roman" w:cs="Times New Roman"/>
                <w:b w:val="0"/>
                <w:bCs w:val="0"/>
                <w:sz w:val="24"/>
                <w:szCs w:val="24"/>
                <w:highlight w:val="none"/>
                <w:lang w:val="en-US" w:eastAsia="zh-CN"/>
              </w:rPr>
              <w:t>含量为30%</w:t>
            </w:r>
            <w:r>
              <w:rPr>
                <w:rFonts w:hint="eastAsia" w:cs="Times New Roman"/>
                <w:color w:val="auto"/>
                <w:sz w:val="24"/>
                <w:szCs w:val="24"/>
                <w:highlight w:val="none"/>
                <w:vertAlign w:val="baseline"/>
                <w:lang w:val="en-US" w:eastAsia="zh-CN"/>
              </w:rPr>
              <w:t>，</w:t>
            </w:r>
            <w:r>
              <w:rPr>
                <w:rFonts w:hint="default" w:ascii="Times New Roman" w:hAnsi="Times New Roman" w:cs="Times New Roman"/>
                <w:b w:val="0"/>
                <w:bCs w:val="0"/>
                <w:sz w:val="24"/>
                <w:szCs w:val="24"/>
                <w:highlight w:val="none"/>
                <w:lang w:val="en-US" w:eastAsia="zh-CN"/>
              </w:rPr>
              <w:t>VOC</w:t>
            </w:r>
            <w:r>
              <w:rPr>
                <w:rFonts w:hint="eastAsia" w:cs="Times New Roman"/>
                <w:color w:val="auto"/>
                <w:sz w:val="24"/>
                <w:szCs w:val="24"/>
                <w:highlight w:val="none"/>
                <w:vertAlign w:val="baseline"/>
                <w:lang w:val="en-US" w:eastAsia="zh-CN"/>
              </w:rPr>
              <w:t>质量为2.3kg，</w:t>
            </w:r>
            <w:r>
              <w:rPr>
                <w:rFonts w:hint="eastAsia"/>
                <w:sz w:val="24"/>
                <w:szCs w:val="24"/>
                <w:vertAlign w:val="baseline"/>
                <w:lang w:val="en-US" w:eastAsia="zh-CN"/>
              </w:rPr>
              <w:t>混合后</w:t>
            </w:r>
            <w:r>
              <w:rPr>
                <w:rFonts w:hint="eastAsia" w:cs="Times New Roman"/>
                <w:color w:val="auto"/>
                <w:sz w:val="24"/>
                <w:szCs w:val="24"/>
                <w:highlight w:val="none"/>
                <w:lang w:val="en-US" w:eastAsia="zh-CN"/>
              </w:rPr>
              <w:t>工作状态下的底漆</w:t>
            </w:r>
            <w:r>
              <w:rPr>
                <w:rFonts w:hint="default" w:ascii="Times New Roman" w:hAnsi="Times New Roman" w:cs="Times New Roman"/>
                <w:b w:val="0"/>
                <w:bCs w:val="0"/>
                <w:sz w:val="24"/>
                <w:szCs w:val="24"/>
                <w:highlight w:val="none"/>
                <w:lang w:val="en-US" w:eastAsia="zh-CN"/>
              </w:rPr>
              <w:t>VOC含量为</w:t>
            </w:r>
            <w:r>
              <w:rPr>
                <w:rFonts w:hint="eastAsia" w:ascii="Times New Roman" w:hAnsi="Times New Roman" w:cs="Times New Roman"/>
                <w:b w:val="0"/>
                <w:bCs w:val="0"/>
                <w:sz w:val="24"/>
                <w:szCs w:val="24"/>
                <w:highlight w:val="none"/>
                <w:lang w:val="en-US" w:eastAsia="zh-CN"/>
              </w:rPr>
              <w:t>244.75</w:t>
            </w:r>
            <w:r>
              <w:rPr>
                <w:rFonts w:hint="default" w:ascii="Times New Roman" w:hAnsi="Times New Roman" w:cs="Times New Roman"/>
                <w:b w:val="0"/>
                <w:bCs w:val="0"/>
                <w:sz w:val="24"/>
                <w:szCs w:val="24"/>
                <w:highlight w:val="none"/>
                <w:lang w:val="en-US" w:eastAsia="zh-CN"/>
              </w:rPr>
              <w:t>g/L</w:t>
            </w:r>
            <w:r>
              <w:rPr>
                <w:rFonts w:hint="eastAsia" w:ascii="Times New Roman" w:hAnsi="Times New Roman" w:cs="Times New Roman"/>
                <w:b w:val="0"/>
                <w:bCs w:val="0"/>
                <w:sz w:val="24"/>
                <w:szCs w:val="24"/>
                <w:highlight w:val="none"/>
                <w:lang w:val="en-US" w:eastAsia="zh-CN"/>
              </w:rPr>
              <w:t>。</w:t>
            </w:r>
          </w:p>
          <w:p w14:paraId="2A54FA1C">
            <w:pPr>
              <w:autoSpaceDE w:val="0"/>
              <w:autoSpaceDN w:val="0"/>
              <w:adjustRightInd w:val="0"/>
              <w:spacing w:line="360" w:lineRule="auto"/>
              <w:ind w:firstLine="480" w:firstLineChars="200"/>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炉体面漆由醇酸面漆、</w:t>
            </w:r>
            <w:r>
              <w:rPr>
                <w:rFonts w:hint="eastAsia"/>
                <w:sz w:val="24"/>
                <w:szCs w:val="24"/>
                <w:lang w:val="en-US" w:eastAsia="zh-CN"/>
              </w:rPr>
              <w:t>固化剂、稀释剂4:1:1配比混合使用，其中</w:t>
            </w:r>
            <w:r>
              <w:rPr>
                <w:rFonts w:hint="eastAsia" w:cs="Times New Roman"/>
                <w:color w:val="auto"/>
                <w:sz w:val="24"/>
                <w:szCs w:val="24"/>
                <w:highlight w:val="none"/>
                <w:vertAlign w:val="baseline"/>
                <w:lang w:val="en-US" w:eastAsia="zh-CN"/>
              </w:rPr>
              <w:t>醇酸面漆密度为1.23</w:t>
            </w:r>
            <w:r>
              <w:rPr>
                <w:rFonts w:hint="eastAsia"/>
                <w:sz w:val="24"/>
                <w:szCs w:val="24"/>
                <w:lang w:val="en-US" w:eastAsia="zh-CN"/>
              </w:rPr>
              <w:t>~1.31g/m</w:t>
            </w:r>
            <w:r>
              <w:rPr>
                <w:rFonts w:hint="eastAsia"/>
                <w:sz w:val="24"/>
                <w:szCs w:val="24"/>
                <w:vertAlign w:val="superscript"/>
                <w:lang w:val="en-US" w:eastAsia="zh-CN"/>
              </w:rPr>
              <w:t>3</w:t>
            </w:r>
            <w:r>
              <w:rPr>
                <w:rFonts w:hint="eastAsia"/>
                <w:sz w:val="24"/>
                <w:szCs w:val="24"/>
                <w:vertAlign w:val="baseline"/>
                <w:lang w:val="en-US" w:eastAsia="zh-CN"/>
              </w:rPr>
              <w:t>，本次取值1.27</w:t>
            </w:r>
            <w:r>
              <w:rPr>
                <w:rFonts w:hint="eastAsia"/>
                <w:sz w:val="24"/>
                <w:szCs w:val="24"/>
                <w:lang w:val="en-US" w:eastAsia="zh-CN"/>
              </w:rPr>
              <w:t>g/m</w:t>
            </w:r>
            <w:r>
              <w:rPr>
                <w:rFonts w:hint="eastAsia"/>
                <w:sz w:val="24"/>
                <w:szCs w:val="24"/>
                <w:vertAlign w:val="superscript"/>
                <w:lang w:val="en-US" w:eastAsia="zh-CN"/>
              </w:rPr>
              <w:t>3</w:t>
            </w:r>
            <w:r>
              <w:rPr>
                <w:rFonts w:hint="eastAsia"/>
                <w:sz w:val="24"/>
                <w:szCs w:val="24"/>
                <w:vertAlign w:val="baseline"/>
                <w:lang w:val="en-US" w:eastAsia="zh-CN"/>
              </w:rPr>
              <w:t>，</w:t>
            </w:r>
            <w:r>
              <w:rPr>
                <w:rFonts w:hint="eastAsia"/>
                <w:sz w:val="24"/>
                <w:szCs w:val="24"/>
                <w:lang w:val="en-US" w:eastAsia="zh-CN"/>
              </w:rPr>
              <w:t>固化剂</w:t>
            </w:r>
            <w:r>
              <w:rPr>
                <w:rFonts w:hint="eastAsia" w:cs="Times New Roman"/>
                <w:color w:val="auto"/>
                <w:sz w:val="24"/>
                <w:szCs w:val="24"/>
                <w:highlight w:val="none"/>
                <w:vertAlign w:val="baseline"/>
                <w:lang w:val="en-US" w:eastAsia="zh-CN"/>
              </w:rPr>
              <w:t>密度为0.95</w:t>
            </w:r>
            <w:r>
              <w:rPr>
                <w:rFonts w:hint="eastAsia"/>
                <w:sz w:val="24"/>
                <w:szCs w:val="24"/>
                <w:lang w:val="en-US" w:eastAsia="zh-CN"/>
              </w:rPr>
              <w:t>~1.05g/m</w:t>
            </w:r>
            <w:r>
              <w:rPr>
                <w:rFonts w:hint="eastAsia"/>
                <w:sz w:val="24"/>
                <w:szCs w:val="24"/>
                <w:vertAlign w:val="superscript"/>
                <w:lang w:val="en-US" w:eastAsia="zh-CN"/>
              </w:rPr>
              <w:t>3</w:t>
            </w:r>
            <w:r>
              <w:rPr>
                <w:rFonts w:hint="eastAsia"/>
                <w:sz w:val="24"/>
                <w:szCs w:val="24"/>
                <w:vertAlign w:val="baseline"/>
                <w:lang w:val="en-US" w:eastAsia="zh-CN"/>
              </w:rPr>
              <w:t>，本次取值1.0</w:t>
            </w:r>
            <w:r>
              <w:rPr>
                <w:rFonts w:hint="eastAsia"/>
                <w:sz w:val="24"/>
                <w:szCs w:val="24"/>
                <w:lang w:val="en-US" w:eastAsia="zh-CN"/>
              </w:rPr>
              <w:t>g/m</w:t>
            </w:r>
            <w:r>
              <w:rPr>
                <w:rFonts w:hint="eastAsia"/>
                <w:sz w:val="24"/>
                <w:szCs w:val="24"/>
                <w:vertAlign w:val="superscript"/>
                <w:lang w:val="en-US" w:eastAsia="zh-CN"/>
              </w:rPr>
              <w:t>3</w:t>
            </w:r>
            <w:r>
              <w:rPr>
                <w:rFonts w:hint="eastAsia"/>
                <w:sz w:val="24"/>
                <w:szCs w:val="24"/>
                <w:vertAlign w:val="baseline"/>
                <w:lang w:val="en-US" w:eastAsia="zh-CN"/>
              </w:rPr>
              <w:t>，稀释剂</w:t>
            </w:r>
            <w:r>
              <w:rPr>
                <w:rFonts w:hint="eastAsia" w:cs="Times New Roman"/>
                <w:color w:val="auto"/>
                <w:sz w:val="24"/>
                <w:szCs w:val="24"/>
                <w:highlight w:val="none"/>
                <w:vertAlign w:val="baseline"/>
                <w:lang w:val="en-US" w:eastAsia="zh-CN"/>
              </w:rPr>
              <w:t>密度为0.89</w:t>
            </w:r>
            <w:r>
              <w:rPr>
                <w:rFonts w:hint="eastAsia"/>
                <w:sz w:val="24"/>
                <w:szCs w:val="24"/>
                <w:lang w:val="en-US" w:eastAsia="zh-CN"/>
              </w:rPr>
              <w:t>g/m</w:t>
            </w:r>
            <w:r>
              <w:rPr>
                <w:rFonts w:hint="eastAsia"/>
                <w:sz w:val="24"/>
                <w:szCs w:val="24"/>
                <w:vertAlign w:val="superscript"/>
                <w:lang w:val="en-US" w:eastAsia="zh-CN"/>
              </w:rPr>
              <w:t>3</w:t>
            </w:r>
            <w:r>
              <w:rPr>
                <w:rFonts w:hint="eastAsia"/>
                <w:sz w:val="24"/>
                <w:szCs w:val="24"/>
                <w:vertAlign w:val="baseline"/>
                <w:lang w:val="en-US" w:eastAsia="zh-CN"/>
              </w:rPr>
              <w:t>，计算可知混合后</w:t>
            </w:r>
            <w:r>
              <w:rPr>
                <w:rFonts w:hint="eastAsia" w:cs="Times New Roman"/>
                <w:color w:val="auto"/>
                <w:sz w:val="24"/>
                <w:szCs w:val="24"/>
                <w:highlight w:val="none"/>
                <w:lang w:val="en-US" w:eastAsia="zh-CN"/>
              </w:rPr>
              <w:t>工作状态下的油漆</w:t>
            </w:r>
            <w:r>
              <w:rPr>
                <w:rFonts w:hint="default" w:ascii="Times New Roman" w:hAnsi="Times New Roman" w:eastAsia="宋体" w:cs="Times New Roman"/>
                <w:color w:val="auto"/>
                <w:sz w:val="24"/>
                <w:szCs w:val="24"/>
                <w:highlight w:val="none"/>
                <w:lang w:eastAsia="zh-CN"/>
              </w:rPr>
              <w:t>密度</w:t>
            </w:r>
            <w:r>
              <w:rPr>
                <w:rFonts w:hint="eastAsia"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lang w:eastAsia="zh-CN"/>
              </w:rPr>
              <w:t>为</w:t>
            </w:r>
            <w:r>
              <w:rPr>
                <w:rFonts w:hint="eastAsia" w:cs="Times New Roman"/>
                <w:color w:val="auto"/>
                <w:sz w:val="24"/>
                <w:szCs w:val="24"/>
                <w:highlight w:val="none"/>
                <w:lang w:val="en-US" w:eastAsia="zh-CN"/>
              </w:rPr>
              <w:t>1.14</w:t>
            </w:r>
            <w:r>
              <w:rPr>
                <w:rFonts w:hint="default" w:ascii="Times New Roman" w:hAnsi="Times New Roman" w:eastAsia="宋体" w:cs="Times New Roman"/>
                <w:color w:val="auto"/>
                <w:sz w:val="24"/>
                <w:szCs w:val="24"/>
                <w:highlight w:val="none"/>
                <w:lang w:val="en-US" w:eastAsia="en-US"/>
              </w:rPr>
              <w:t>g/cm</w:t>
            </w:r>
            <w:r>
              <w:rPr>
                <w:rFonts w:hint="default" w:ascii="Times New Roman" w:hAnsi="Times New Roman" w:eastAsia="宋体" w:cs="Times New Roman"/>
                <w:color w:val="auto"/>
                <w:sz w:val="24"/>
                <w:szCs w:val="24"/>
                <w:highlight w:val="none"/>
                <w:vertAlign w:val="superscript"/>
                <w:lang w:val="en-US" w:eastAsia="en-US"/>
              </w:rPr>
              <w:t>3</w:t>
            </w:r>
            <w:r>
              <w:rPr>
                <w:rFonts w:hint="eastAsia" w:cs="Times New Roman"/>
                <w:color w:val="auto"/>
                <w:sz w:val="24"/>
                <w:szCs w:val="24"/>
                <w:highlight w:val="none"/>
                <w:vertAlign w:val="baseline"/>
                <w:lang w:val="en-US" w:eastAsia="zh-CN"/>
              </w:rPr>
              <w:t>，体积为6.07L。醇酸面漆</w:t>
            </w:r>
            <w:r>
              <w:rPr>
                <w:rFonts w:hint="eastAsia"/>
                <w:sz w:val="24"/>
                <w:szCs w:val="24"/>
                <w:lang w:val="en-US" w:eastAsia="zh-CN"/>
              </w:rPr>
              <w:t>中</w:t>
            </w:r>
            <w:r>
              <w:rPr>
                <w:rFonts w:hint="eastAsia" w:ascii="Times New Roman" w:hAnsi="Times New Roman" w:cs="Times New Roman"/>
                <w:b w:val="0"/>
                <w:bCs w:val="0"/>
                <w:sz w:val="24"/>
                <w:szCs w:val="24"/>
                <w:highlight w:val="none"/>
                <w:lang w:val="en-US" w:eastAsia="zh-CN"/>
              </w:rPr>
              <w:t>不含</w:t>
            </w:r>
            <w:r>
              <w:rPr>
                <w:rFonts w:hint="default" w:ascii="Times New Roman" w:hAnsi="Times New Roman" w:cs="Times New Roman"/>
                <w:b w:val="0"/>
                <w:bCs w:val="0"/>
                <w:sz w:val="24"/>
                <w:szCs w:val="24"/>
                <w:highlight w:val="none"/>
                <w:lang w:val="en-US" w:eastAsia="zh-CN"/>
              </w:rPr>
              <w:t>VOC</w:t>
            </w:r>
            <w:r>
              <w:rPr>
                <w:rFonts w:hint="eastAsia" w:ascii="Times New Roman" w:hAnsi="Times New Roman" w:cs="Times New Roman"/>
                <w:b w:val="0"/>
                <w:bCs w:val="0"/>
                <w:sz w:val="24"/>
                <w:szCs w:val="24"/>
                <w:highlight w:val="none"/>
                <w:lang w:val="en-US" w:eastAsia="zh-CN"/>
              </w:rPr>
              <w:t>，</w:t>
            </w:r>
            <w:r>
              <w:rPr>
                <w:rFonts w:hint="eastAsia"/>
                <w:sz w:val="24"/>
                <w:szCs w:val="24"/>
                <w:lang w:val="en-US" w:eastAsia="zh-CN"/>
              </w:rPr>
              <w:t>固化剂和稀释剂中</w:t>
            </w:r>
            <w:r>
              <w:rPr>
                <w:rFonts w:hint="default" w:ascii="Times New Roman" w:hAnsi="Times New Roman" w:cs="Times New Roman"/>
                <w:b w:val="0"/>
                <w:bCs w:val="0"/>
                <w:sz w:val="24"/>
                <w:szCs w:val="24"/>
                <w:highlight w:val="none"/>
                <w:lang w:val="en-US" w:eastAsia="zh-CN"/>
              </w:rPr>
              <w:t>VOC</w:t>
            </w:r>
            <w:r>
              <w:rPr>
                <w:rFonts w:hint="eastAsia" w:ascii="Times New Roman" w:hAnsi="Times New Roman" w:cs="Times New Roman"/>
                <w:b w:val="0"/>
                <w:bCs w:val="0"/>
                <w:sz w:val="24"/>
                <w:szCs w:val="24"/>
                <w:highlight w:val="none"/>
                <w:lang w:val="en-US" w:eastAsia="zh-CN"/>
              </w:rPr>
              <w:t>含量均为100%</w:t>
            </w:r>
            <w:r>
              <w:rPr>
                <w:rFonts w:hint="eastAsia" w:cs="Times New Roman"/>
                <w:color w:val="auto"/>
                <w:sz w:val="24"/>
                <w:szCs w:val="24"/>
                <w:highlight w:val="none"/>
                <w:vertAlign w:val="baseline"/>
                <w:lang w:val="en-US" w:eastAsia="zh-CN"/>
              </w:rPr>
              <w:t>，</w:t>
            </w:r>
            <w:r>
              <w:rPr>
                <w:rFonts w:hint="default" w:ascii="Times New Roman" w:hAnsi="Times New Roman" w:cs="Times New Roman"/>
                <w:b w:val="0"/>
                <w:bCs w:val="0"/>
                <w:sz w:val="24"/>
                <w:szCs w:val="24"/>
                <w:highlight w:val="none"/>
                <w:lang w:val="en-US" w:eastAsia="zh-CN"/>
              </w:rPr>
              <w:t>VOC</w:t>
            </w:r>
            <w:r>
              <w:rPr>
                <w:rFonts w:hint="eastAsia" w:cs="Times New Roman"/>
                <w:color w:val="auto"/>
                <w:sz w:val="24"/>
                <w:szCs w:val="24"/>
                <w:highlight w:val="none"/>
                <w:vertAlign w:val="baseline"/>
                <w:lang w:val="en-US" w:eastAsia="zh-CN"/>
              </w:rPr>
              <w:t>质量为2.0kg，</w:t>
            </w:r>
            <w:r>
              <w:rPr>
                <w:rFonts w:hint="eastAsia"/>
                <w:sz w:val="24"/>
                <w:szCs w:val="24"/>
                <w:vertAlign w:val="baseline"/>
                <w:lang w:val="en-US" w:eastAsia="zh-CN"/>
              </w:rPr>
              <w:t>混合后</w:t>
            </w:r>
            <w:r>
              <w:rPr>
                <w:rFonts w:hint="eastAsia" w:cs="Times New Roman"/>
                <w:color w:val="auto"/>
                <w:sz w:val="24"/>
                <w:szCs w:val="24"/>
                <w:highlight w:val="none"/>
                <w:lang w:val="en-US" w:eastAsia="zh-CN"/>
              </w:rPr>
              <w:t>工作状态下的炉体面漆</w:t>
            </w:r>
            <w:r>
              <w:rPr>
                <w:rFonts w:hint="default" w:ascii="Times New Roman" w:hAnsi="Times New Roman" w:cs="Times New Roman"/>
                <w:b w:val="0"/>
                <w:bCs w:val="0"/>
                <w:sz w:val="24"/>
                <w:szCs w:val="24"/>
                <w:highlight w:val="none"/>
                <w:lang w:val="en-US" w:eastAsia="zh-CN"/>
              </w:rPr>
              <w:t>VOC含量为</w:t>
            </w:r>
            <w:r>
              <w:rPr>
                <w:rFonts w:hint="eastAsia" w:ascii="Times New Roman" w:hAnsi="Times New Roman" w:cs="Times New Roman"/>
                <w:b w:val="0"/>
                <w:bCs w:val="0"/>
                <w:sz w:val="24"/>
                <w:szCs w:val="24"/>
                <w:highlight w:val="none"/>
                <w:lang w:val="en-US" w:eastAsia="zh-CN"/>
              </w:rPr>
              <w:t>378.91</w:t>
            </w:r>
            <w:r>
              <w:rPr>
                <w:rFonts w:hint="default" w:ascii="Times New Roman" w:hAnsi="Times New Roman" w:cs="Times New Roman"/>
                <w:b w:val="0"/>
                <w:bCs w:val="0"/>
                <w:sz w:val="24"/>
                <w:szCs w:val="24"/>
                <w:highlight w:val="none"/>
                <w:lang w:val="en-US" w:eastAsia="zh-CN"/>
              </w:rPr>
              <w:t>g/L</w:t>
            </w:r>
            <w:r>
              <w:rPr>
                <w:rFonts w:hint="eastAsia" w:ascii="Times New Roman" w:hAnsi="Times New Roman" w:cs="Times New Roman"/>
                <w:b w:val="0"/>
                <w:bCs w:val="0"/>
                <w:sz w:val="24"/>
                <w:szCs w:val="24"/>
                <w:highlight w:val="none"/>
                <w:lang w:val="en-US" w:eastAsia="zh-CN"/>
              </w:rPr>
              <w:t>。</w:t>
            </w:r>
          </w:p>
          <w:p w14:paraId="0E25B18D">
            <w:pPr>
              <w:autoSpaceDE w:val="0"/>
              <w:autoSpaceDN w:val="0"/>
              <w:adjustRightInd w:val="0"/>
              <w:spacing w:line="360" w:lineRule="auto"/>
              <w:ind w:firstLine="480" w:firstLineChars="200"/>
              <w:rPr>
                <w:rFonts w:hint="default"/>
                <w:sz w:val="24"/>
                <w:szCs w:val="24"/>
                <w:lang w:val="en-US" w:eastAsia="zh-CN"/>
              </w:rPr>
            </w:pPr>
            <w:r>
              <w:rPr>
                <w:rFonts w:hint="eastAsia" w:cs="Times New Roman"/>
                <w:color w:val="auto"/>
                <w:sz w:val="24"/>
                <w:szCs w:val="24"/>
                <w:highlight w:val="none"/>
                <w:vertAlign w:val="baseline"/>
                <w:lang w:val="en-US" w:eastAsia="zh-CN"/>
              </w:rPr>
              <w:t>柜体面漆由丙烯酸聚氨酯树脂涂料、</w:t>
            </w:r>
            <w:r>
              <w:rPr>
                <w:rFonts w:hint="eastAsia"/>
                <w:sz w:val="24"/>
                <w:szCs w:val="24"/>
                <w:lang w:val="en-US" w:eastAsia="zh-CN"/>
              </w:rPr>
              <w:t>固化剂、稀释剂4:1:1配比混合使用，</w:t>
            </w:r>
            <w:r>
              <w:rPr>
                <w:rFonts w:hint="eastAsia" w:cs="Times New Roman"/>
                <w:color w:val="auto"/>
                <w:sz w:val="24"/>
                <w:szCs w:val="24"/>
                <w:highlight w:val="none"/>
                <w:vertAlign w:val="baseline"/>
                <w:lang w:val="en-US" w:eastAsia="zh-CN"/>
              </w:rPr>
              <w:t>丙烯酸聚氨酯树脂涂料密度取值</w:t>
            </w:r>
            <w:r>
              <w:rPr>
                <w:rFonts w:hint="eastAsia"/>
                <w:sz w:val="24"/>
                <w:szCs w:val="24"/>
                <w:vertAlign w:val="baseline"/>
                <w:lang w:val="en-US" w:eastAsia="zh-CN"/>
              </w:rPr>
              <w:t>1.2</w:t>
            </w:r>
            <w:r>
              <w:rPr>
                <w:rFonts w:hint="eastAsia"/>
                <w:sz w:val="24"/>
                <w:szCs w:val="24"/>
                <w:lang w:val="en-US" w:eastAsia="zh-CN"/>
              </w:rPr>
              <w:t>g/m</w:t>
            </w:r>
            <w:r>
              <w:rPr>
                <w:rFonts w:hint="eastAsia"/>
                <w:sz w:val="24"/>
                <w:szCs w:val="24"/>
                <w:vertAlign w:val="superscript"/>
                <w:lang w:val="en-US" w:eastAsia="zh-CN"/>
              </w:rPr>
              <w:t>3</w:t>
            </w:r>
            <w:r>
              <w:rPr>
                <w:rFonts w:hint="eastAsia"/>
                <w:sz w:val="24"/>
                <w:szCs w:val="24"/>
                <w:vertAlign w:val="baseline"/>
                <w:lang w:val="en-US" w:eastAsia="zh-CN"/>
              </w:rPr>
              <w:t>，</w:t>
            </w:r>
            <w:r>
              <w:rPr>
                <w:rFonts w:hint="eastAsia"/>
                <w:sz w:val="24"/>
                <w:szCs w:val="24"/>
                <w:lang w:val="en-US" w:eastAsia="zh-CN"/>
              </w:rPr>
              <w:t>固化剂</w:t>
            </w:r>
            <w:r>
              <w:rPr>
                <w:rFonts w:hint="eastAsia" w:cs="Times New Roman"/>
                <w:color w:val="auto"/>
                <w:sz w:val="24"/>
                <w:szCs w:val="24"/>
                <w:highlight w:val="none"/>
                <w:vertAlign w:val="baseline"/>
                <w:lang w:val="en-US" w:eastAsia="zh-CN"/>
              </w:rPr>
              <w:t>密度为0.98</w:t>
            </w:r>
            <w:r>
              <w:rPr>
                <w:rFonts w:hint="eastAsia"/>
                <w:sz w:val="24"/>
                <w:szCs w:val="24"/>
                <w:lang w:val="en-US" w:eastAsia="zh-CN"/>
              </w:rPr>
              <w:t>g/m</w:t>
            </w:r>
            <w:r>
              <w:rPr>
                <w:rFonts w:hint="eastAsia"/>
                <w:sz w:val="24"/>
                <w:szCs w:val="24"/>
                <w:vertAlign w:val="superscript"/>
                <w:lang w:val="en-US" w:eastAsia="zh-CN"/>
              </w:rPr>
              <w:t>3</w:t>
            </w:r>
            <w:r>
              <w:rPr>
                <w:rFonts w:hint="eastAsia"/>
                <w:sz w:val="24"/>
                <w:szCs w:val="24"/>
                <w:vertAlign w:val="baseline"/>
                <w:lang w:val="en-US" w:eastAsia="zh-CN"/>
              </w:rPr>
              <w:t>，稀释剂</w:t>
            </w:r>
            <w:r>
              <w:rPr>
                <w:rFonts w:hint="eastAsia" w:cs="Times New Roman"/>
                <w:color w:val="auto"/>
                <w:sz w:val="24"/>
                <w:szCs w:val="24"/>
                <w:highlight w:val="none"/>
                <w:vertAlign w:val="baseline"/>
                <w:lang w:val="en-US" w:eastAsia="zh-CN"/>
              </w:rPr>
              <w:t>密度为0.87</w:t>
            </w:r>
            <w:r>
              <w:rPr>
                <w:rFonts w:hint="eastAsia"/>
                <w:sz w:val="24"/>
                <w:szCs w:val="24"/>
                <w:lang w:val="en-US" w:eastAsia="zh-CN"/>
              </w:rPr>
              <w:t>~0.90g/m</w:t>
            </w:r>
            <w:r>
              <w:rPr>
                <w:rFonts w:hint="eastAsia"/>
                <w:sz w:val="24"/>
                <w:szCs w:val="24"/>
                <w:vertAlign w:val="superscript"/>
                <w:lang w:val="en-US" w:eastAsia="zh-CN"/>
              </w:rPr>
              <w:t>3</w:t>
            </w:r>
            <w:r>
              <w:rPr>
                <w:rFonts w:hint="eastAsia"/>
                <w:sz w:val="24"/>
                <w:szCs w:val="24"/>
                <w:vertAlign w:val="baseline"/>
                <w:lang w:val="en-US" w:eastAsia="zh-CN"/>
              </w:rPr>
              <w:t>，本次取值0.90</w:t>
            </w:r>
            <w:r>
              <w:rPr>
                <w:rFonts w:hint="eastAsia"/>
                <w:sz w:val="24"/>
                <w:szCs w:val="24"/>
                <w:lang w:val="en-US" w:eastAsia="zh-CN"/>
              </w:rPr>
              <w:t>g/m</w:t>
            </w:r>
            <w:r>
              <w:rPr>
                <w:rFonts w:hint="eastAsia"/>
                <w:sz w:val="24"/>
                <w:szCs w:val="24"/>
                <w:vertAlign w:val="superscript"/>
                <w:lang w:val="en-US" w:eastAsia="zh-CN"/>
              </w:rPr>
              <w:t>3</w:t>
            </w:r>
            <w:r>
              <w:rPr>
                <w:rFonts w:hint="eastAsia"/>
                <w:sz w:val="24"/>
                <w:szCs w:val="24"/>
                <w:vertAlign w:val="baseline"/>
                <w:lang w:val="en-US" w:eastAsia="zh-CN"/>
              </w:rPr>
              <w:t>，计算可知混合后</w:t>
            </w:r>
            <w:r>
              <w:rPr>
                <w:rFonts w:hint="eastAsia" w:cs="Times New Roman"/>
                <w:color w:val="auto"/>
                <w:sz w:val="24"/>
                <w:szCs w:val="24"/>
                <w:highlight w:val="none"/>
                <w:lang w:val="en-US" w:eastAsia="zh-CN"/>
              </w:rPr>
              <w:t>工作状态下的油漆</w:t>
            </w:r>
            <w:r>
              <w:rPr>
                <w:rFonts w:hint="default" w:ascii="Times New Roman" w:hAnsi="Times New Roman" w:eastAsia="宋体" w:cs="Times New Roman"/>
                <w:color w:val="auto"/>
                <w:sz w:val="24"/>
                <w:szCs w:val="24"/>
                <w:highlight w:val="none"/>
                <w:lang w:eastAsia="zh-CN"/>
              </w:rPr>
              <w:t>密度</w:t>
            </w:r>
            <w:r>
              <w:rPr>
                <w:rFonts w:hint="eastAsia"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lang w:eastAsia="zh-CN"/>
              </w:rPr>
              <w:t>为</w:t>
            </w:r>
            <w:r>
              <w:rPr>
                <w:rFonts w:hint="eastAsia" w:cs="Times New Roman"/>
                <w:color w:val="auto"/>
                <w:sz w:val="24"/>
                <w:szCs w:val="24"/>
                <w:highlight w:val="none"/>
                <w:lang w:val="en-US" w:eastAsia="zh-CN"/>
              </w:rPr>
              <w:t>1.10</w:t>
            </w:r>
            <w:r>
              <w:rPr>
                <w:rFonts w:hint="default" w:ascii="Times New Roman" w:hAnsi="Times New Roman" w:eastAsia="宋体" w:cs="Times New Roman"/>
                <w:color w:val="auto"/>
                <w:sz w:val="24"/>
                <w:szCs w:val="24"/>
                <w:highlight w:val="none"/>
                <w:lang w:val="en-US" w:eastAsia="en-US"/>
              </w:rPr>
              <w:t>g/cm</w:t>
            </w:r>
            <w:r>
              <w:rPr>
                <w:rFonts w:hint="default" w:ascii="Times New Roman" w:hAnsi="Times New Roman" w:eastAsia="宋体" w:cs="Times New Roman"/>
                <w:color w:val="auto"/>
                <w:sz w:val="24"/>
                <w:szCs w:val="24"/>
                <w:highlight w:val="none"/>
                <w:vertAlign w:val="superscript"/>
                <w:lang w:val="en-US" w:eastAsia="en-US"/>
              </w:rPr>
              <w:t>3</w:t>
            </w:r>
            <w:r>
              <w:rPr>
                <w:rFonts w:hint="eastAsia" w:cs="Times New Roman"/>
                <w:color w:val="auto"/>
                <w:sz w:val="24"/>
                <w:szCs w:val="24"/>
                <w:highlight w:val="none"/>
                <w:vertAlign w:val="baseline"/>
                <w:lang w:val="en-US" w:eastAsia="zh-CN"/>
              </w:rPr>
              <w:t>，体积为5.46L。丙烯酸聚氨酯树脂涂料</w:t>
            </w:r>
            <w:r>
              <w:rPr>
                <w:rFonts w:hint="eastAsia"/>
                <w:sz w:val="24"/>
                <w:szCs w:val="24"/>
                <w:lang w:val="en-US" w:eastAsia="zh-CN"/>
              </w:rPr>
              <w:t>中</w:t>
            </w:r>
            <w:r>
              <w:rPr>
                <w:rFonts w:hint="eastAsia" w:ascii="Times New Roman" w:hAnsi="Times New Roman" w:cs="Times New Roman"/>
                <w:b w:val="0"/>
                <w:bCs w:val="0"/>
                <w:sz w:val="24"/>
                <w:szCs w:val="24"/>
                <w:highlight w:val="none"/>
                <w:lang w:val="en-US" w:eastAsia="zh-CN"/>
              </w:rPr>
              <w:t>不含</w:t>
            </w:r>
            <w:r>
              <w:rPr>
                <w:rFonts w:hint="default" w:ascii="Times New Roman" w:hAnsi="Times New Roman" w:cs="Times New Roman"/>
                <w:b w:val="0"/>
                <w:bCs w:val="0"/>
                <w:sz w:val="24"/>
                <w:szCs w:val="24"/>
                <w:highlight w:val="none"/>
                <w:lang w:val="en-US" w:eastAsia="zh-CN"/>
              </w:rPr>
              <w:t>VOC</w:t>
            </w:r>
            <w:r>
              <w:rPr>
                <w:rFonts w:hint="eastAsia" w:ascii="Times New Roman" w:hAnsi="Times New Roman" w:cs="Times New Roman"/>
                <w:b w:val="0"/>
                <w:bCs w:val="0"/>
                <w:sz w:val="24"/>
                <w:szCs w:val="24"/>
                <w:highlight w:val="none"/>
                <w:lang w:val="en-US" w:eastAsia="zh-CN"/>
              </w:rPr>
              <w:t>，</w:t>
            </w:r>
            <w:r>
              <w:rPr>
                <w:rFonts w:hint="eastAsia"/>
                <w:sz w:val="24"/>
                <w:szCs w:val="24"/>
                <w:lang w:val="en-US" w:eastAsia="zh-CN"/>
              </w:rPr>
              <w:t>固化剂中</w:t>
            </w:r>
            <w:r>
              <w:rPr>
                <w:rFonts w:hint="default" w:ascii="Times New Roman" w:hAnsi="Times New Roman" w:cs="Times New Roman"/>
                <w:b w:val="0"/>
                <w:bCs w:val="0"/>
                <w:sz w:val="24"/>
                <w:szCs w:val="24"/>
                <w:highlight w:val="none"/>
                <w:lang w:val="en-US" w:eastAsia="zh-CN"/>
              </w:rPr>
              <w:t>VOC</w:t>
            </w:r>
            <w:r>
              <w:rPr>
                <w:rFonts w:hint="eastAsia" w:ascii="Times New Roman" w:hAnsi="Times New Roman" w:cs="Times New Roman"/>
                <w:b w:val="0"/>
                <w:bCs w:val="0"/>
                <w:sz w:val="24"/>
                <w:szCs w:val="24"/>
                <w:highlight w:val="none"/>
                <w:lang w:val="en-US" w:eastAsia="zh-CN"/>
              </w:rPr>
              <w:t>含量为100%，</w:t>
            </w:r>
            <w:r>
              <w:rPr>
                <w:rFonts w:hint="eastAsia"/>
                <w:sz w:val="24"/>
                <w:szCs w:val="24"/>
                <w:lang w:val="en-US" w:eastAsia="zh-CN"/>
              </w:rPr>
              <w:t>稀释剂中</w:t>
            </w:r>
            <w:r>
              <w:rPr>
                <w:rFonts w:hint="default" w:ascii="Times New Roman" w:hAnsi="Times New Roman" w:cs="Times New Roman"/>
                <w:b w:val="0"/>
                <w:bCs w:val="0"/>
                <w:sz w:val="24"/>
                <w:szCs w:val="24"/>
                <w:highlight w:val="none"/>
                <w:lang w:val="en-US" w:eastAsia="zh-CN"/>
              </w:rPr>
              <w:t>VOC</w:t>
            </w:r>
            <w:r>
              <w:rPr>
                <w:rFonts w:hint="eastAsia" w:ascii="Times New Roman" w:hAnsi="Times New Roman" w:cs="Times New Roman"/>
                <w:b w:val="0"/>
                <w:bCs w:val="0"/>
                <w:sz w:val="24"/>
                <w:szCs w:val="24"/>
                <w:highlight w:val="none"/>
                <w:lang w:val="en-US" w:eastAsia="zh-CN"/>
              </w:rPr>
              <w:t>含量为21%</w:t>
            </w:r>
            <w:r>
              <w:rPr>
                <w:rFonts w:hint="eastAsia" w:cs="Times New Roman"/>
                <w:color w:val="auto"/>
                <w:sz w:val="24"/>
                <w:szCs w:val="24"/>
                <w:highlight w:val="none"/>
                <w:vertAlign w:val="baseline"/>
                <w:lang w:val="en-US" w:eastAsia="zh-CN"/>
              </w:rPr>
              <w:t>，</w:t>
            </w:r>
            <w:r>
              <w:rPr>
                <w:rFonts w:hint="default" w:ascii="Times New Roman" w:hAnsi="Times New Roman" w:cs="Times New Roman"/>
                <w:b w:val="0"/>
                <w:bCs w:val="0"/>
                <w:sz w:val="24"/>
                <w:szCs w:val="24"/>
                <w:highlight w:val="none"/>
                <w:lang w:val="en-US" w:eastAsia="zh-CN"/>
              </w:rPr>
              <w:t>VOC</w:t>
            </w:r>
            <w:r>
              <w:rPr>
                <w:rFonts w:hint="eastAsia" w:cs="Times New Roman"/>
                <w:color w:val="auto"/>
                <w:sz w:val="24"/>
                <w:szCs w:val="24"/>
                <w:highlight w:val="none"/>
                <w:vertAlign w:val="baseline"/>
                <w:lang w:val="en-US" w:eastAsia="zh-CN"/>
              </w:rPr>
              <w:t>质量为1.21kg，</w:t>
            </w:r>
            <w:r>
              <w:rPr>
                <w:rFonts w:hint="eastAsia"/>
                <w:sz w:val="24"/>
                <w:szCs w:val="24"/>
                <w:vertAlign w:val="baseline"/>
                <w:lang w:val="en-US" w:eastAsia="zh-CN"/>
              </w:rPr>
              <w:t>混合后</w:t>
            </w:r>
            <w:r>
              <w:rPr>
                <w:rFonts w:hint="eastAsia" w:cs="Times New Roman"/>
                <w:color w:val="auto"/>
                <w:sz w:val="24"/>
                <w:szCs w:val="24"/>
                <w:highlight w:val="none"/>
                <w:lang w:val="en-US" w:eastAsia="zh-CN"/>
              </w:rPr>
              <w:t>工作状态下的柜体面漆</w:t>
            </w:r>
            <w:r>
              <w:rPr>
                <w:rFonts w:hint="default" w:ascii="Times New Roman" w:hAnsi="Times New Roman" w:cs="Times New Roman"/>
                <w:b w:val="0"/>
                <w:bCs w:val="0"/>
                <w:sz w:val="24"/>
                <w:szCs w:val="24"/>
                <w:highlight w:val="none"/>
                <w:lang w:val="en-US" w:eastAsia="zh-CN"/>
              </w:rPr>
              <w:t>VOC含量为</w:t>
            </w:r>
            <w:r>
              <w:rPr>
                <w:rFonts w:hint="eastAsia" w:ascii="Times New Roman" w:hAnsi="Times New Roman" w:cs="Times New Roman"/>
                <w:b w:val="0"/>
                <w:bCs w:val="0"/>
                <w:sz w:val="24"/>
                <w:szCs w:val="24"/>
                <w:highlight w:val="none"/>
                <w:lang w:val="en-US" w:eastAsia="zh-CN"/>
              </w:rPr>
              <w:t>221.41</w:t>
            </w:r>
            <w:r>
              <w:rPr>
                <w:rFonts w:hint="default" w:ascii="Times New Roman" w:hAnsi="Times New Roman" w:cs="Times New Roman"/>
                <w:b w:val="0"/>
                <w:bCs w:val="0"/>
                <w:sz w:val="24"/>
                <w:szCs w:val="24"/>
                <w:highlight w:val="none"/>
                <w:lang w:val="en-US" w:eastAsia="zh-CN"/>
              </w:rPr>
              <w:t>g/L</w:t>
            </w:r>
            <w:r>
              <w:rPr>
                <w:rFonts w:hint="eastAsia" w:ascii="Times New Roman" w:hAnsi="Times New Roman" w:cs="Times New Roman"/>
                <w:b w:val="0"/>
                <w:bCs w:val="0"/>
                <w:sz w:val="24"/>
                <w:szCs w:val="24"/>
                <w:highlight w:val="none"/>
                <w:lang w:val="en-US" w:eastAsia="zh-CN"/>
              </w:rPr>
              <w:t>。</w:t>
            </w:r>
          </w:p>
          <w:p w14:paraId="6996102D">
            <w:pPr>
              <w:autoSpaceDE w:val="0"/>
              <w:autoSpaceDN w:val="0"/>
              <w:adjustRightInd w:val="0"/>
              <w:spacing w:line="360" w:lineRule="auto"/>
              <w:ind w:firstLine="480" w:firstLineChars="200"/>
              <w:rPr>
                <w:rFonts w:hint="eastAsia" w:ascii="Times New Roman" w:hAnsi="Times New Roman" w:eastAsia="宋体"/>
                <w:b/>
                <w:bCs/>
                <w:kern w:val="0"/>
                <w:sz w:val="24"/>
                <w:lang w:eastAsia="zh-CN"/>
              </w:rPr>
            </w:pPr>
            <w:r>
              <w:rPr>
                <w:rFonts w:hint="eastAsia" w:cs="Times New Roman"/>
                <w:b w:val="0"/>
                <w:bCs w:val="0"/>
                <w:sz w:val="24"/>
                <w:szCs w:val="24"/>
                <w:highlight w:val="none"/>
                <w:lang w:val="en-US" w:eastAsia="zh-CN"/>
              </w:rPr>
              <w:t>根据《低挥发性有机化合物含量涂料产品技术要求》（GB/T 38597-2020）文件要求，溶剂型涂料中VOC含量的要求为：工业防护涂料中工程机械和农业机械涂料（含零部件涂料），底漆和面漆（双组份）VOC限量值均需≤420g/L。本项目新增使用的漆料VOC含量为</w:t>
            </w:r>
            <w:r>
              <w:rPr>
                <w:rFonts w:hint="eastAsia" w:ascii="Times New Roman" w:hAnsi="Times New Roman" w:cs="Times New Roman"/>
                <w:b w:val="0"/>
                <w:bCs w:val="0"/>
                <w:sz w:val="24"/>
                <w:szCs w:val="24"/>
                <w:highlight w:val="none"/>
                <w:lang w:val="en-US" w:eastAsia="zh-CN"/>
              </w:rPr>
              <w:t>221.41</w:t>
            </w:r>
            <w:r>
              <w:rPr>
                <w:rFonts w:hint="default" w:ascii="Times New Roman" w:hAnsi="Times New Roman" w:cs="Times New Roman"/>
                <w:b w:val="0"/>
                <w:bCs w:val="0"/>
                <w:sz w:val="24"/>
                <w:szCs w:val="24"/>
                <w:highlight w:val="none"/>
                <w:lang w:val="en-US" w:eastAsia="zh-CN"/>
              </w:rPr>
              <w:t>g/L</w:t>
            </w:r>
            <w:r>
              <w:rPr>
                <w:rFonts w:hint="eastAsia" w:ascii="Times New Roman" w:hAnsi="Times New Roman" w:cs="Times New Roman"/>
                <w:b w:val="0"/>
                <w:bCs w:val="0"/>
                <w:sz w:val="24"/>
                <w:szCs w:val="24"/>
                <w:highlight w:val="none"/>
                <w:lang w:val="en-US" w:eastAsia="zh-CN"/>
              </w:rPr>
              <w:t>-378.91</w:t>
            </w:r>
            <w:r>
              <w:rPr>
                <w:rFonts w:hint="default" w:ascii="Times New Roman" w:hAnsi="Times New Roman" w:cs="Times New Roman"/>
                <w:b w:val="0"/>
                <w:bCs w:val="0"/>
                <w:sz w:val="24"/>
                <w:szCs w:val="24"/>
                <w:highlight w:val="none"/>
                <w:lang w:val="en-US" w:eastAsia="zh-CN"/>
              </w:rPr>
              <w:t>g/L</w:t>
            </w:r>
            <w:r>
              <w:rPr>
                <w:rFonts w:hint="eastAsia" w:ascii="Times New Roman" w:hAnsi="Times New Roman" w:cs="Times New Roman"/>
                <w:b w:val="0"/>
                <w:bCs w:val="0"/>
                <w:sz w:val="24"/>
                <w:szCs w:val="24"/>
                <w:highlight w:val="none"/>
                <w:lang w:val="en-US" w:eastAsia="zh-CN"/>
              </w:rPr>
              <w:t>，</w:t>
            </w:r>
            <w:r>
              <w:rPr>
                <w:rFonts w:hint="eastAsia" w:cs="Times New Roman"/>
                <w:b w:val="0"/>
                <w:bCs w:val="0"/>
                <w:sz w:val="24"/>
                <w:szCs w:val="24"/>
                <w:highlight w:val="none"/>
                <w:lang w:val="en-US" w:eastAsia="zh-CN"/>
              </w:rPr>
              <w:t>均</w:t>
            </w:r>
            <w:r>
              <w:rPr>
                <w:rFonts w:hint="eastAsia" w:ascii="Times New Roman" w:hAnsi="Times New Roman" w:cs="Times New Roman"/>
                <w:b w:val="0"/>
                <w:bCs w:val="0"/>
                <w:sz w:val="24"/>
                <w:szCs w:val="24"/>
                <w:highlight w:val="none"/>
                <w:lang w:val="en-US" w:eastAsia="zh-CN"/>
              </w:rPr>
              <w:t>符合</w:t>
            </w:r>
            <w:r>
              <w:rPr>
                <w:rFonts w:hint="default" w:ascii="Times New Roman" w:hAnsi="Times New Roman" w:cs="Times New Roman"/>
                <w:b w:val="0"/>
                <w:bCs w:val="0"/>
                <w:sz w:val="24"/>
                <w:szCs w:val="24"/>
                <w:highlight w:val="none"/>
                <w:lang w:val="en-US" w:eastAsia="zh-CN"/>
              </w:rPr>
              <w:t>《低挥发性有机化合物含量涂料产品技术要求》（GB/T38597-2020）表2中限量值</w:t>
            </w:r>
            <w:r>
              <w:rPr>
                <w:rFonts w:hint="eastAsia" w:ascii="Times New Roman" w:hAnsi="Times New Roman" w:cs="Times New Roman"/>
                <w:b w:val="0"/>
                <w:bCs w:val="0"/>
                <w:sz w:val="24"/>
                <w:szCs w:val="24"/>
                <w:highlight w:val="none"/>
                <w:lang w:val="en-US" w:eastAsia="zh-CN"/>
              </w:rPr>
              <w:t>要求</w:t>
            </w:r>
            <w:r>
              <w:rPr>
                <w:rFonts w:hint="eastAsia" w:cs="Times New Roman"/>
                <w:b w:val="0"/>
                <w:bCs w:val="0"/>
                <w:sz w:val="24"/>
                <w:szCs w:val="24"/>
                <w:highlight w:val="none"/>
                <w:lang w:val="en-US" w:eastAsia="zh-CN"/>
              </w:rPr>
              <w:t>。</w:t>
            </w:r>
          </w:p>
          <w:p w14:paraId="14BAF8FB">
            <w:pPr>
              <w:autoSpaceDE w:val="0"/>
              <w:autoSpaceDN w:val="0"/>
              <w:adjustRightInd w:val="0"/>
              <w:spacing w:line="360" w:lineRule="auto"/>
              <w:ind w:firstLine="482" w:firstLineChars="200"/>
              <w:rPr>
                <w:rFonts w:hint="default" w:ascii="Times New Roman" w:hAnsi="Times New Roman" w:cs="Times New Roman"/>
                <w:b/>
                <w:bCs/>
                <w:color w:val="000000" w:themeColor="text1"/>
                <w:sz w:val="22"/>
                <w:szCs w:val="22"/>
                <w14:textFill>
                  <w14:solidFill>
                    <w14:schemeClr w14:val="tx1"/>
                  </w14:solidFill>
                </w14:textFill>
              </w:rPr>
            </w:pPr>
            <w:r>
              <w:rPr>
                <w:rFonts w:hint="eastAsia" w:ascii="Times New Roman" w:hAnsi="Times New Roman" w:eastAsia="宋体"/>
                <w:b/>
                <w:bCs/>
                <w:kern w:val="0"/>
                <w:sz w:val="24"/>
                <w:lang w:eastAsia="zh-CN"/>
              </w:rPr>
              <w:t>主要物料理化性质</w:t>
            </w:r>
          </w:p>
          <w:p w14:paraId="619C6311">
            <w:pPr>
              <w:jc w:val="center"/>
              <w:rPr>
                <w:rFonts w:hint="default" w:ascii="Times New Roman" w:hAnsi="Times New Roman" w:cs="Times New Roman"/>
                <w:b/>
                <w:bCs/>
                <w:color w:val="000000" w:themeColor="text1"/>
                <w:sz w:val="22"/>
                <w:szCs w:val="22"/>
                <w14:textFill>
                  <w14:solidFill>
                    <w14:schemeClr w14:val="tx1"/>
                  </w14:solidFill>
                </w14:textFill>
              </w:rPr>
            </w:pPr>
            <w:r>
              <w:rPr>
                <w:rFonts w:hint="default" w:ascii="Times New Roman" w:hAnsi="Times New Roman" w:cs="Times New Roman"/>
                <w:b/>
                <w:bCs/>
                <w:color w:val="000000" w:themeColor="text1"/>
                <w:sz w:val="22"/>
                <w:szCs w:val="22"/>
                <w14:textFill>
                  <w14:solidFill>
                    <w14:schemeClr w14:val="tx1"/>
                  </w14:solidFill>
                </w14:textFill>
              </w:rPr>
              <w:t>表2-</w:t>
            </w:r>
            <w:r>
              <w:rPr>
                <w:rFonts w:hint="eastAsia" w:cs="Times New Roman"/>
                <w:b/>
                <w:bCs/>
                <w:color w:val="000000" w:themeColor="text1"/>
                <w:sz w:val="22"/>
                <w:szCs w:val="22"/>
                <w:lang w:val="en-US" w:eastAsia="zh-CN"/>
                <w14:textFill>
                  <w14:solidFill>
                    <w14:schemeClr w14:val="tx1"/>
                  </w14:solidFill>
                </w14:textFill>
              </w:rPr>
              <w:t>9  本项目漆料、封装料成分及理化性质</w:t>
            </w:r>
            <w:r>
              <w:rPr>
                <w:rFonts w:hint="default" w:ascii="Times New Roman" w:hAnsi="Times New Roman" w:cs="Times New Roman"/>
                <w:b/>
                <w:bCs/>
                <w:color w:val="000000" w:themeColor="text1"/>
                <w:sz w:val="22"/>
                <w:szCs w:val="22"/>
                <w14:textFill>
                  <w14:solidFill>
                    <w14:schemeClr w14:val="tx1"/>
                  </w14:solidFill>
                </w14:textFill>
              </w:rPr>
              <w:t>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994"/>
              <w:gridCol w:w="5247"/>
            </w:tblGrid>
            <w:tr w14:paraId="3E45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vAlign w:val="center"/>
                </w:tcPr>
                <w:p w14:paraId="7F6EED70">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bCs/>
                      <w:kern w:val="0"/>
                      <w:sz w:val="21"/>
                      <w:szCs w:val="21"/>
                      <w:vertAlign w:val="baseline"/>
                      <w:lang w:val="en-US" w:eastAsia="zh-CN"/>
                    </w:rPr>
                  </w:pPr>
                  <w:r>
                    <w:rPr>
                      <w:rFonts w:hint="default" w:ascii="Times New Roman" w:hAnsi="Times New Roman" w:cs="Times New Roman" w:eastAsiaTheme="minorEastAsia"/>
                      <w:b/>
                      <w:bCs/>
                      <w:kern w:val="0"/>
                      <w:sz w:val="21"/>
                      <w:szCs w:val="21"/>
                      <w:vertAlign w:val="baseline"/>
                      <w:lang w:val="en-US" w:eastAsia="zh-CN"/>
                    </w:rPr>
                    <w:t>名称</w:t>
                  </w:r>
                </w:p>
              </w:tc>
              <w:tc>
                <w:tcPr>
                  <w:tcW w:w="1224" w:type="pct"/>
                  <w:vAlign w:val="center"/>
                </w:tcPr>
                <w:p w14:paraId="33444213">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bCs/>
                      <w:kern w:val="0"/>
                      <w:sz w:val="21"/>
                      <w:szCs w:val="21"/>
                      <w:vertAlign w:val="baseline"/>
                      <w:lang w:val="en-US" w:eastAsia="zh-CN"/>
                    </w:rPr>
                  </w:pPr>
                  <w:r>
                    <w:rPr>
                      <w:rFonts w:hint="default" w:ascii="Times New Roman" w:hAnsi="Times New Roman" w:cs="Times New Roman" w:eastAsiaTheme="minorEastAsia"/>
                      <w:b/>
                      <w:bCs/>
                      <w:kern w:val="0"/>
                      <w:sz w:val="21"/>
                      <w:szCs w:val="21"/>
                      <w:vertAlign w:val="baseline"/>
                      <w:lang w:val="en-US" w:eastAsia="zh-CN"/>
                    </w:rPr>
                    <w:t>主要成分及含量</w:t>
                  </w:r>
                </w:p>
              </w:tc>
              <w:tc>
                <w:tcPr>
                  <w:tcW w:w="3220" w:type="pct"/>
                  <w:vAlign w:val="center"/>
                </w:tcPr>
                <w:p w14:paraId="27BF2697">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color w:val="000000" w:themeColor="text1"/>
                      <w:sz w:val="21"/>
                      <w:szCs w:val="21"/>
                      <w14:textFill>
                        <w14:solidFill>
                          <w14:schemeClr w14:val="tx1"/>
                        </w14:solidFill>
                      </w14:textFill>
                    </w:rPr>
                    <w:t>理化</w:t>
                  </w:r>
                  <w:r>
                    <w:rPr>
                      <w:rFonts w:hint="default" w:ascii="Times New Roman" w:hAnsi="Times New Roman" w:cs="Times New Roman"/>
                      <w:b/>
                      <w:bCs/>
                      <w:color w:val="000000" w:themeColor="text1"/>
                      <w:sz w:val="21"/>
                      <w:szCs w:val="21"/>
                      <w:lang w:val="en-US" w:eastAsia="zh-CN"/>
                      <w14:textFill>
                        <w14:solidFill>
                          <w14:schemeClr w14:val="tx1"/>
                        </w14:solidFill>
                      </w14:textFill>
                    </w:rPr>
                    <w:t>性质</w:t>
                  </w:r>
                </w:p>
              </w:tc>
            </w:tr>
            <w:tr w14:paraId="5551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65A85256">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底漆</w:t>
                  </w:r>
                </w:p>
              </w:tc>
            </w:tr>
            <w:tr w14:paraId="6DD8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vAlign w:val="center"/>
                </w:tcPr>
                <w:p w14:paraId="44E89A82">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底漆A</w:t>
                  </w:r>
                </w:p>
              </w:tc>
              <w:tc>
                <w:tcPr>
                  <w:tcW w:w="1224" w:type="pct"/>
                  <w:vAlign w:val="center"/>
                </w:tcPr>
                <w:p w14:paraId="7639E228">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改性环氧树脂：</w:t>
                  </w:r>
                  <w:r>
                    <w:rPr>
                      <w:rFonts w:hint="default" w:ascii="Times New Roman" w:hAnsi="Times New Roman" w:cs="Times New Roman" w:eastAsiaTheme="minorEastAsia"/>
                      <w:b w:val="0"/>
                      <w:bCs w:val="0"/>
                      <w:kern w:val="0"/>
                      <w:sz w:val="21"/>
                      <w:szCs w:val="21"/>
                      <w:vertAlign w:val="baseline"/>
                      <w:lang w:val="en-US" w:eastAsia="zh-CN"/>
                    </w:rPr>
                    <w:t>20%-30%；助剂</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b w:val="0"/>
                      <w:bCs w:val="0"/>
                      <w:kern w:val="0"/>
                      <w:sz w:val="21"/>
                      <w:szCs w:val="21"/>
                      <w:vertAlign w:val="baseline"/>
                      <w:lang w:val="en-US" w:eastAsia="zh-CN"/>
                    </w:rPr>
                    <w:t>2%-4%；防锈颜填料</w:t>
                  </w:r>
                  <w:r>
                    <w:rPr>
                      <w:rFonts w:hint="default" w:ascii="Times New Roman" w:hAnsi="Times New Roman" w:cs="Times New Roman" w:eastAsiaTheme="minorEastAsia"/>
                      <w:sz w:val="21"/>
                      <w:szCs w:val="21"/>
                      <w:lang w:val="en-US" w:eastAsia="zh-CN"/>
                    </w:rPr>
                    <w:t>：50</w:t>
                  </w:r>
                  <w:r>
                    <w:rPr>
                      <w:rFonts w:hint="default" w:ascii="Times New Roman" w:hAnsi="Times New Roman" w:cs="Times New Roman" w:eastAsiaTheme="minorEastAsia"/>
                      <w:b w:val="0"/>
                      <w:bCs w:val="0"/>
                      <w:kern w:val="0"/>
                      <w:sz w:val="21"/>
                      <w:szCs w:val="21"/>
                      <w:vertAlign w:val="baseline"/>
                      <w:lang w:val="en-US" w:eastAsia="zh-CN"/>
                    </w:rPr>
                    <w:t>%-60%；二甲苯及异构体</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b w:val="0"/>
                      <w:bCs w:val="0"/>
                      <w:kern w:val="0"/>
                      <w:sz w:val="21"/>
                      <w:szCs w:val="21"/>
                      <w:vertAlign w:val="baseline"/>
                      <w:lang w:val="en-US" w:eastAsia="zh-CN"/>
                    </w:rPr>
                    <w:t>%-10%；丙二醇单甲醚</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b w:val="0"/>
                      <w:bCs w:val="0"/>
                      <w:kern w:val="0"/>
                      <w:sz w:val="21"/>
                      <w:szCs w:val="21"/>
                      <w:vertAlign w:val="baseline"/>
                      <w:lang w:val="en-US" w:eastAsia="zh-CN"/>
                    </w:rPr>
                    <w:t>%-10%</w:t>
                  </w:r>
                </w:p>
              </w:tc>
              <w:tc>
                <w:tcPr>
                  <w:tcW w:w="3220" w:type="pct"/>
                  <w:vAlign w:val="center"/>
                </w:tcPr>
                <w:p w14:paraId="1CCC4769">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产品的外观与性状：液体，对眼睛、皮肤、粘膜有刺激性</w:t>
                  </w:r>
                  <w:r>
                    <w:rPr>
                      <w:rFonts w:hint="default" w:ascii="Times New Roman" w:hAnsi="Times New Roman" w:cs="Times New Roman"/>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highlight w:val="none"/>
                      <w:lang w:val="en-US" w:eastAsia="zh-CN" w:bidi="ar"/>
                    </w:rPr>
                    <w:t>易燃液体，其蒸气与空气混合，能形成爆炸性混合物。</w:t>
                  </w:r>
                  <w:r>
                    <w:rPr>
                      <w:rFonts w:hint="default" w:ascii="Times New Roman" w:hAnsi="Times New Roman" w:eastAsia="宋体" w:cs="Times New Roman"/>
                      <w:color w:val="000000"/>
                      <w:kern w:val="0"/>
                      <w:sz w:val="21"/>
                      <w:szCs w:val="21"/>
                      <w:lang w:val="en-US" w:eastAsia="zh-CN" w:bidi="ar"/>
                    </w:rPr>
                    <w:t>闪点：2</w:t>
                  </w:r>
                  <w:r>
                    <w:rPr>
                      <w:rFonts w:hint="default" w:ascii="Times New Roman" w:hAnsi="Times New Roman" w:cs="Times New Roman"/>
                      <w:color w:val="000000"/>
                      <w:kern w:val="0"/>
                      <w:sz w:val="21"/>
                      <w:szCs w:val="21"/>
                      <w:lang w:val="en-US" w:eastAsia="zh-CN" w:bidi="ar"/>
                    </w:rPr>
                    <w:t>8</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 xml:space="preserve"> 爆炸极限：</w:t>
                  </w:r>
                  <w:r>
                    <w:rPr>
                      <w:rFonts w:hint="default" w:ascii="Times New Roman" w:hAnsi="Times New Roman" w:cs="Times New Roman"/>
                      <w:color w:val="000000"/>
                      <w:kern w:val="0"/>
                      <w:sz w:val="21"/>
                      <w:szCs w:val="21"/>
                      <w:lang w:val="en-US" w:eastAsia="zh-CN" w:bidi="ar"/>
                    </w:rPr>
                    <w:t>6.37</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0.87</w:t>
                  </w:r>
                  <w:r>
                    <w:rPr>
                      <w:rFonts w:hint="default" w:ascii="Times New Roman" w:hAnsi="Times New Roman" w:eastAsia="宋体" w:cs="Times New Roman"/>
                      <w:color w:val="000000"/>
                      <w:kern w:val="0"/>
                      <w:sz w:val="21"/>
                      <w:szCs w:val="21"/>
                      <w:lang w:val="en-US" w:eastAsia="zh-CN" w:bidi="ar"/>
                    </w:rPr>
                    <w:t>%</w:t>
                  </w:r>
                </w:p>
                <w:p w14:paraId="6BE28F39">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相对密度（水=1）：</w:t>
                  </w:r>
                  <w:r>
                    <w:rPr>
                      <w:rFonts w:hint="default" w:ascii="Times New Roman" w:hAnsi="Times New Roman" w:cs="Times New Roman"/>
                      <w:color w:val="000000"/>
                      <w:kern w:val="0"/>
                      <w:sz w:val="21"/>
                      <w:szCs w:val="21"/>
                      <w:lang w:val="en-US" w:eastAsia="zh-CN" w:bidi="ar"/>
                    </w:rPr>
                    <w:t>1.3</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3.3    气味：芳烃</w:t>
                  </w:r>
                </w:p>
                <w:p w14:paraId="32DF443B">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使用时</w:t>
                  </w:r>
                  <w:r>
                    <w:rPr>
                      <w:rFonts w:hint="default" w:ascii="Times New Roman" w:hAnsi="Times New Roman" w:cs="Times New Roman" w:eastAsiaTheme="minorEastAsia"/>
                      <w:sz w:val="21"/>
                      <w:szCs w:val="21"/>
                      <w:highlight w:val="none"/>
                      <w:lang w:val="en-US" w:eastAsia="zh-CN"/>
                    </w:rPr>
                    <w:t>底漆A与底漆B按照10:1混合使用</w:t>
                  </w:r>
                </w:p>
              </w:tc>
            </w:tr>
            <w:tr w14:paraId="3018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vAlign w:val="center"/>
                </w:tcPr>
                <w:p w14:paraId="4B66F054">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底漆B</w:t>
                  </w:r>
                </w:p>
              </w:tc>
              <w:tc>
                <w:tcPr>
                  <w:tcW w:w="1224" w:type="pct"/>
                  <w:vAlign w:val="center"/>
                </w:tcPr>
                <w:p w14:paraId="56CCA2D2">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改良胺固化剂：20</w:t>
                  </w:r>
                  <w:r>
                    <w:rPr>
                      <w:rFonts w:hint="default" w:ascii="Times New Roman" w:hAnsi="Times New Roman" w:cs="Times New Roman" w:eastAsiaTheme="minorEastAsia"/>
                      <w:b w:val="0"/>
                      <w:bCs w:val="0"/>
                      <w:kern w:val="0"/>
                      <w:sz w:val="21"/>
                      <w:szCs w:val="21"/>
                      <w:vertAlign w:val="baseline"/>
                      <w:lang w:val="en-US" w:eastAsia="zh-CN"/>
                    </w:rPr>
                    <w:t>%-80%；二甲苯及异构体</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b w:val="0"/>
                      <w:bCs w:val="0"/>
                      <w:kern w:val="0"/>
                      <w:sz w:val="21"/>
                      <w:szCs w:val="21"/>
                      <w:vertAlign w:val="baseline"/>
                      <w:lang w:val="en-US" w:eastAsia="zh-CN"/>
                    </w:rPr>
                    <w:t>%-20%；丙二醇单甲醚</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b w:val="0"/>
                      <w:bCs w:val="0"/>
                      <w:kern w:val="0"/>
                      <w:sz w:val="21"/>
                      <w:szCs w:val="21"/>
                      <w:vertAlign w:val="baseline"/>
                      <w:lang w:val="en-US" w:eastAsia="zh-CN"/>
                    </w:rPr>
                    <w:t>%-10%</w:t>
                  </w:r>
                </w:p>
              </w:tc>
              <w:tc>
                <w:tcPr>
                  <w:tcW w:w="3220" w:type="pct"/>
                  <w:vAlign w:val="center"/>
                </w:tcPr>
                <w:p w14:paraId="6C9A643A">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液体。易燃其蒸气与空气混合，能形成爆炸性混合物。对皮肤有刺激性。跟皮肤接触可能会引起敏化作用。</w:t>
                  </w:r>
                  <w:r>
                    <w:rPr>
                      <w:rFonts w:hint="default" w:ascii="Times New Roman" w:hAnsi="Times New Roman" w:eastAsia="宋体" w:cs="Times New Roman"/>
                      <w:color w:val="000000"/>
                      <w:kern w:val="0"/>
                      <w:sz w:val="21"/>
                      <w:szCs w:val="21"/>
                      <w:lang w:val="en-US" w:eastAsia="zh-CN" w:bidi="ar"/>
                    </w:rPr>
                    <w:t>对眼睛、皮肤、粘膜有刺激性</w:t>
                  </w:r>
                  <w:r>
                    <w:rPr>
                      <w:rFonts w:hint="default" w:ascii="Times New Roman" w:hAnsi="Times New Roman" w:cs="Times New Roman"/>
                      <w:color w:val="000000"/>
                      <w:kern w:val="0"/>
                      <w:sz w:val="21"/>
                      <w:szCs w:val="21"/>
                      <w:lang w:val="en-US" w:eastAsia="zh-CN" w:bidi="ar"/>
                    </w:rPr>
                    <w:t>。</w:t>
                  </w:r>
                </w:p>
                <w:p w14:paraId="2041C169">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闪点：2</w:t>
                  </w:r>
                  <w:r>
                    <w:rPr>
                      <w:rFonts w:hint="default" w:ascii="Times New Roman" w:hAnsi="Times New Roman" w:cs="Times New Roman"/>
                      <w:color w:val="000000"/>
                      <w:kern w:val="0"/>
                      <w:sz w:val="21"/>
                      <w:szCs w:val="21"/>
                      <w:lang w:val="en-US" w:eastAsia="zh-CN" w:bidi="ar"/>
                    </w:rPr>
                    <w:t>8</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 xml:space="preserve"> 爆炸极限：</w:t>
                  </w:r>
                  <w:r>
                    <w:rPr>
                      <w:rFonts w:hint="default" w:ascii="Times New Roman" w:hAnsi="Times New Roman" w:cs="Times New Roman"/>
                      <w:color w:val="000000"/>
                      <w:kern w:val="0"/>
                      <w:sz w:val="21"/>
                      <w:szCs w:val="21"/>
                      <w:lang w:val="en-US" w:eastAsia="zh-CN" w:bidi="ar"/>
                    </w:rPr>
                    <w:t>9.22</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0.9</w:t>
                  </w:r>
                  <w:r>
                    <w:rPr>
                      <w:rFonts w:hint="default" w:ascii="Times New Roman" w:hAnsi="Times New Roman" w:eastAsia="宋体" w:cs="Times New Roman"/>
                      <w:color w:val="000000"/>
                      <w:kern w:val="0"/>
                      <w:sz w:val="21"/>
                      <w:szCs w:val="21"/>
                      <w:lang w:val="en-US" w:eastAsia="zh-CN" w:bidi="ar"/>
                    </w:rPr>
                    <w:t>%</w:t>
                  </w:r>
                </w:p>
                <w:p w14:paraId="28100D03">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lang w:val="en-US" w:eastAsia="zh-CN" w:bidi="ar"/>
                    </w:rPr>
                    <w:t>相对密度（水=1）：</w:t>
                  </w:r>
                  <w:r>
                    <w:rPr>
                      <w:rFonts w:hint="default" w:ascii="Times New Roman" w:hAnsi="Times New Roman" w:cs="Times New Roman"/>
                      <w:color w:val="000000"/>
                      <w:kern w:val="0"/>
                      <w:sz w:val="21"/>
                      <w:szCs w:val="21"/>
                      <w:lang w:val="en-US" w:eastAsia="zh-CN" w:bidi="ar"/>
                    </w:rPr>
                    <w:t>0.91</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0.96    气味：特殊</w:t>
                  </w:r>
                  <w:r>
                    <w:rPr>
                      <w:rFonts w:hint="default" w:ascii="Times New Roman" w:hAnsi="Times New Roman" w:cs="Times New Roman"/>
                      <w:color w:val="000000"/>
                      <w:kern w:val="0"/>
                      <w:sz w:val="21"/>
                      <w:szCs w:val="21"/>
                      <w:lang w:val="en-US" w:eastAsia="zh-CN" w:bidi="ar"/>
                    </w:rPr>
                    <w:br w:type="textWrapping"/>
                  </w:r>
                  <w:r>
                    <w:rPr>
                      <w:rFonts w:hint="default" w:ascii="Times New Roman" w:hAnsi="Times New Roman" w:cs="Times New Roman"/>
                      <w:color w:val="000000"/>
                      <w:kern w:val="0"/>
                      <w:sz w:val="21"/>
                      <w:szCs w:val="21"/>
                      <w:lang w:val="en-US" w:eastAsia="zh-CN" w:bidi="ar"/>
                    </w:rPr>
                    <w:t>自然温度：290</w:t>
                  </w:r>
                  <w:r>
                    <w:rPr>
                      <w:rFonts w:hint="default" w:ascii="Times New Roman" w:hAnsi="Times New Roman" w:eastAsia="宋体" w:cs="Times New Roman"/>
                      <w:color w:val="000000"/>
                      <w:kern w:val="0"/>
                      <w:sz w:val="21"/>
                      <w:szCs w:val="21"/>
                      <w:lang w:val="en-US" w:eastAsia="zh-CN" w:bidi="ar"/>
                    </w:rPr>
                    <w:t>℃</w:t>
                  </w:r>
                </w:p>
              </w:tc>
            </w:tr>
            <w:tr w14:paraId="2AE9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505FC71D">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sz w:val="21"/>
                      <w:szCs w:val="21"/>
                      <w:highlight w:val="none"/>
                      <w:lang w:val="en-US" w:eastAsia="zh-CN"/>
                    </w:rPr>
                    <w:t>炉体面漆</w:t>
                  </w:r>
                  <w:r>
                    <w:rPr>
                      <w:rFonts w:hint="eastAsia" w:cs="Times New Roman" w:eastAsiaTheme="minorEastAsia"/>
                      <w:sz w:val="21"/>
                      <w:szCs w:val="21"/>
                      <w:highlight w:val="none"/>
                      <w:lang w:val="en-US" w:eastAsia="zh-CN"/>
                    </w:rPr>
                    <w:t>、</w:t>
                  </w:r>
                  <w:r>
                    <w:rPr>
                      <w:rFonts w:hint="default" w:ascii="Times New Roman" w:hAnsi="Times New Roman" w:cs="Times New Roman" w:eastAsiaTheme="minorEastAsia"/>
                      <w:sz w:val="21"/>
                      <w:szCs w:val="21"/>
                      <w:highlight w:val="none"/>
                      <w:lang w:val="en-US" w:eastAsia="zh-CN"/>
                    </w:rPr>
                    <w:t>稀释剂</w:t>
                  </w:r>
                  <w:r>
                    <w:rPr>
                      <w:rFonts w:hint="eastAsia" w:cs="Times New Roman" w:eastAsiaTheme="minorEastAsia"/>
                      <w:sz w:val="21"/>
                      <w:szCs w:val="21"/>
                      <w:highlight w:val="none"/>
                      <w:lang w:val="en-US" w:eastAsia="zh-CN"/>
                    </w:rPr>
                    <w:t>、</w:t>
                  </w:r>
                  <w:r>
                    <w:rPr>
                      <w:rFonts w:hint="default" w:ascii="Times New Roman" w:hAnsi="Times New Roman" w:cs="Times New Roman" w:eastAsiaTheme="minorEastAsia"/>
                      <w:sz w:val="21"/>
                      <w:szCs w:val="21"/>
                      <w:highlight w:val="none"/>
                      <w:lang w:val="en-US" w:eastAsia="zh-CN"/>
                    </w:rPr>
                    <w:t>固化剂</w:t>
                  </w:r>
                </w:p>
              </w:tc>
            </w:tr>
            <w:tr w14:paraId="28D7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vAlign w:val="center"/>
                </w:tcPr>
                <w:p w14:paraId="095F09D2">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醇酸面漆</w:t>
                  </w:r>
                </w:p>
              </w:tc>
              <w:tc>
                <w:tcPr>
                  <w:tcW w:w="1224" w:type="pct"/>
                  <w:vAlign w:val="center"/>
                </w:tcPr>
                <w:p w14:paraId="6DDFCD53">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醇酸树脂：55</w:t>
                  </w:r>
                  <w:r>
                    <w:rPr>
                      <w:rFonts w:hint="default" w:ascii="Times New Roman" w:hAnsi="Times New Roman" w:cs="Times New Roman" w:eastAsiaTheme="minorEastAsia"/>
                      <w:b w:val="0"/>
                      <w:bCs w:val="0"/>
                      <w:kern w:val="0"/>
                      <w:sz w:val="21"/>
                      <w:szCs w:val="21"/>
                      <w:vertAlign w:val="baseline"/>
                      <w:lang w:val="en-US" w:eastAsia="zh-CN"/>
                    </w:rPr>
                    <w:t>%-70%；无机颜料28%；有机颜料12%；助剂：0.2%</w:t>
                  </w:r>
                </w:p>
              </w:tc>
              <w:tc>
                <w:tcPr>
                  <w:tcW w:w="3220" w:type="pct"/>
                  <w:vAlign w:val="center"/>
                </w:tcPr>
                <w:p w14:paraId="31FDBD17">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物质状态：黏稠液体；气味:溶剂气味；颜色：各色；自燃温度:约476</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 xml:space="preserve">  爆炸极限:1.2~7.5%</w:t>
                  </w:r>
                </w:p>
                <w:p w14:paraId="69D59212">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密度: 1.23~1.31g/cm 3(20</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highlight w:val="none"/>
                      <w:lang w:val="en-US" w:eastAsia="zh-CN" w:bidi="ar"/>
                    </w:rPr>
                    <w:t>) 蒸气压:11mbar (20</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highlight w:val="none"/>
                      <w:lang w:val="en-US" w:eastAsia="zh-CN" w:bidi="ar"/>
                    </w:rPr>
                    <w:t>)</w:t>
                  </w:r>
                </w:p>
                <w:p w14:paraId="2416F81F">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可对皮肤、粘膜产生刺激作用，对中枢神经系统有一定麻醉作用，长期大量作用可影响肝、肾功能。禁忌物:强氧化剂、酸类、碱类</w:t>
                  </w:r>
                </w:p>
                <w:p w14:paraId="6BD409A3">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避免接触的条件:避免高温、高热、明火、电源</w:t>
                  </w:r>
                </w:p>
              </w:tc>
            </w:tr>
            <w:tr w14:paraId="5B48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vAlign w:val="center"/>
                </w:tcPr>
                <w:p w14:paraId="23BF633B">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稀释剂</w:t>
                  </w:r>
                </w:p>
              </w:tc>
              <w:tc>
                <w:tcPr>
                  <w:tcW w:w="1224" w:type="pct"/>
                  <w:vAlign w:val="center"/>
                </w:tcPr>
                <w:p w14:paraId="4F0D340E">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二甲苯：20</w:t>
                  </w:r>
                  <w:r>
                    <w:rPr>
                      <w:rFonts w:hint="default" w:ascii="Times New Roman" w:hAnsi="Times New Roman" w:cs="Times New Roman" w:eastAsiaTheme="minorEastAsia"/>
                      <w:b w:val="0"/>
                      <w:bCs w:val="0"/>
                      <w:kern w:val="0"/>
                      <w:sz w:val="21"/>
                      <w:szCs w:val="21"/>
                      <w:vertAlign w:val="baseline"/>
                      <w:lang w:val="en-US" w:eastAsia="zh-CN"/>
                    </w:rPr>
                    <w:t>%-40%；乙酯、甲酯</w:t>
                  </w:r>
                  <w:r>
                    <w:rPr>
                      <w:rFonts w:hint="default" w:ascii="Times New Roman" w:hAnsi="Times New Roman" w:cs="Times New Roman" w:eastAsiaTheme="minorEastAsia"/>
                      <w:sz w:val="21"/>
                      <w:szCs w:val="21"/>
                      <w:lang w:val="en-US" w:eastAsia="zh-CN"/>
                    </w:rPr>
                    <w:t>：60</w:t>
                  </w:r>
                  <w:r>
                    <w:rPr>
                      <w:rFonts w:hint="default" w:ascii="Times New Roman" w:hAnsi="Times New Roman" w:cs="Times New Roman" w:eastAsiaTheme="minorEastAsia"/>
                      <w:b w:val="0"/>
                      <w:bCs w:val="0"/>
                      <w:kern w:val="0"/>
                      <w:sz w:val="21"/>
                      <w:szCs w:val="21"/>
                      <w:vertAlign w:val="baseline"/>
                      <w:lang w:val="en-US" w:eastAsia="zh-CN"/>
                    </w:rPr>
                    <w:t>%-80%；助剂</w:t>
                  </w:r>
                  <w:r>
                    <w:rPr>
                      <w:rFonts w:hint="default"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b w:val="0"/>
                      <w:bCs w:val="0"/>
                      <w:kern w:val="0"/>
                      <w:sz w:val="21"/>
                      <w:szCs w:val="21"/>
                      <w:vertAlign w:val="baseline"/>
                      <w:lang w:val="en-US" w:eastAsia="zh-CN"/>
                    </w:rPr>
                    <w:t>%-10%</w:t>
                  </w:r>
                </w:p>
              </w:tc>
              <w:tc>
                <w:tcPr>
                  <w:tcW w:w="3220" w:type="pct"/>
                  <w:vAlign w:val="center"/>
                </w:tcPr>
                <w:p w14:paraId="332C3747">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物质状态：液体；气味:溶剂气味；颜色：水白色；自燃温度:约407</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 xml:space="preserve">  爆炸极限:1.0~7.5%  闪点：27</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highlight w:val="none"/>
                      <w:lang w:val="en-US" w:eastAsia="zh-CN" w:bidi="ar"/>
                    </w:rPr>
                    <w:t>)</w:t>
                  </w:r>
                </w:p>
                <w:p w14:paraId="7C74700A">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密度:0.886g/cm 3(20</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highlight w:val="none"/>
                      <w:lang w:val="en-US" w:eastAsia="zh-CN" w:bidi="ar"/>
                    </w:rPr>
                    <w:t>)  沸程:50-135</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highlight w:val="none"/>
                      <w:lang w:val="en-US" w:eastAsia="zh-CN" w:bidi="ar"/>
                    </w:rPr>
                    <w:t>)</w:t>
                  </w:r>
                </w:p>
                <w:p w14:paraId="72FE13FD">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可对皮肤、粘膜产生刺激作用，对中枢神经系统有一定麻醉作用，长期大量作用可影响肝、肾功能。禁忌物:强氧化剂、酸类、碱类</w:t>
                  </w:r>
                </w:p>
                <w:p w14:paraId="0774D644">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避免接触的条件:避免高温、高热、明火、电源</w:t>
                  </w:r>
                </w:p>
              </w:tc>
            </w:tr>
            <w:tr w14:paraId="735D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shd w:val="clear" w:color="auto" w:fill="auto"/>
                  <w:vAlign w:val="center"/>
                </w:tcPr>
                <w:p w14:paraId="0EDCD7EF">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固化剂</w:t>
                  </w:r>
                </w:p>
              </w:tc>
              <w:tc>
                <w:tcPr>
                  <w:tcW w:w="1224" w:type="pct"/>
                  <w:shd w:val="clear" w:color="auto" w:fill="auto"/>
                  <w:vAlign w:val="center"/>
                </w:tcPr>
                <w:p w14:paraId="237BBA20">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eastAsiaTheme="minorEastAsia"/>
                      <w:b w:val="0"/>
                      <w:bCs w:val="0"/>
                      <w:kern w:val="0"/>
                      <w:sz w:val="21"/>
                      <w:szCs w:val="21"/>
                      <w:vertAlign w:val="baseline"/>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醋酸丁酯</w:t>
                  </w: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b w:val="0"/>
                      <w:bCs w:val="0"/>
                      <w:kern w:val="0"/>
                      <w:sz w:val="21"/>
                      <w:szCs w:val="21"/>
                      <w:vertAlign w:val="baseline"/>
                      <w:lang w:val="en-US" w:eastAsia="zh-CN"/>
                    </w:rPr>
                    <w:t>%-40%；己异氰酸酯：60%-70%</w:t>
                  </w:r>
                </w:p>
              </w:tc>
              <w:tc>
                <w:tcPr>
                  <w:tcW w:w="3220" w:type="pct"/>
                  <w:shd w:val="clear" w:color="auto" w:fill="auto"/>
                  <w:vAlign w:val="center"/>
                </w:tcPr>
                <w:p w14:paraId="3846F8C3">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产品的外观与性状：透明液体，对眼睛、皮肤、粘膜有刺激性；主要用途：工程机械和车辆面漆固化剂</w:t>
                  </w:r>
                </w:p>
                <w:p w14:paraId="29B5670C">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燃烧性：易燃，其蒸气与空气可形成爆炸性混合物，遇明火高热能引起燃烧、爆炸，与氧化剂能发生强烈反应。闪 点：27℃ </w:t>
                  </w:r>
                </w:p>
                <w:p w14:paraId="5A72C662">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引燃温度： ＞400℃ 。爆炸极限：1.2%～7.5%</w:t>
                  </w:r>
                </w:p>
                <w:p w14:paraId="4A09BBEB">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熔点：-20℃以上为流体状态 蒸汽压：＜10mmHg（20℃）。沸点/沸点范围：110～150℃ 溶解性：难溶于水 </w:t>
                  </w:r>
                </w:p>
                <w:p w14:paraId="5FBCB555">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 xml:space="preserve">相对密度（水=1）：0.95～1.05 气味：有刺激性气味 </w:t>
                  </w:r>
                </w:p>
                <w:p w14:paraId="1A678F0D">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爆炸界限：1.2%～7.5%</w:t>
                  </w:r>
                </w:p>
                <w:p w14:paraId="1B4F7DEE">
                  <w:pPr>
                    <w:keepNext w:val="0"/>
                    <w:keepLines w:val="0"/>
                    <w:widowControl/>
                    <w:suppressLineNumbers w:val="0"/>
                    <w:jc w:val="left"/>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eastAsia="宋体" w:cs="Times New Roman"/>
                      <w:color w:val="000000"/>
                      <w:kern w:val="0"/>
                      <w:sz w:val="21"/>
                      <w:szCs w:val="21"/>
                      <w:lang w:val="en-US" w:eastAsia="zh-CN" w:bidi="ar"/>
                    </w:rPr>
                    <w:t>稳定性：稳定。避免接触的条件：避免接触火种、热源和强氧化剂，防止阳光直射。 禁配物：强氧化剂。聚合危害：微量刺激性气体释放</w:t>
                  </w:r>
                  <w:r>
                    <w:rPr>
                      <w:rFonts w:hint="default" w:ascii="Times New Roman" w:hAnsi="Times New Roman" w:cs="Times New Roman"/>
                      <w:color w:val="000000"/>
                      <w:kern w:val="0"/>
                      <w:sz w:val="21"/>
                      <w:szCs w:val="21"/>
                      <w:lang w:val="en-US" w:eastAsia="zh-CN" w:bidi="ar"/>
                    </w:rPr>
                    <w:t>。</w:t>
                  </w:r>
                </w:p>
              </w:tc>
            </w:tr>
            <w:tr w14:paraId="6BB6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6AF8F1C7">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sz w:val="21"/>
                      <w:szCs w:val="21"/>
                      <w:highlight w:val="none"/>
                      <w:lang w:val="en-US" w:eastAsia="zh-CN"/>
                    </w:rPr>
                    <w:t>柜体面漆</w:t>
                  </w:r>
                  <w:r>
                    <w:rPr>
                      <w:rFonts w:hint="eastAsia" w:cs="Times New Roman" w:eastAsiaTheme="minorEastAsia"/>
                      <w:sz w:val="21"/>
                      <w:szCs w:val="21"/>
                      <w:highlight w:val="none"/>
                      <w:lang w:val="en-US" w:eastAsia="zh-CN"/>
                    </w:rPr>
                    <w:t>、</w:t>
                  </w:r>
                  <w:r>
                    <w:rPr>
                      <w:rFonts w:hint="default" w:ascii="Times New Roman" w:hAnsi="Times New Roman" w:cs="Times New Roman" w:eastAsiaTheme="minorEastAsia"/>
                      <w:sz w:val="21"/>
                      <w:szCs w:val="21"/>
                      <w:highlight w:val="none"/>
                      <w:lang w:val="en-US" w:eastAsia="zh-CN"/>
                    </w:rPr>
                    <w:t>稀释剂</w:t>
                  </w:r>
                  <w:r>
                    <w:rPr>
                      <w:rFonts w:hint="eastAsia" w:cs="Times New Roman" w:eastAsiaTheme="minorEastAsia"/>
                      <w:sz w:val="21"/>
                      <w:szCs w:val="21"/>
                      <w:highlight w:val="none"/>
                      <w:lang w:val="en-US" w:eastAsia="zh-CN"/>
                    </w:rPr>
                    <w:t>、</w:t>
                  </w:r>
                  <w:r>
                    <w:rPr>
                      <w:rFonts w:hint="default" w:ascii="Times New Roman" w:hAnsi="Times New Roman" w:cs="Times New Roman" w:eastAsiaTheme="minorEastAsia"/>
                      <w:sz w:val="21"/>
                      <w:szCs w:val="21"/>
                      <w:highlight w:val="none"/>
                      <w:lang w:val="en-US" w:eastAsia="zh-CN"/>
                    </w:rPr>
                    <w:t>固化剂</w:t>
                  </w:r>
                </w:p>
              </w:tc>
            </w:tr>
            <w:tr w14:paraId="053A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vAlign w:val="center"/>
                </w:tcPr>
                <w:p w14:paraId="3049D8AF">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lang w:val="en-US" w:eastAsia="zh-CN"/>
                    </w:rPr>
                    <w:t>丙烯酸聚氨酯树脂涂料</w:t>
                  </w:r>
                </w:p>
              </w:tc>
              <w:tc>
                <w:tcPr>
                  <w:tcW w:w="1224" w:type="pct"/>
                  <w:vAlign w:val="center"/>
                </w:tcPr>
                <w:p w14:paraId="445C9C84">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丙烯酸酯树脂：60%；聚氨酯树脂：20%</w:t>
                  </w:r>
                </w:p>
              </w:tc>
              <w:tc>
                <w:tcPr>
                  <w:tcW w:w="3220" w:type="pct"/>
                  <w:vAlign w:val="center"/>
                </w:tcPr>
                <w:p w14:paraId="0001BA95">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易燃液体，遇明火、高温、强氧化剂可燃:蒸气能与空气形成爆炸性混合物。燃烧产生刺激烟雾。燃烧产物可能包括一氧化碳、二氧化碳。溶解性:不溶于水，可混溶于乙醇、乙醚、氯仿等多数有机溶剂。</w:t>
                  </w:r>
                  <w:r>
                    <w:rPr>
                      <w:rFonts w:hint="default" w:ascii="Times New Roman" w:hAnsi="Times New Roman" w:eastAsia="宋体" w:cs="Times New Roman"/>
                      <w:color w:val="000000"/>
                      <w:kern w:val="0"/>
                      <w:sz w:val="21"/>
                      <w:szCs w:val="21"/>
                      <w:lang w:val="en-US" w:eastAsia="zh-CN" w:bidi="ar"/>
                    </w:rPr>
                    <w:t>闪 点：2</w:t>
                  </w:r>
                  <w:r>
                    <w:rPr>
                      <w:rFonts w:hint="default" w:ascii="Times New Roman" w:hAnsi="Times New Roman" w:cs="Times New Roman"/>
                      <w:color w:val="000000"/>
                      <w:kern w:val="0"/>
                      <w:sz w:val="21"/>
                      <w:szCs w:val="21"/>
                      <w:lang w:val="en-US" w:eastAsia="zh-CN" w:bidi="ar"/>
                    </w:rPr>
                    <w:t>4</w:t>
                  </w:r>
                  <w:r>
                    <w:rPr>
                      <w:rFonts w:hint="default" w:ascii="Times New Roman" w:hAnsi="Times New Roman" w:eastAsia="宋体" w:cs="Times New Roman"/>
                      <w:color w:val="000000"/>
                      <w:kern w:val="0"/>
                      <w:sz w:val="21"/>
                      <w:szCs w:val="21"/>
                      <w:lang w:val="en-US" w:eastAsia="zh-CN" w:bidi="ar"/>
                    </w:rPr>
                    <w:t>℃</w:t>
                  </w:r>
                </w:p>
              </w:tc>
            </w:tr>
            <w:tr w14:paraId="4B86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pct"/>
                  <w:shd w:val="clear" w:color="auto" w:fill="auto"/>
                  <w:vAlign w:val="center"/>
                </w:tcPr>
                <w:p w14:paraId="7982CA5E">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稀释剂</w:t>
                  </w:r>
                </w:p>
              </w:tc>
              <w:tc>
                <w:tcPr>
                  <w:tcW w:w="1224" w:type="pct"/>
                  <w:vAlign w:val="center"/>
                </w:tcPr>
                <w:p w14:paraId="14AB14B3">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二甲苯(异构体混合物)：60%；乙酸丁酯：20%；环己酮：20%</w:t>
                  </w:r>
                </w:p>
              </w:tc>
              <w:tc>
                <w:tcPr>
                  <w:tcW w:w="3220" w:type="pct"/>
                  <w:vAlign w:val="center"/>
                </w:tcPr>
                <w:p w14:paraId="2179F952">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外观与性状:无色、微白色液体。</w:t>
                  </w:r>
                </w:p>
                <w:p w14:paraId="17E354C5">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溶解性:不溶于水，溶于有机溶剂。闪点(</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eastAsiaTheme="minorEastAsia"/>
                      <w:b w:val="0"/>
                      <w:bCs w:val="0"/>
                      <w:color w:val="000000"/>
                      <w:kern w:val="0"/>
                      <w:sz w:val="21"/>
                      <w:szCs w:val="21"/>
                      <w:highlight w:val="none"/>
                      <w:lang w:val="en-US" w:eastAsia="zh-CN" w:bidi="ar"/>
                    </w:rPr>
                    <w:t>):-16</w:t>
                  </w:r>
                  <w:r>
                    <w:rPr>
                      <w:rFonts w:hint="default" w:ascii="Times New Roman" w:hAnsi="Times New Roman" w:cs="Times New Roman" w:eastAsiaTheme="minorEastAsia"/>
                      <w:b w:val="0"/>
                      <w:bCs w:val="0"/>
                      <w:color w:val="000000"/>
                      <w:kern w:val="0"/>
                      <w:sz w:val="21"/>
                      <w:szCs w:val="21"/>
                      <w:highlight w:val="none"/>
                      <w:lang w:val="en-US" w:eastAsia="zh-CN" w:bidi="ar"/>
                    </w:rPr>
                    <w:br w:type="textWrapping"/>
                  </w:r>
                  <w:r>
                    <w:rPr>
                      <w:rFonts w:hint="default" w:ascii="Times New Roman" w:hAnsi="Times New Roman" w:eastAsia="宋体" w:cs="Times New Roman"/>
                      <w:color w:val="000000"/>
                      <w:kern w:val="0"/>
                      <w:sz w:val="21"/>
                      <w:szCs w:val="21"/>
                      <w:lang w:val="en-US" w:eastAsia="zh-CN" w:bidi="ar"/>
                    </w:rPr>
                    <w:t>爆炸极限：</w:t>
                  </w:r>
                  <w:r>
                    <w:rPr>
                      <w:rFonts w:hint="default" w:ascii="Times New Roman" w:hAnsi="Times New Roman" w:cs="Times New Roman"/>
                      <w:color w:val="000000"/>
                      <w:kern w:val="0"/>
                      <w:sz w:val="21"/>
                      <w:szCs w:val="21"/>
                      <w:lang w:val="en-US" w:eastAsia="zh-CN" w:bidi="ar"/>
                    </w:rPr>
                    <w:t>1.14</w:t>
                  </w:r>
                  <w:r>
                    <w:rPr>
                      <w:rFonts w:hint="default" w:ascii="Times New Roman" w:hAnsi="Times New Roman" w:eastAsia="宋体" w:cs="Times New Roman"/>
                      <w:color w:val="000000"/>
                      <w:kern w:val="0"/>
                      <w:sz w:val="21"/>
                      <w:szCs w:val="21"/>
                      <w:lang w:val="en-US" w:eastAsia="zh-CN" w:bidi="ar"/>
                    </w:rPr>
                    <w:t>%～7.</w:t>
                  </w:r>
                  <w:r>
                    <w:rPr>
                      <w:rFonts w:hint="default" w:ascii="Times New Roman" w:hAnsi="Times New Roman" w:cs="Times New Roman"/>
                      <w:color w:val="000000"/>
                      <w:kern w:val="0"/>
                      <w:sz w:val="21"/>
                      <w:szCs w:val="21"/>
                      <w:lang w:val="en-US" w:eastAsia="zh-CN" w:bidi="ar"/>
                    </w:rPr>
                    <w:t>6</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cs="Times New Roman"/>
                      <w:color w:val="000000"/>
                      <w:kern w:val="0"/>
                      <w:sz w:val="21"/>
                      <w:szCs w:val="21"/>
                      <w:lang w:val="en-US" w:eastAsia="zh-CN" w:bidi="ar"/>
                    </w:rPr>
                    <w:t xml:space="preserve">   相对密度(水=1):0.87-0.90</w:t>
                  </w:r>
                  <w:r>
                    <w:rPr>
                      <w:rFonts w:hint="default" w:ascii="Times New Roman" w:hAnsi="Times New Roman" w:cs="Times New Roman"/>
                      <w:color w:val="000000"/>
                      <w:kern w:val="0"/>
                      <w:sz w:val="21"/>
                      <w:szCs w:val="21"/>
                      <w:lang w:val="en-US" w:eastAsia="zh-CN" w:bidi="ar"/>
                    </w:rPr>
                    <w:br w:type="textWrapping"/>
                  </w:r>
                  <w:r>
                    <w:rPr>
                      <w:rFonts w:hint="default" w:ascii="Times New Roman" w:hAnsi="Times New Roman" w:cs="Times New Roman"/>
                      <w:color w:val="000000"/>
                      <w:kern w:val="0"/>
                      <w:sz w:val="21"/>
                      <w:szCs w:val="21"/>
                      <w:lang w:val="en-US" w:eastAsia="zh-CN" w:bidi="ar"/>
                    </w:rPr>
                    <w:t>主要用途:可降低涂料的粘度，使能适合刷涂、喷涂或浸涂等施工方法。主要用于建筑、机械、电气等行业。</w:t>
                  </w:r>
                </w:p>
                <w:p w14:paraId="38D906BA">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禁配物:强氧化剂、酸类、卤素等。</w:t>
                  </w:r>
                </w:p>
                <w:p w14:paraId="38762C41">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避免接触的条件:热源、点火源、光照。</w:t>
                  </w:r>
                </w:p>
              </w:tc>
            </w:tr>
            <w:tr w14:paraId="7422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shd w:val="clear" w:color="auto" w:fill="auto"/>
                  <w:vAlign w:val="center"/>
                </w:tcPr>
                <w:p w14:paraId="0DE05ED5">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固化剂</w:t>
                  </w:r>
                </w:p>
              </w:tc>
              <w:tc>
                <w:tcPr>
                  <w:tcW w:w="1224" w:type="pct"/>
                  <w:vAlign w:val="center"/>
                </w:tcPr>
                <w:p w14:paraId="7E8D3761">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腰果酚醛胺加成物：73</w:t>
                  </w:r>
                  <w:r>
                    <w:rPr>
                      <w:rFonts w:hint="default" w:ascii="Times New Roman" w:hAnsi="Times New Roman" w:cs="Times New Roman" w:eastAsiaTheme="minorEastAsia"/>
                      <w:b w:val="0"/>
                      <w:bCs w:val="0"/>
                      <w:kern w:val="0"/>
                      <w:sz w:val="21"/>
                      <w:szCs w:val="21"/>
                      <w:vertAlign w:val="baseline"/>
                      <w:lang w:val="en-US" w:eastAsia="zh-CN"/>
                    </w:rPr>
                    <w:t>%-79%；乙二胺</w:t>
                  </w:r>
                  <w:r>
                    <w:rPr>
                      <w:rFonts w:hint="default" w:ascii="Times New Roman" w:hAnsi="Times New Roman" w:cs="Times New Roman" w:eastAsiaTheme="minorEastAsia"/>
                      <w:sz w:val="21"/>
                      <w:szCs w:val="21"/>
                      <w:lang w:val="en-US" w:eastAsia="zh-CN"/>
                    </w:rPr>
                    <w:t>：0.5</w:t>
                  </w:r>
                  <w:r>
                    <w:rPr>
                      <w:rFonts w:hint="default" w:ascii="Times New Roman" w:hAnsi="Times New Roman" w:cs="Times New Roman" w:eastAsiaTheme="minorEastAsia"/>
                      <w:b w:val="0"/>
                      <w:bCs w:val="0"/>
                      <w:kern w:val="0"/>
                      <w:sz w:val="21"/>
                      <w:szCs w:val="21"/>
                      <w:vertAlign w:val="baseline"/>
                      <w:lang w:val="en-US" w:eastAsia="zh-CN"/>
                    </w:rPr>
                    <w:t>%-2%；水</w:t>
                  </w:r>
                  <w:r>
                    <w:rPr>
                      <w:rFonts w:hint="default" w:ascii="Times New Roman" w:hAnsi="Times New Roman" w:cs="Times New Roman" w:eastAsiaTheme="minorEastAsia"/>
                      <w:sz w:val="21"/>
                      <w:szCs w:val="21"/>
                      <w:lang w:val="en-US" w:eastAsia="zh-CN"/>
                    </w:rPr>
                    <w:t>：0.5</w:t>
                  </w:r>
                  <w:r>
                    <w:rPr>
                      <w:rFonts w:hint="default" w:ascii="Times New Roman" w:hAnsi="Times New Roman" w:cs="Times New Roman" w:eastAsiaTheme="minorEastAsia"/>
                      <w:b w:val="0"/>
                      <w:bCs w:val="0"/>
                      <w:kern w:val="0"/>
                      <w:sz w:val="21"/>
                      <w:szCs w:val="21"/>
                      <w:vertAlign w:val="baseline"/>
                      <w:lang w:val="en-US" w:eastAsia="zh-CN"/>
                    </w:rPr>
                    <w:t>%-1%；二甲苯</w:t>
                  </w:r>
                  <w:r>
                    <w:rPr>
                      <w:rFonts w:hint="default" w:ascii="Times New Roman" w:hAnsi="Times New Roman" w:cs="Times New Roman" w:eastAsiaTheme="minorEastAsia"/>
                      <w:sz w:val="21"/>
                      <w:szCs w:val="21"/>
                      <w:lang w:val="en-US" w:eastAsia="zh-CN"/>
                    </w:rPr>
                    <w:t>：17</w:t>
                  </w:r>
                  <w:r>
                    <w:rPr>
                      <w:rFonts w:hint="default" w:ascii="Times New Roman" w:hAnsi="Times New Roman" w:cs="Times New Roman" w:eastAsiaTheme="minorEastAsia"/>
                      <w:b w:val="0"/>
                      <w:bCs w:val="0"/>
                      <w:kern w:val="0"/>
                      <w:sz w:val="21"/>
                      <w:szCs w:val="21"/>
                      <w:vertAlign w:val="baseline"/>
                      <w:lang w:val="en-US" w:eastAsia="zh-CN"/>
                    </w:rPr>
                    <w:t>%-19%</w:t>
                  </w:r>
                </w:p>
              </w:tc>
              <w:tc>
                <w:tcPr>
                  <w:tcW w:w="3220" w:type="pct"/>
                  <w:vAlign w:val="center"/>
                </w:tcPr>
                <w:p w14:paraId="3C1CB4D9">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外观和气味：橙色澄清透明液体，轻微的胺气味</w:t>
                  </w:r>
                </w:p>
                <w:p w14:paraId="69850E57">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 xml:space="preserve">酸碱值：11.1  </w:t>
                  </w:r>
                  <w:r>
                    <w:rPr>
                      <w:rFonts w:hint="default" w:ascii="Times New Roman" w:hAnsi="Times New Roman" w:cs="Times New Roman"/>
                      <w:color w:val="000000"/>
                      <w:kern w:val="0"/>
                      <w:sz w:val="21"/>
                      <w:szCs w:val="21"/>
                      <w:lang w:val="en-US" w:eastAsia="zh-CN" w:bidi="ar"/>
                    </w:rPr>
                    <w:t>相对密度(水=1):0.98</w:t>
                  </w:r>
                </w:p>
                <w:p w14:paraId="5B463275">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溶解性：溶于大多数有机溶剂，微溶于水。</w:t>
                  </w:r>
                </w:p>
                <w:p w14:paraId="69EAA0F3">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highlight w:val="none"/>
                      <w:lang w:val="en-US" w:eastAsia="zh-CN" w:bidi="ar"/>
                    </w:rPr>
                    <w:t>对眼睛有刺激作用。燃烧性：可燃。闪点：＞80</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br w:type="textWrapping"/>
                  </w:r>
                  <w:r>
                    <w:rPr>
                      <w:rFonts w:hint="default" w:ascii="Times New Roman" w:hAnsi="Times New Roman" w:eastAsia="宋体" w:cs="Times New Roman"/>
                      <w:color w:val="000000"/>
                      <w:kern w:val="0"/>
                      <w:sz w:val="21"/>
                      <w:szCs w:val="21"/>
                      <w:lang w:val="en-US" w:eastAsia="zh-CN" w:bidi="ar"/>
                    </w:rPr>
                    <w:t>避免接触强酸，强氧化剂，反应性的有机金属化合</w:t>
                  </w:r>
                </w:p>
                <w:p w14:paraId="51E82FD6">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lang w:val="en-US" w:eastAsia="zh-CN" w:bidi="ar"/>
                    </w:rPr>
                    <w:t>物。佩戴自给式呼吸器及适当的防护服。</w:t>
                  </w:r>
                </w:p>
              </w:tc>
            </w:tr>
            <w:tr w14:paraId="5304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shd w:val="clear" w:color="auto" w:fill="auto"/>
                  <w:vAlign w:val="center"/>
                </w:tcPr>
                <w:p w14:paraId="3844F430">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封装料</w:t>
                  </w:r>
                </w:p>
              </w:tc>
            </w:tr>
            <w:tr w14:paraId="578D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shd w:val="clear" w:color="auto" w:fill="auto"/>
                  <w:vAlign w:val="center"/>
                </w:tcPr>
                <w:p w14:paraId="28416503">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封装料A</w:t>
                  </w:r>
                </w:p>
              </w:tc>
              <w:tc>
                <w:tcPr>
                  <w:tcW w:w="1224" w:type="pct"/>
                  <w:vAlign w:val="center"/>
                </w:tcPr>
                <w:p w14:paraId="772B313B">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kern w:val="0"/>
                      <w:sz w:val="21"/>
                      <w:szCs w:val="21"/>
                      <w:vertAlign w:val="baseli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环氧树脂：50%；硅微粉：50%</w:t>
                  </w:r>
                </w:p>
              </w:tc>
              <w:tc>
                <w:tcPr>
                  <w:tcW w:w="3220" w:type="pct"/>
                  <w:vAlign w:val="center"/>
                </w:tcPr>
                <w:p w14:paraId="3644F24E">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危险性概述：CAS：25068-38-6</w:t>
                  </w:r>
                </w:p>
                <w:p w14:paraId="79F5AE1B">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外观与性状:多颜色黏稠液体；</w:t>
                  </w:r>
                </w:p>
                <w:p w14:paraId="4BB2A53F">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相对蒸气密度(空气=1)：&gt;1；闭口闪点(℃)：大于150</w:t>
                  </w:r>
                </w:p>
                <w:p w14:paraId="0B2D6C74">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稳定性:正常环境温度下密封避光储存，产品稳定</w:t>
                  </w:r>
                </w:p>
                <w:p w14:paraId="62D59E36">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禁配物:强酸、强碱；避免接触的条件:高热、明火</w:t>
                  </w:r>
                </w:p>
                <w:p w14:paraId="044E4E0B">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主要用途:用于电子封装，灌封，浇注。</w:t>
                  </w:r>
                </w:p>
              </w:tc>
            </w:tr>
            <w:tr w14:paraId="74F0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pct"/>
                  <w:shd w:val="clear" w:color="auto" w:fill="auto"/>
                  <w:vAlign w:val="center"/>
                </w:tcPr>
                <w:p w14:paraId="2FF4D25C">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封装料B</w:t>
                  </w:r>
                </w:p>
              </w:tc>
              <w:tc>
                <w:tcPr>
                  <w:tcW w:w="1224" w:type="pct"/>
                  <w:vAlign w:val="center"/>
                </w:tcPr>
                <w:p w14:paraId="5213B8D0">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cs="Times New Roman" w:eastAsiaTheme="minorEastAsia"/>
                      <w:b w:val="0"/>
                      <w:bCs w:val="0"/>
                      <w:kern w:val="0"/>
                      <w:sz w:val="21"/>
                      <w:szCs w:val="21"/>
                      <w:vertAlign w:val="baseline"/>
                      <w:lang w:val="en-US" w:eastAsia="zh-CN"/>
                    </w:rPr>
                  </w:pPr>
                  <w:r>
                    <w:rPr>
                      <w:rFonts w:hint="default" w:ascii="Times New Roman" w:hAnsi="Times New Roman" w:cs="Times New Roman" w:eastAsiaTheme="minorEastAsia"/>
                      <w:i w:val="0"/>
                      <w:iCs w:val="0"/>
                      <w:color w:val="000000"/>
                      <w:kern w:val="0"/>
                      <w:sz w:val="21"/>
                      <w:szCs w:val="21"/>
                      <w:u w:val="none"/>
                      <w:lang w:val="en-US" w:eastAsia="zh-CN" w:bidi="ar"/>
                    </w:rPr>
                    <w:t>甲基四氢苯酐：50%；硅微粉：50%</w:t>
                  </w:r>
                </w:p>
              </w:tc>
              <w:tc>
                <w:tcPr>
                  <w:tcW w:w="3220" w:type="pct"/>
                  <w:vAlign w:val="center"/>
                </w:tcPr>
                <w:p w14:paraId="08886603">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危险性概述：CAS：11070-44-3</w:t>
                  </w:r>
                </w:p>
                <w:p w14:paraId="54019112">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外观与性状：浅棕色粘稠液体；</w:t>
                  </w:r>
                </w:p>
                <w:p w14:paraId="3B36EF23">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溶解性：不溶于水；闭口闪点(℃)：大于250</w:t>
                  </w:r>
                </w:p>
                <w:p w14:paraId="46B7AD10">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稳定性:正常环境温度下密封避光储存，产品稳定</w:t>
                  </w:r>
                </w:p>
                <w:p w14:paraId="56D69C9C">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禁配物:强酸、强碱；避免接触的条件:高热、明火</w:t>
                  </w:r>
                </w:p>
                <w:p w14:paraId="2CC86414">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left"/>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主要用途:用于电子封装，灌封，浇注。</w:t>
                  </w:r>
                </w:p>
              </w:tc>
            </w:tr>
          </w:tbl>
          <w:p w14:paraId="7FF09724">
            <w:pPr>
              <w:jc w:val="center"/>
              <w:rPr>
                <w:rFonts w:hint="default" w:ascii="Times New Roman" w:hAnsi="Times New Roman" w:cs="Times New Roman"/>
                <w:b/>
                <w:bCs/>
                <w:color w:val="000000" w:themeColor="text1"/>
                <w:sz w:val="22"/>
                <w:szCs w:val="22"/>
                <w14:textFill>
                  <w14:solidFill>
                    <w14:schemeClr w14:val="tx1"/>
                  </w14:solidFill>
                </w14:textFill>
              </w:rPr>
            </w:pPr>
          </w:p>
          <w:p w14:paraId="13BE2E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油漆用量及漆量平衡</w:t>
            </w:r>
          </w:p>
          <w:p w14:paraId="3D7A0E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lang w:val="en-US" w:eastAsia="zh-CN"/>
              </w:rPr>
              <w:t>根据建设单位提供的信息，</w:t>
            </w:r>
            <w:r>
              <w:rPr>
                <w:rFonts w:hint="eastAsia"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油漆用量及漆量平衡如下所示。</w:t>
            </w:r>
          </w:p>
          <w:p w14:paraId="740C2F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lang w:val="en-US" w:eastAsia="zh-CN"/>
              </w:rPr>
              <w:t>喷枪清洗用量</w:t>
            </w:r>
          </w:p>
          <w:p w14:paraId="2D1535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lang w:val="en-US" w:eastAsia="zh-CN"/>
              </w:rPr>
              <w:t>工人平均每天使用两种稀释剂清洗喷枪2次，单次用量约为0.05kg，全年工作300天，则两种稀释剂使用量各为30kg/a。</w:t>
            </w:r>
          </w:p>
          <w:p w14:paraId="26E491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②</w:t>
            </w:r>
            <w:r>
              <w:rPr>
                <w:rFonts w:hint="eastAsia" w:cs="Times New Roman"/>
                <w:color w:val="auto"/>
                <w:sz w:val="24"/>
                <w:szCs w:val="24"/>
                <w:highlight w:val="none"/>
                <w:lang w:val="en-US" w:eastAsia="zh-CN"/>
              </w:rPr>
              <w:t>喷漆用量</w:t>
            </w:r>
            <w:r>
              <w:rPr>
                <w:rFonts w:hint="eastAsia" w:ascii="Times New Roman" w:hAnsi="Times New Roman" w:eastAsia="宋体" w:cs="Times New Roman"/>
                <w:color w:val="auto"/>
                <w:sz w:val="24"/>
                <w:szCs w:val="24"/>
                <w:highlight w:val="none"/>
                <w:lang w:val="en-US" w:eastAsia="zh-CN"/>
              </w:rPr>
              <w:t>计算</w:t>
            </w:r>
            <w:r>
              <w:rPr>
                <w:rFonts w:hint="eastAsia" w:cs="Times New Roman"/>
                <w:color w:val="auto"/>
                <w:sz w:val="24"/>
                <w:szCs w:val="24"/>
                <w:highlight w:val="none"/>
                <w:lang w:val="en-US" w:eastAsia="zh-CN"/>
              </w:rPr>
              <w:t>及漆量平衡</w:t>
            </w:r>
          </w:p>
          <w:p w14:paraId="0DE8D5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计算公式</w:t>
            </w:r>
          </w:p>
          <w:p w14:paraId="091C9A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油漆用量采用以下公式计算</w:t>
            </w:r>
          </w:p>
          <w:p w14:paraId="3B3AF3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en-US"/>
              </w:rPr>
            </w:pPr>
            <w:r>
              <w:rPr>
                <w:rFonts w:hint="default" w:ascii="Times New Roman" w:hAnsi="Times New Roman" w:eastAsia="宋体" w:cs="Times New Roman"/>
                <w:color w:val="auto"/>
                <w:sz w:val="24"/>
                <w:szCs w:val="24"/>
                <w:highlight w:val="none"/>
                <w:lang w:val="en-US" w:eastAsia="en-US"/>
              </w:rPr>
              <w:t>m=ρδs×10</w:t>
            </w:r>
            <w:r>
              <w:rPr>
                <w:rFonts w:hint="default" w:ascii="Times New Roman" w:hAnsi="Times New Roman" w:eastAsia="宋体" w:cs="Times New Roman"/>
                <w:color w:val="auto"/>
                <w:sz w:val="24"/>
                <w:szCs w:val="24"/>
                <w:highlight w:val="none"/>
                <w:vertAlign w:val="superscript"/>
                <w:lang w:val="en-US" w:eastAsia="en-US"/>
              </w:rPr>
              <w:t>-6</w:t>
            </w:r>
            <w:r>
              <w:rPr>
                <w:rFonts w:hint="default" w:ascii="Times New Roman" w:hAnsi="Times New Roman" w:eastAsia="宋体" w:cs="Times New Roman"/>
                <w:color w:val="auto"/>
                <w:sz w:val="24"/>
                <w:szCs w:val="24"/>
                <w:highlight w:val="none"/>
                <w:lang w:val="en-US" w:eastAsia="en-US"/>
              </w:rPr>
              <w:t>/（NV·ε）</w:t>
            </w:r>
          </w:p>
          <w:p w14:paraId="62995C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其中：</w:t>
            </w:r>
            <w:r>
              <w:rPr>
                <w:rFonts w:hint="default" w:ascii="Times New Roman" w:hAnsi="Times New Roman" w:eastAsia="宋体" w:cs="Times New Roman"/>
                <w:color w:val="auto"/>
                <w:sz w:val="24"/>
                <w:szCs w:val="24"/>
                <w:highlight w:val="none"/>
                <w:lang w:val="en-US" w:eastAsia="zh-CN"/>
              </w:rPr>
              <w:t>m—单种油漆用量（t）；</w:t>
            </w:r>
          </w:p>
          <w:p w14:paraId="00B8F19F">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ρ—该油漆密度，（g/cm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p>
          <w:p w14:paraId="327BDACF">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δ—涂层厚度（干膜厚度）（μm）；</w:t>
            </w:r>
          </w:p>
          <w:p w14:paraId="6C2DE434">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s—喷漆面积（m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/件）；</w:t>
            </w:r>
          </w:p>
          <w:p w14:paraId="45A6AC89">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NV—该油漆的体积固体份（%）；</w:t>
            </w:r>
          </w:p>
          <w:p w14:paraId="62506793">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ε—上漆率（%）</w:t>
            </w:r>
          </w:p>
          <w:p w14:paraId="15D09A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参数选定</w:t>
            </w:r>
          </w:p>
          <w:p w14:paraId="2E9DC2D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en-US"/>
              </w:rPr>
            </w:pPr>
            <w:r>
              <w:rPr>
                <w:rFonts w:hint="default" w:ascii="Times New Roman" w:hAnsi="Times New Roman" w:eastAsia="宋体" w:cs="Times New Roman"/>
                <w:b/>
                <w:bCs/>
                <w:color w:val="auto"/>
                <w:sz w:val="24"/>
                <w:szCs w:val="24"/>
                <w:highlight w:val="none"/>
                <w:lang w:eastAsia="zh-CN"/>
              </w:rPr>
              <w:t>油漆密度：</w:t>
            </w:r>
            <w:r>
              <w:rPr>
                <w:rFonts w:hint="eastAsia" w:cs="Times New Roman"/>
                <w:color w:val="auto"/>
                <w:sz w:val="24"/>
                <w:szCs w:val="24"/>
                <w:highlight w:val="none"/>
                <w:lang w:val="en-US" w:eastAsia="zh-CN"/>
              </w:rPr>
              <w:t>喷漆工序中，底漆由A和B两种漆根据10:1混合使用，工作状态下的油漆</w:t>
            </w:r>
            <w:r>
              <w:rPr>
                <w:rFonts w:hint="default" w:ascii="Times New Roman" w:hAnsi="Times New Roman" w:eastAsia="宋体" w:cs="Times New Roman"/>
                <w:color w:val="auto"/>
                <w:sz w:val="24"/>
                <w:szCs w:val="24"/>
                <w:highlight w:val="none"/>
                <w:lang w:eastAsia="zh-CN"/>
              </w:rPr>
              <w:t>密度</w:t>
            </w:r>
            <w:r>
              <w:rPr>
                <w:rFonts w:hint="eastAsia"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lang w:eastAsia="zh-CN"/>
              </w:rPr>
              <w:t>为</w:t>
            </w:r>
            <w:r>
              <w:rPr>
                <w:rFonts w:hint="eastAsia" w:cs="Times New Roman"/>
                <w:color w:val="auto"/>
                <w:sz w:val="24"/>
                <w:szCs w:val="24"/>
                <w:highlight w:val="none"/>
                <w:lang w:val="en-US" w:eastAsia="zh-CN"/>
              </w:rPr>
              <w:t>1.17</w:t>
            </w:r>
            <w:r>
              <w:rPr>
                <w:rFonts w:hint="default" w:ascii="Times New Roman" w:hAnsi="Times New Roman" w:eastAsia="宋体" w:cs="Times New Roman"/>
                <w:color w:val="auto"/>
                <w:sz w:val="24"/>
                <w:szCs w:val="24"/>
                <w:highlight w:val="none"/>
                <w:lang w:val="en-US" w:eastAsia="en-US"/>
              </w:rPr>
              <w:t>g/cm</w:t>
            </w:r>
            <w:r>
              <w:rPr>
                <w:rFonts w:hint="default" w:ascii="Times New Roman" w:hAnsi="Times New Roman" w:eastAsia="宋体" w:cs="Times New Roman"/>
                <w:color w:val="auto"/>
                <w:sz w:val="24"/>
                <w:szCs w:val="24"/>
                <w:highlight w:val="none"/>
                <w:vertAlign w:val="superscript"/>
                <w:lang w:val="en-US" w:eastAsia="en-US"/>
              </w:rPr>
              <w:t>3</w:t>
            </w:r>
            <w:r>
              <w:rPr>
                <w:rFonts w:hint="eastAsia" w:cs="Times New Roman"/>
                <w:color w:val="auto"/>
                <w:sz w:val="24"/>
                <w:szCs w:val="24"/>
                <w:highlight w:val="none"/>
                <w:lang w:val="en-US" w:eastAsia="zh-CN"/>
              </w:rPr>
              <w:t>；炉体所用的面漆（醇酸面漆）由油漆、稀释剂、固化剂按照质量4:1:1组成；工作状态下的油漆</w:t>
            </w:r>
            <w:r>
              <w:rPr>
                <w:rFonts w:hint="default" w:ascii="Times New Roman" w:hAnsi="Times New Roman" w:eastAsia="宋体" w:cs="Times New Roman"/>
                <w:color w:val="auto"/>
                <w:sz w:val="24"/>
                <w:szCs w:val="24"/>
                <w:highlight w:val="none"/>
                <w:lang w:eastAsia="zh-CN"/>
              </w:rPr>
              <w:t>密度</w:t>
            </w:r>
            <w:r>
              <w:rPr>
                <w:rFonts w:hint="eastAsia"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lang w:eastAsia="zh-CN"/>
              </w:rPr>
              <w:t>为</w:t>
            </w:r>
            <w:r>
              <w:rPr>
                <w:rFonts w:hint="eastAsia" w:cs="Times New Roman"/>
                <w:color w:val="auto"/>
                <w:sz w:val="24"/>
                <w:szCs w:val="24"/>
                <w:highlight w:val="none"/>
                <w:lang w:val="en-US" w:eastAsia="zh-CN"/>
              </w:rPr>
              <w:t>1.14</w:t>
            </w:r>
            <w:r>
              <w:rPr>
                <w:rFonts w:hint="default" w:ascii="Times New Roman" w:hAnsi="Times New Roman" w:eastAsia="宋体" w:cs="Times New Roman"/>
                <w:color w:val="auto"/>
                <w:sz w:val="24"/>
                <w:szCs w:val="24"/>
                <w:highlight w:val="none"/>
                <w:lang w:val="en-US" w:eastAsia="en-US"/>
              </w:rPr>
              <w:t>g/cm</w:t>
            </w:r>
            <w:r>
              <w:rPr>
                <w:rFonts w:hint="default" w:ascii="Times New Roman" w:hAnsi="Times New Roman" w:eastAsia="宋体" w:cs="Times New Roman"/>
                <w:color w:val="auto"/>
                <w:sz w:val="24"/>
                <w:szCs w:val="24"/>
                <w:highlight w:val="none"/>
                <w:vertAlign w:val="superscript"/>
                <w:lang w:val="en-US" w:eastAsia="en-US"/>
              </w:rPr>
              <w:t>3</w:t>
            </w:r>
            <w:r>
              <w:rPr>
                <w:rFonts w:hint="default" w:ascii="Times New Roman" w:hAnsi="Times New Roman" w:eastAsia="宋体" w:cs="Times New Roman"/>
                <w:color w:val="auto"/>
                <w:sz w:val="24"/>
                <w:szCs w:val="24"/>
                <w:highlight w:val="none"/>
                <w:lang w:val="en-US" w:eastAsia="en-US"/>
              </w:rPr>
              <w:t>；</w:t>
            </w:r>
            <w:r>
              <w:rPr>
                <w:rFonts w:hint="eastAsia" w:cs="Times New Roman"/>
                <w:color w:val="auto"/>
                <w:sz w:val="24"/>
                <w:szCs w:val="24"/>
                <w:highlight w:val="none"/>
                <w:lang w:val="en-US" w:eastAsia="zh-CN"/>
              </w:rPr>
              <w:t>柜体所用的面漆（丙烯酸聚氨酯树脂涂料）由油漆、稀释剂、固化剂按照质量4:1:1组成；工作状态下的油漆</w:t>
            </w:r>
            <w:r>
              <w:rPr>
                <w:rFonts w:hint="default" w:ascii="Times New Roman" w:hAnsi="Times New Roman" w:eastAsia="宋体" w:cs="Times New Roman"/>
                <w:color w:val="auto"/>
                <w:sz w:val="24"/>
                <w:szCs w:val="24"/>
                <w:highlight w:val="none"/>
                <w:lang w:eastAsia="zh-CN"/>
              </w:rPr>
              <w:t>密度</w:t>
            </w:r>
            <w:r>
              <w:rPr>
                <w:rFonts w:hint="eastAsia"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lang w:eastAsia="zh-CN"/>
              </w:rPr>
              <w:t>为</w:t>
            </w:r>
            <w:r>
              <w:rPr>
                <w:rFonts w:hint="eastAsia" w:cs="Times New Roman"/>
                <w:color w:val="auto"/>
                <w:sz w:val="24"/>
                <w:szCs w:val="24"/>
                <w:highlight w:val="none"/>
                <w:lang w:val="en-US" w:eastAsia="zh-CN"/>
              </w:rPr>
              <w:t>1.10</w:t>
            </w:r>
            <w:r>
              <w:rPr>
                <w:rFonts w:hint="default" w:ascii="Times New Roman" w:hAnsi="Times New Roman" w:eastAsia="宋体" w:cs="Times New Roman"/>
                <w:color w:val="auto"/>
                <w:sz w:val="24"/>
                <w:szCs w:val="24"/>
                <w:highlight w:val="none"/>
                <w:lang w:val="en-US" w:eastAsia="en-US"/>
              </w:rPr>
              <w:t>g/cm</w:t>
            </w:r>
            <w:r>
              <w:rPr>
                <w:rFonts w:hint="default" w:ascii="Times New Roman" w:hAnsi="Times New Roman" w:eastAsia="宋体" w:cs="Times New Roman"/>
                <w:color w:val="auto"/>
                <w:sz w:val="24"/>
                <w:szCs w:val="24"/>
                <w:highlight w:val="none"/>
                <w:vertAlign w:val="superscript"/>
                <w:lang w:val="en-US" w:eastAsia="en-US"/>
              </w:rPr>
              <w:t>3</w:t>
            </w:r>
            <w:r>
              <w:rPr>
                <w:rFonts w:hint="eastAsia"/>
                <w:bCs/>
                <w:kern w:val="0"/>
                <w:sz w:val="24"/>
                <w:szCs w:val="24"/>
                <w:highlight w:val="none"/>
                <w:lang w:eastAsia="zh-CN"/>
              </w:rPr>
              <w:t>。</w:t>
            </w:r>
          </w:p>
          <w:p w14:paraId="229A721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涂层厚度：</w:t>
            </w:r>
            <w:r>
              <w:rPr>
                <w:rFonts w:hint="default" w:ascii="Times New Roman" w:hAnsi="Times New Roman" w:eastAsia="宋体" w:cs="Times New Roman"/>
                <w:color w:val="auto"/>
                <w:sz w:val="24"/>
                <w:szCs w:val="24"/>
                <w:highlight w:val="none"/>
                <w:lang w:eastAsia="zh-CN"/>
              </w:rPr>
              <w:t>公式中的涂层厚度指的是涂层的干膜厚度，根据《重型机械通用技术条件 第12部分：涂装》（GB/T37400.12-2019）、《色漆和清漆 防护涂料体系对钢结构的防腐蚀保护 第5部分：防护涂料体系》（GB/T 30790.5-2014）</w:t>
            </w:r>
            <w:r>
              <w:rPr>
                <w:rFonts w:hint="eastAsia"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eastAsia="zh-CN"/>
              </w:rPr>
              <w:t>资料情况，底漆漆膜厚度</w:t>
            </w:r>
            <w:r>
              <w:rPr>
                <w:rFonts w:hint="eastAsia" w:cs="Times New Roman"/>
                <w:color w:val="auto"/>
                <w:sz w:val="24"/>
                <w:szCs w:val="24"/>
                <w:highlight w:val="none"/>
                <w:lang w:val="en-US" w:eastAsia="zh-CN"/>
              </w:rPr>
              <w:t>取</w:t>
            </w:r>
            <w:r>
              <w:rPr>
                <w:rFonts w:hint="default" w:ascii="Times New Roman" w:hAnsi="Times New Roman" w:eastAsia="宋体" w:cs="Times New Roman"/>
                <w:color w:val="auto"/>
                <w:sz w:val="24"/>
                <w:szCs w:val="24"/>
                <w:highlight w:val="none"/>
                <w:lang w:eastAsia="zh-CN"/>
              </w:rPr>
              <w:t>40μm</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面漆漆膜厚度</w:t>
            </w:r>
            <w:r>
              <w:rPr>
                <w:rFonts w:hint="eastAsia" w:cs="Times New Roman"/>
                <w:color w:val="auto"/>
                <w:sz w:val="24"/>
                <w:szCs w:val="24"/>
                <w:highlight w:val="none"/>
                <w:lang w:val="en-US" w:eastAsia="zh-CN"/>
              </w:rPr>
              <w:t>取6</w:t>
            </w:r>
            <w:r>
              <w:rPr>
                <w:rFonts w:hint="default" w:ascii="Times New Roman" w:hAnsi="Times New Roman" w:eastAsia="宋体" w:cs="Times New Roman"/>
                <w:color w:val="auto"/>
                <w:sz w:val="24"/>
                <w:szCs w:val="24"/>
                <w:highlight w:val="none"/>
                <w:lang w:eastAsia="zh-CN"/>
              </w:rPr>
              <w:t>0μm。参考《污染源源强核算技术指南汽车制造》(H</w:t>
            </w:r>
            <w:r>
              <w:rPr>
                <w:rFonts w:hint="eastAsia" w:cs="Times New Roman"/>
                <w:color w:val="auto"/>
                <w:sz w:val="24"/>
                <w:szCs w:val="24"/>
                <w:highlight w:val="none"/>
                <w:lang w:val="en-US" w:eastAsia="zh-CN"/>
              </w:rPr>
              <w:t>J</w:t>
            </w:r>
            <w:r>
              <w:rPr>
                <w:rFonts w:hint="default" w:ascii="Times New Roman" w:hAnsi="Times New Roman" w:eastAsia="宋体" w:cs="Times New Roman"/>
                <w:color w:val="auto"/>
                <w:sz w:val="24"/>
                <w:szCs w:val="24"/>
                <w:highlight w:val="none"/>
                <w:lang w:eastAsia="zh-CN"/>
              </w:rPr>
              <w:t>1097-2020)文件附录E中，溶剂型涂料喷涂物料中固体份附着率取60%</w:t>
            </w:r>
            <w:r>
              <w:rPr>
                <w:rFonts w:hint="eastAsia"/>
                <w:bCs/>
                <w:kern w:val="0"/>
                <w:sz w:val="24"/>
                <w:szCs w:val="24"/>
                <w:highlight w:val="none"/>
                <w:lang w:eastAsia="zh-CN"/>
              </w:rPr>
              <w:t>。</w:t>
            </w:r>
          </w:p>
          <w:p w14:paraId="6C2B3B7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eastAsia="宋体" w:cs="Times New Roman"/>
                <w:b/>
                <w:kern w:val="0"/>
                <w:sz w:val="21"/>
                <w:szCs w:val="21"/>
              </w:rPr>
            </w:pPr>
            <w:r>
              <w:rPr>
                <w:rFonts w:hint="default" w:ascii="Times New Roman" w:hAnsi="Times New Roman" w:eastAsia="宋体" w:cs="Times New Roman"/>
                <w:b/>
                <w:bCs/>
                <w:color w:val="auto"/>
                <w:sz w:val="24"/>
                <w:szCs w:val="24"/>
                <w:highlight w:val="none"/>
                <w:lang w:eastAsia="zh-CN"/>
              </w:rPr>
              <w:t>喷漆面积：</w:t>
            </w:r>
            <w:r>
              <w:rPr>
                <w:rFonts w:hint="eastAsia" w:cs="Times New Roman"/>
                <w:b w:val="0"/>
                <w:bCs w:val="0"/>
                <w:color w:val="auto"/>
                <w:sz w:val="24"/>
                <w:szCs w:val="24"/>
                <w:highlight w:val="none"/>
                <w:lang w:val="en-US" w:eastAsia="zh-CN"/>
              </w:rPr>
              <w:t>由于工件表面喷漆后放置在喷漆房内自然晾干，每套工业电炉喷漆+晾干时间为24-48h，故喷漆房内进行喷漆晾干的工业电炉数量为130套/年，剩余需要喷漆的130套工业电炉建设单位进行外协处理。</w:t>
            </w:r>
            <w:r>
              <w:rPr>
                <w:rFonts w:hint="eastAsia" w:cs="Times New Roman"/>
                <w:color w:val="auto"/>
                <w:sz w:val="24"/>
                <w:szCs w:val="24"/>
                <w:highlight w:val="none"/>
                <w:lang w:val="en-US" w:eastAsia="zh-CN"/>
              </w:rPr>
              <w:t>喷漆面积见下表：</w:t>
            </w:r>
          </w:p>
          <w:p w14:paraId="1D4EF2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ascii="Times New Roman" w:hAnsi="Times New Roman" w:eastAsia="宋体" w:cs="Times New Roman"/>
                <w:b/>
                <w:kern w:val="0"/>
                <w:sz w:val="21"/>
                <w:szCs w:val="21"/>
                <w:lang w:val="en-US" w:eastAsia="zh-CN"/>
              </w:rPr>
              <w:t>表2-1</w:t>
            </w:r>
            <w:r>
              <w:rPr>
                <w:rFonts w:hint="eastAsia" w:cs="Times New Roman"/>
                <w:b/>
                <w:kern w:val="0"/>
                <w:sz w:val="21"/>
                <w:szCs w:val="21"/>
                <w:lang w:val="en-US" w:eastAsia="zh-CN"/>
              </w:rPr>
              <w:t>0</w:t>
            </w:r>
            <w:r>
              <w:rPr>
                <w:rFonts w:hint="eastAsia" w:ascii="Times New Roman" w:hAnsi="Times New Roman" w:eastAsia="宋体" w:cs="Times New Roman"/>
                <w:b/>
                <w:kern w:val="0"/>
                <w:sz w:val="21"/>
                <w:szCs w:val="21"/>
                <w:lang w:val="en-US" w:eastAsia="zh-CN"/>
              </w:rPr>
              <w:t xml:space="preserve"> </w:t>
            </w:r>
            <w:r>
              <w:rPr>
                <w:rFonts w:ascii="Times New Roman" w:hAnsi="Times New Roman" w:eastAsia="宋体" w:cs="Times New Roman"/>
                <w:b/>
                <w:kern w:val="0"/>
                <w:sz w:val="21"/>
                <w:szCs w:val="21"/>
              </w:rPr>
              <w:t>项目</w:t>
            </w:r>
            <w:r>
              <w:rPr>
                <w:rFonts w:hint="eastAsia" w:ascii="Times New Roman" w:hAnsi="Times New Roman" w:eastAsia="宋体" w:cs="Times New Roman"/>
                <w:b/>
                <w:kern w:val="0"/>
                <w:sz w:val="21"/>
                <w:szCs w:val="21"/>
                <w:lang w:val="en-US" w:eastAsia="zh-CN"/>
              </w:rPr>
              <w:t>喷漆表面积核算</w:t>
            </w:r>
            <w:r>
              <w:rPr>
                <w:rFonts w:ascii="Times New Roman" w:hAnsi="Times New Roman" w:eastAsia="宋体" w:cs="Times New Roman"/>
                <w:b/>
                <w:kern w:val="0"/>
                <w:sz w:val="21"/>
                <w:szCs w:val="21"/>
              </w:rPr>
              <w:t>汇总一览表</w:t>
            </w:r>
          </w:p>
          <w:tbl>
            <w:tblPr>
              <w:tblStyle w:val="25"/>
              <w:tblW w:w="8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649"/>
              <w:gridCol w:w="690"/>
              <w:gridCol w:w="825"/>
              <w:gridCol w:w="885"/>
              <w:gridCol w:w="1155"/>
              <w:gridCol w:w="1185"/>
              <w:gridCol w:w="1125"/>
              <w:gridCol w:w="1249"/>
            </w:tblGrid>
            <w:tr w14:paraId="264F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gridSpan w:val="2"/>
                  <w:vAlign w:val="center"/>
                </w:tcPr>
                <w:p w14:paraId="0EA3B2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名称</w:t>
                  </w:r>
                </w:p>
              </w:tc>
              <w:tc>
                <w:tcPr>
                  <w:tcW w:w="690" w:type="dxa"/>
                  <w:vAlign w:val="center"/>
                </w:tcPr>
                <w:p w14:paraId="58225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规格</w:t>
                  </w:r>
                  <w:r>
                    <w:rPr>
                      <w:rFonts w:hint="eastAsia" w:ascii="Times New Roman" w:hAnsi="Times New Roman" w:cs="Times New Roman"/>
                      <w:color w:val="auto"/>
                      <w:sz w:val="21"/>
                      <w:szCs w:val="21"/>
                      <w:highlight w:val="none"/>
                      <w:vertAlign w:val="baseline"/>
                      <w:lang w:val="en-US" w:eastAsia="zh-CN"/>
                    </w:rPr>
                    <w:t>（t）</w:t>
                  </w:r>
                </w:p>
              </w:tc>
              <w:tc>
                <w:tcPr>
                  <w:tcW w:w="825" w:type="dxa"/>
                  <w:vAlign w:val="center"/>
                </w:tcPr>
                <w:p w14:paraId="5FD93D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生产数量（套）</w:t>
                  </w:r>
                </w:p>
              </w:tc>
              <w:tc>
                <w:tcPr>
                  <w:tcW w:w="885" w:type="dxa"/>
                  <w:vAlign w:val="center"/>
                </w:tcPr>
                <w:p w14:paraId="1E682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喷漆数量（套）</w:t>
                  </w:r>
                </w:p>
              </w:tc>
              <w:tc>
                <w:tcPr>
                  <w:tcW w:w="1155" w:type="dxa"/>
                  <w:vAlign w:val="center"/>
                </w:tcPr>
                <w:p w14:paraId="371157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炉壳</w:t>
                  </w:r>
                  <w:r>
                    <w:rPr>
                      <w:rFonts w:hint="eastAsia" w:cs="Times New Roman"/>
                      <w:color w:val="auto"/>
                      <w:sz w:val="21"/>
                      <w:szCs w:val="21"/>
                      <w:highlight w:val="none"/>
                      <w:vertAlign w:val="baseline"/>
                      <w:lang w:val="en-US" w:eastAsia="zh-CN"/>
                    </w:rPr>
                    <w:t>单件</w:t>
                  </w:r>
                  <w:r>
                    <w:rPr>
                      <w:rFonts w:hint="default" w:ascii="Times New Roman" w:hAnsi="Times New Roman" w:cs="Times New Roman"/>
                      <w:color w:val="auto"/>
                      <w:sz w:val="21"/>
                      <w:szCs w:val="21"/>
                      <w:highlight w:val="none"/>
                      <w:vertAlign w:val="baseline"/>
                      <w:lang w:val="en-US" w:eastAsia="zh-CN"/>
                    </w:rPr>
                    <w:t>喷漆面积</w:t>
                  </w:r>
                  <w:r>
                    <w:rPr>
                      <w:rFonts w:hint="eastAsia"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vertAlign w:val="baseline"/>
                      <w:lang w:val="en-US" w:eastAsia="zh-CN"/>
                    </w:rPr>
                    <w:t>）</w:t>
                  </w:r>
                </w:p>
              </w:tc>
              <w:tc>
                <w:tcPr>
                  <w:tcW w:w="1185" w:type="dxa"/>
                  <w:vAlign w:val="center"/>
                </w:tcPr>
                <w:p w14:paraId="17D984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炉壳喷漆</w:t>
                  </w:r>
                  <w:r>
                    <w:rPr>
                      <w:rFonts w:hint="eastAsia" w:cs="Times New Roman"/>
                      <w:color w:val="auto"/>
                      <w:sz w:val="21"/>
                      <w:szCs w:val="21"/>
                      <w:highlight w:val="none"/>
                      <w:vertAlign w:val="baseline"/>
                      <w:lang w:val="en-US" w:eastAsia="zh-CN"/>
                    </w:rPr>
                    <w:t>总</w:t>
                  </w:r>
                  <w:r>
                    <w:rPr>
                      <w:rFonts w:hint="default" w:ascii="Times New Roman" w:hAnsi="Times New Roman" w:cs="Times New Roman"/>
                      <w:color w:val="auto"/>
                      <w:sz w:val="21"/>
                      <w:szCs w:val="21"/>
                      <w:highlight w:val="none"/>
                      <w:vertAlign w:val="baseline"/>
                      <w:lang w:val="en-US" w:eastAsia="zh-CN"/>
                    </w:rPr>
                    <w:t>面积</w:t>
                  </w:r>
                  <w:r>
                    <w:rPr>
                      <w:rFonts w:hint="eastAsia"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vertAlign w:val="baseline"/>
                      <w:lang w:val="en-US" w:eastAsia="zh-CN"/>
                    </w:rPr>
                    <w:t>）</w:t>
                  </w:r>
                </w:p>
              </w:tc>
              <w:tc>
                <w:tcPr>
                  <w:tcW w:w="1125" w:type="dxa"/>
                  <w:vAlign w:val="center"/>
                </w:tcPr>
                <w:p w14:paraId="40A807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柜体单</w:t>
                  </w:r>
                  <w:r>
                    <w:rPr>
                      <w:rFonts w:hint="eastAsia" w:cs="Times New Roman"/>
                      <w:color w:val="auto"/>
                      <w:sz w:val="21"/>
                      <w:szCs w:val="21"/>
                      <w:highlight w:val="none"/>
                      <w:vertAlign w:val="baseline"/>
                      <w:lang w:val="en-US" w:eastAsia="zh-CN"/>
                    </w:rPr>
                    <w:t>件</w:t>
                  </w:r>
                  <w:r>
                    <w:rPr>
                      <w:rFonts w:hint="default" w:ascii="Times New Roman" w:hAnsi="Times New Roman" w:cs="Times New Roman"/>
                      <w:color w:val="auto"/>
                      <w:sz w:val="21"/>
                      <w:szCs w:val="21"/>
                      <w:highlight w:val="none"/>
                      <w:vertAlign w:val="baseline"/>
                      <w:lang w:val="en-US" w:eastAsia="zh-CN"/>
                    </w:rPr>
                    <w:t>喷漆总面积</w:t>
                  </w:r>
                  <w:r>
                    <w:rPr>
                      <w:rFonts w:hint="eastAsia"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vertAlign w:val="baseline"/>
                      <w:lang w:val="en-US" w:eastAsia="zh-CN"/>
                    </w:rPr>
                    <w:t>）</w:t>
                  </w:r>
                </w:p>
              </w:tc>
              <w:tc>
                <w:tcPr>
                  <w:tcW w:w="1249" w:type="dxa"/>
                  <w:vAlign w:val="center"/>
                </w:tcPr>
                <w:p w14:paraId="03886D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柜体喷漆总面积</w:t>
                  </w:r>
                  <w:r>
                    <w:rPr>
                      <w:rFonts w:hint="eastAsia"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vertAlign w:val="baseline"/>
                      <w:lang w:val="en-US" w:eastAsia="zh-CN"/>
                    </w:rPr>
                    <w:t>）</w:t>
                  </w:r>
                </w:p>
              </w:tc>
            </w:tr>
            <w:tr w14:paraId="7CF8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restart"/>
                  <w:vAlign w:val="center"/>
                </w:tcPr>
                <w:p w14:paraId="3B576C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工业电炉</w:t>
                  </w:r>
                </w:p>
              </w:tc>
              <w:tc>
                <w:tcPr>
                  <w:tcW w:w="649" w:type="dxa"/>
                  <w:vMerge w:val="restart"/>
                  <w:vAlign w:val="center"/>
                </w:tcPr>
                <w:p w14:paraId="4BA849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变频感应炉</w:t>
                  </w:r>
                </w:p>
                <w:p w14:paraId="62146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4164D615">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825" w:type="dxa"/>
                  <w:vAlign w:val="center"/>
                </w:tcPr>
                <w:p w14:paraId="4E45CA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85" w:type="dxa"/>
                  <w:vAlign w:val="center"/>
                </w:tcPr>
                <w:p w14:paraId="4AF915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155" w:type="dxa"/>
                  <w:shd w:val="clear" w:color="auto" w:fill="auto"/>
                  <w:vAlign w:val="center"/>
                </w:tcPr>
                <w:p w14:paraId="7E832AE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185" w:type="dxa"/>
                  <w:vAlign w:val="center"/>
                </w:tcPr>
                <w:p w14:paraId="19FB8A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125" w:type="dxa"/>
                  <w:vAlign w:val="center"/>
                </w:tcPr>
                <w:p w14:paraId="0CD26B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249" w:type="dxa"/>
                  <w:vAlign w:val="center"/>
                </w:tcPr>
                <w:p w14:paraId="4B271D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2000</w:t>
                  </w:r>
                </w:p>
              </w:tc>
            </w:tr>
            <w:tr w14:paraId="401E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778E44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5E46C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15E864B1">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825" w:type="dxa"/>
                  <w:vAlign w:val="center"/>
                </w:tcPr>
                <w:p w14:paraId="7BEE10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885" w:type="dxa"/>
                  <w:vAlign w:val="center"/>
                </w:tcPr>
                <w:p w14:paraId="161D33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155" w:type="dxa"/>
                  <w:shd w:val="clear" w:color="auto" w:fill="auto"/>
                  <w:vAlign w:val="center"/>
                </w:tcPr>
                <w:p w14:paraId="07A1CD0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185" w:type="dxa"/>
                  <w:vAlign w:val="center"/>
                </w:tcPr>
                <w:p w14:paraId="651CCD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1125" w:type="dxa"/>
                  <w:vAlign w:val="center"/>
                </w:tcPr>
                <w:p w14:paraId="4632E1F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249" w:type="dxa"/>
                  <w:vAlign w:val="center"/>
                </w:tcPr>
                <w:p w14:paraId="39DD7D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1200</w:t>
                  </w:r>
                </w:p>
              </w:tc>
            </w:tr>
            <w:tr w14:paraId="7BDD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6A4CDA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46DC2A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16D73BE6">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25" w:type="dxa"/>
                  <w:vAlign w:val="center"/>
                </w:tcPr>
                <w:p w14:paraId="54B4BF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885" w:type="dxa"/>
                  <w:vAlign w:val="center"/>
                </w:tcPr>
                <w:p w14:paraId="705292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155" w:type="dxa"/>
                  <w:shd w:val="clear" w:color="auto" w:fill="auto"/>
                  <w:vAlign w:val="center"/>
                </w:tcPr>
                <w:p w14:paraId="7162EED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185" w:type="dxa"/>
                  <w:vAlign w:val="center"/>
                </w:tcPr>
                <w:p w14:paraId="0737AF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1125" w:type="dxa"/>
                  <w:vAlign w:val="center"/>
                </w:tcPr>
                <w:p w14:paraId="3B1C8F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49" w:type="dxa"/>
                  <w:vAlign w:val="center"/>
                </w:tcPr>
                <w:p w14:paraId="2C0F8F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750</w:t>
                  </w:r>
                </w:p>
              </w:tc>
            </w:tr>
            <w:tr w14:paraId="7FB3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5F7D88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4FC378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06AFAA14">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25" w:type="dxa"/>
                  <w:vAlign w:val="center"/>
                </w:tcPr>
                <w:p w14:paraId="4AF615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85" w:type="dxa"/>
                  <w:vAlign w:val="center"/>
                </w:tcPr>
                <w:p w14:paraId="5B9FB2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155" w:type="dxa"/>
                  <w:shd w:val="clear" w:color="auto" w:fill="auto"/>
                  <w:vAlign w:val="center"/>
                </w:tcPr>
                <w:p w14:paraId="10E7006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185" w:type="dxa"/>
                  <w:vAlign w:val="center"/>
                </w:tcPr>
                <w:p w14:paraId="33878F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1125" w:type="dxa"/>
                  <w:vAlign w:val="center"/>
                </w:tcPr>
                <w:p w14:paraId="68B179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249" w:type="dxa"/>
                  <w:vAlign w:val="center"/>
                </w:tcPr>
                <w:p w14:paraId="4B23DF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600</w:t>
                  </w:r>
                </w:p>
              </w:tc>
            </w:tr>
            <w:tr w14:paraId="04A6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1BAC2B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562A1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0278A9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25" w:type="dxa"/>
                  <w:vAlign w:val="center"/>
                </w:tcPr>
                <w:p w14:paraId="5E94048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85" w:type="dxa"/>
                  <w:vAlign w:val="center"/>
                </w:tcPr>
                <w:p w14:paraId="38ED9E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155" w:type="dxa"/>
                  <w:shd w:val="clear" w:color="auto" w:fill="auto"/>
                  <w:vAlign w:val="center"/>
                </w:tcPr>
                <w:p w14:paraId="0AA75BE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85" w:type="dxa"/>
                  <w:vAlign w:val="center"/>
                </w:tcPr>
                <w:p w14:paraId="7A8B1EF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1125" w:type="dxa"/>
                  <w:vAlign w:val="center"/>
                </w:tcPr>
                <w:p w14:paraId="7CCB907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249" w:type="dxa"/>
                  <w:vAlign w:val="center"/>
                </w:tcPr>
                <w:p w14:paraId="48089C7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350</w:t>
                  </w:r>
                </w:p>
              </w:tc>
            </w:tr>
            <w:tr w14:paraId="5AED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7EF624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15F6DA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107DC4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25" w:type="dxa"/>
                  <w:vAlign w:val="center"/>
                </w:tcPr>
                <w:p w14:paraId="5B88DCB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85" w:type="dxa"/>
                  <w:vAlign w:val="center"/>
                </w:tcPr>
                <w:p w14:paraId="6DC360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5" w:type="dxa"/>
                  <w:shd w:val="clear" w:color="auto" w:fill="auto"/>
                  <w:vAlign w:val="center"/>
                </w:tcPr>
                <w:p w14:paraId="00D18FE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185" w:type="dxa"/>
                  <w:vAlign w:val="center"/>
                </w:tcPr>
                <w:p w14:paraId="1047637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125" w:type="dxa"/>
                  <w:vAlign w:val="center"/>
                </w:tcPr>
                <w:p w14:paraId="3AF7F7A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249" w:type="dxa"/>
                  <w:vAlign w:val="center"/>
                </w:tcPr>
                <w:p w14:paraId="118E999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w:t>
                  </w:r>
                </w:p>
              </w:tc>
            </w:tr>
            <w:tr w14:paraId="6838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29E0AC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26F2ED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1C573B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25" w:type="dxa"/>
                  <w:vAlign w:val="center"/>
                </w:tcPr>
                <w:p w14:paraId="51611FA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85" w:type="dxa"/>
                  <w:vAlign w:val="center"/>
                </w:tcPr>
                <w:p w14:paraId="78A2B7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shd w:val="clear" w:color="auto" w:fill="auto"/>
                  <w:vAlign w:val="center"/>
                </w:tcPr>
                <w:p w14:paraId="5A6F6A4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1185" w:type="dxa"/>
                  <w:vAlign w:val="center"/>
                </w:tcPr>
                <w:p w14:paraId="5D42A0B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1125" w:type="dxa"/>
                  <w:vAlign w:val="center"/>
                </w:tcPr>
                <w:p w14:paraId="1D52AE2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249" w:type="dxa"/>
                  <w:vAlign w:val="center"/>
                </w:tcPr>
                <w:p w14:paraId="408E0DB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w:t>
                  </w:r>
                </w:p>
              </w:tc>
            </w:tr>
            <w:tr w14:paraId="279B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453ADB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439B5D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7EDD35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825" w:type="dxa"/>
                  <w:vAlign w:val="center"/>
                </w:tcPr>
                <w:p w14:paraId="6122B28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85" w:type="dxa"/>
                  <w:vAlign w:val="center"/>
                </w:tcPr>
                <w:p w14:paraId="4625CF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shd w:val="clear" w:color="auto" w:fill="auto"/>
                  <w:vAlign w:val="center"/>
                </w:tcPr>
                <w:p w14:paraId="222571D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185" w:type="dxa"/>
                  <w:vAlign w:val="center"/>
                </w:tcPr>
                <w:p w14:paraId="28299DA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125" w:type="dxa"/>
                  <w:vAlign w:val="center"/>
                </w:tcPr>
                <w:p w14:paraId="53DA843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49" w:type="dxa"/>
                  <w:vAlign w:val="center"/>
                </w:tcPr>
                <w:p w14:paraId="30FF36E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r>
            <w:tr w14:paraId="2457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67BDFA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05134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2AEB22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825" w:type="dxa"/>
                  <w:vAlign w:val="center"/>
                </w:tcPr>
                <w:p w14:paraId="4EDD86F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85" w:type="dxa"/>
                  <w:vAlign w:val="center"/>
                </w:tcPr>
                <w:p w14:paraId="392B48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shd w:val="clear" w:color="auto" w:fill="auto"/>
                  <w:vAlign w:val="center"/>
                </w:tcPr>
                <w:p w14:paraId="155E4A3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520</w:t>
                  </w:r>
                </w:p>
              </w:tc>
              <w:tc>
                <w:tcPr>
                  <w:tcW w:w="1185" w:type="dxa"/>
                  <w:vAlign w:val="center"/>
                </w:tcPr>
                <w:p w14:paraId="55EB43C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520</w:t>
                  </w:r>
                </w:p>
              </w:tc>
              <w:tc>
                <w:tcPr>
                  <w:tcW w:w="1125" w:type="dxa"/>
                  <w:vAlign w:val="center"/>
                </w:tcPr>
                <w:p w14:paraId="3DBCC48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1249" w:type="dxa"/>
                  <w:vAlign w:val="center"/>
                </w:tcPr>
                <w:p w14:paraId="1CEA8FB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w:t>
                  </w:r>
                </w:p>
              </w:tc>
            </w:tr>
            <w:tr w14:paraId="47D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09DBB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restart"/>
                  <w:vAlign w:val="center"/>
                </w:tcPr>
                <w:p w14:paraId="40D46C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真空炉</w:t>
                  </w:r>
                </w:p>
              </w:tc>
              <w:tc>
                <w:tcPr>
                  <w:tcW w:w="690" w:type="dxa"/>
                  <w:vAlign w:val="center"/>
                </w:tcPr>
                <w:p w14:paraId="68F340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825" w:type="dxa"/>
                  <w:vAlign w:val="center"/>
                </w:tcPr>
                <w:p w14:paraId="1C78906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85" w:type="dxa"/>
                  <w:vAlign w:val="center"/>
                </w:tcPr>
                <w:p w14:paraId="51BFB5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55" w:type="dxa"/>
                  <w:shd w:val="clear" w:color="auto" w:fill="auto"/>
                  <w:vAlign w:val="center"/>
                </w:tcPr>
                <w:p w14:paraId="1296C2B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185" w:type="dxa"/>
                  <w:vAlign w:val="center"/>
                </w:tcPr>
                <w:p w14:paraId="121DD57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1125" w:type="dxa"/>
                  <w:vAlign w:val="center"/>
                </w:tcPr>
                <w:p w14:paraId="2C58C99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249" w:type="dxa"/>
                  <w:vAlign w:val="center"/>
                </w:tcPr>
                <w:p w14:paraId="7D96994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w:t>
                  </w:r>
                </w:p>
              </w:tc>
            </w:tr>
            <w:tr w14:paraId="159E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529F31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2E6C3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71EB309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825" w:type="dxa"/>
                  <w:vAlign w:val="center"/>
                </w:tcPr>
                <w:p w14:paraId="5A47D2E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85" w:type="dxa"/>
                  <w:vAlign w:val="center"/>
                </w:tcPr>
                <w:p w14:paraId="737751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5" w:type="dxa"/>
                  <w:shd w:val="clear" w:color="auto" w:fill="auto"/>
                  <w:vAlign w:val="center"/>
                </w:tcPr>
                <w:p w14:paraId="56D902C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185" w:type="dxa"/>
                  <w:vAlign w:val="center"/>
                </w:tcPr>
                <w:p w14:paraId="2F1182E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125" w:type="dxa"/>
                  <w:vAlign w:val="center"/>
                </w:tcPr>
                <w:p w14:paraId="098E6CD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249" w:type="dxa"/>
                  <w:vAlign w:val="center"/>
                </w:tcPr>
                <w:p w14:paraId="0B0D81D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r>
            <w:tr w14:paraId="78D8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079AE4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62FB30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6FE997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25" w:type="dxa"/>
                  <w:vAlign w:val="center"/>
                </w:tcPr>
                <w:p w14:paraId="0B191EC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85" w:type="dxa"/>
                  <w:vAlign w:val="center"/>
                </w:tcPr>
                <w:p w14:paraId="2B6354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55" w:type="dxa"/>
                  <w:shd w:val="clear" w:color="auto" w:fill="auto"/>
                  <w:vAlign w:val="center"/>
                </w:tcPr>
                <w:p w14:paraId="2FBAD63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185" w:type="dxa"/>
                  <w:vAlign w:val="center"/>
                </w:tcPr>
                <w:p w14:paraId="5C725E0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125" w:type="dxa"/>
                  <w:vAlign w:val="center"/>
                </w:tcPr>
                <w:p w14:paraId="194BDC7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49" w:type="dxa"/>
                  <w:vAlign w:val="center"/>
                </w:tcPr>
                <w:p w14:paraId="6360D0F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r>
            <w:tr w14:paraId="2252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376EBB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1A984A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0E09D2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25" w:type="dxa"/>
                  <w:vAlign w:val="center"/>
                </w:tcPr>
                <w:p w14:paraId="665CE70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85" w:type="dxa"/>
                  <w:vAlign w:val="center"/>
                </w:tcPr>
                <w:p w14:paraId="12D431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shd w:val="clear" w:color="auto" w:fill="auto"/>
                  <w:vAlign w:val="center"/>
                </w:tcPr>
                <w:p w14:paraId="2C1BC74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185" w:type="dxa"/>
                  <w:vAlign w:val="center"/>
                </w:tcPr>
                <w:p w14:paraId="65351F7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125" w:type="dxa"/>
                  <w:vAlign w:val="center"/>
                </w:tcPr>
                <w:p w14:paraId="28F153B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249" w:type="dxa"/>
                  <w:vAlign w:val="center"/>
                </w:tcPr>
                <w:p w14:paraId="4F44771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1E82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3325EF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7EAA2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0FDA04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25" w:type="dxa"/>
                  <w:vAlign w:val="center"/>
                </w:tcPr>
                <w:p w14:paraId="3A6A1D0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85" w:type="dxa"/>
                  <w:vAlign w:val="center"/>
                </w:tcPr>
                <w:p w14:paraId="2A1C2A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shd w:val="clear" w:color="auto" w:fill="auto"/>
                  <w:vAlign w:val="center"/>
                </w:tcPr>
                <w:p w14:paraId="416F937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85" w:type="dxa"/>
                  <w:vAlign w:val="center"/>
                </w:tcPr>
                <w:p w14:paraId="28CD948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25" w:type="dxa"/>
                  <w:vAlign w:val="center"/>
                </w:tcPr>
                <w:p w14:paraId="7433FE9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249" w:type="dxa"/>
                  <w:vAlign w:val="center"/>
                </w:tcPr>
                <w:p w14:paraId="4E9B39E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r>
            <w:tr w14:paraId="4F15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609307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restart"/>
                  <w:vAlign w:val="center"/>
                </w:tcPr>
                <w:p w14:paraId="6E99C8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保护气氛电渣炉</w:t>
                  </w:r>
                </w:p>
              </w:tc>
              <w:tc>
                <w:tcPr>
                  <w:tcW w:w="690" w:type="dxa"/>
                  <w:vAlign w:val="center"/>
                </w:tcPr>
                <w:p w14:paraId="2D0A33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825" w:type="dxa"/>
                  <w:vAlign w:val="center"/>
                </w:tcPr>
                <w:p w14:paraId="2DE6098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85" w:type="dxa"/>
                  <w:vAlign w:val="center"/>
                </w:tcPr>
                <w:p w14:paraId="6CE96F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55" w:type="dxa"/>
                  <w:shd w:val="clear" w:color="auto" w:fill="auto"/>
                  <w:vAlign w:val="center"/>
                </w:tcPr>
                <w:p w14:paraId="5D3E0A6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185" w:type="dxa"/>
                  <w:vAlign w:val="center"/>
                </w:tcPr>
                <w:p w14:paraId="6FF4F0F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125" w:type="dxa"/>
                  <w:vAlign w:val="center"/>
                </w:tcPr>
                <w:p w14:paraId="7909570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249" w:type="dxa"/>
                  <w:vAlign w:val="center"/>
                </w:tcPr>
                <w:p w14:paraId="7F0002C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r>
            <w:tr w14:paraId="46D5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7CFA45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17031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5E3D3D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825" w:type="dxa"/>
                  <w:vAlign w:val="center"/>
                </w:tcPr>
                <w:p w14:paraId="63DF98A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85" w:type="dxa"/>
                  <w:vAlign w:val="center"/>
                </w:tcPr>
                <w:p w14:paraId="76288D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shd w:val="clear" w:color="auto" w:fill="auto"/>
                  <w:vAlign w:val="center"/>
                </w:tcPr>
                <w:p w14:paraId="1E475CF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185" w:type="dxa"/>
                  <w:vAlign w:val="center"/>
                </w:tcPr>
                <w:p w14:paraId="5F1D701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125" w:type="dxa"/>
                  <w:vAlign w:val="center"/>
                </w:tcPr>
                <w:p w14:paraId="72605C9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249" w:type="dxa"/>
                  <w:vAlign w:val="center"/>
                </w:tcPr>
                <w:p w14:paraId="051908B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r>
            <w:tr w14:paraId="31FC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4051D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4CE5FC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5CCF14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25" w:type="dxa"/>
                  <w:vAlign w:val="center"/>
                </w:tcPr>
                <w:p w14:paraId="530CE21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85" w:type="dxa"/>
                  <w:vAlign w:val="center"/>
                </w:tcPr>
                <w:p w14:paraId="797A99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shd w:val="clear" w:color="auto" w:fill="auto"/>
                  <w:vAlign w:val="center"/>
                </w:tcPr>
                <w:p w14:paraId="332BAE8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185" w:type="dxa"/>
                  <w:vAlign w:val="center"/>
                </w:tcPr>
                <w:p w14:paraId="2F33ED6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125" w:type="dxa"/>
                  <w:vAlign w:val="center"/>
                </w:tcPr>
                <w:p w14:paraId="7EEBC72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49" w:type="dxa"/>
                  <w:vAlign w:val="center"/>
                </w:tcPr>
                <w:p w14:paraId="48D8A30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763B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dxa"/>
                  <w:vMerge w:val="continue"/>
                  <w:vAlign w:val="center"/>
                </w:tcPr>
                <w:p w14:paraId="7906A3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9" w:type="dxa"/>
                  <w:vMerge w:val="continue"/>
                  <w:vAlign w:val="center"/>
                </w:tcPr>
                <w:p w14:paraId="546DF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90" w:type="dxa"/>
                  <w:vAlign w:val="center"/>
                </w:tcPr>
                <w:p w14:paraId="7458F485">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25" w:type="dxa"/>
                  <w:vAlign w:val="center"/>
                </w:tcPr>
                <w:p w14:paraId="2E19EB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85" w:type="dxa"/>
                  <w:vAlign w:val="center"/>
                </w:tcPr>
                <w:p w14:paraId="3DA58B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55" w:type="dxa"/>
                  <w:shd w:val="clear" w:color="auto" w:fill="auto"/>
                  <w:vAlign w:val="center"/>
                </w:tcPr>
                <w:p w14:paraId="09ACC60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185" w:type="dxa"/>
                  <w:vAlign w:val="center"/>
                </w:tcPr>
                <w:p w14:paraId="28A0A8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125" w:type="dxa"/>
                  <w:vAlign w:val="center"/>
                </w:tcPr>
                <w:p w14:paraId="122466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249" w:type="dxa"/>
                  <w:vAlign w:val="center"/>
                </w:tcPr>
                <w:p w14:paraId="440FE8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60EF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4" w:type="dxa"/>
                  <w:gridSpan w:val="3"/>
                  <w:vAlign w:val="center"/>
                </w:tcPr>
                <w:p w14:paraId="3A31F6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合计</w:t>
                  </w:r>
                </w:p>
              </w:tc>
              <w:tc>
                <w:tcPr>
                  <w:tcW w:w="825" w:type="dxa"/>
                  <w:vAlign w:val="center"/>
                </w:tcPr>
                <w:p w14:paraId="4FFB9B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260</w:t>
                  </w:r>
                </w:p>
              </w:tc>
              <w:tc>
                <w:tcPr>
                  <w:tcW w:w="885" w:type="dxa"/>
                  <w:vAlign w:val="center"/>
                </w:tcPr>
                <w:p w14:paraId="069855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130</w:t>
                  </w:r>
                </w:p>
              </w:tc>
              <w:tc>
                <w:tcPr>
                  <w:tcW w:w="1155" w:type="dxa"/>
                  <w:vAlign w:val="center"/>
                </w:tcPr>
                <w:p w14:paraId="60712B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185" w:type="dxa"/>
                  <w:vAlign w:val="center"/>
                </w:tcPr>
                <w:p w14:paraId="2AA19C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12700</w:t>
                  </w:r>
                </w:p>
              </w:tc>
              <w:tc>
                <w:tcPr>
                  <w:tcW w:w="1125" w:type="dxa"/>
                  <w:vAlign w:val="center"/>
                </w:tcPr>
                <w:p w14:paraId="68128A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249" w:type="dxa"/>
                  <w:vAlign w:val="center"/>
                </w:tcPr>
                <w:p w14:paraId="20348B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6240</w:t>
                  </w:r>
                </w:p>
              </w:tc>
            </w:tr>
          </w:tbl>
          <w:p w14:paraId="0ED415CF">
            <w:pPr>
              <w:bidi w:val="0"/>
              <w:rPr>
                <w:rFonts w:hint="eastAsia"/>
                <w:lang w:val="en-US" w:eastAsia="zh-CN"/>
              </w:rPr>
            </w:pPr>
          </w:p>
          <w:p w14:paraId="0C04EA46">
            <w:pPr>
              <w:keepNext w:val="0"/>
              <w:keepLines w:val="0"/>
              <w:pageBreakBefore w:val="0"/>
              <w:widowControl w:val="0"/>
              <w:kinsoku/>
              <w:wordWrap/>
              <w:overflowPunct/>
              <w:topLinePunct w:val="0"/>
              <w:autoSpaceDE/>
              <w:autoSpaceDN/>
              <w:bidi w:val="0"/>
              <w:adjustRightInd/>
              <w:snapToGrid/>
              <w:spacing w:before="313" w:beforeLines="100" w:line="240" w:lineRule="auto"/>
              <w:jc w:val="center"/>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b/>
                <w:kern w:val="0"/>
                <w:sz w:val="21"/>
                <w:szCs w:val="21"/>
                <w:lang w:val="en-US" w:eastAsia="zh-CN"/>
              </w:rPr>
              <w:t>表2-1</w:t>
            </w:r>
            <w:r>
              <w:rPr>
                <w:rFonts w:hint="eastAsia" w:cs="Times New Roman"/>
                <w:b/>
                <w:kern w:val="0"/>
                <w:sz w:val="21"/>
                <w:szCs w:val="21"/>
                <w:lang w:val="en-US" w:eastAsia="zh-CN"/>
              </w:rPr>
              <w:t>1</w:t>
            </w:r>
            <w:r>
              <w:rPr>
                <w:rFonts w:hint="eastAsia" w:ascii="Times New Roman" w:hAnsi="Times New Roman" w:eastAsia="宋体" w:cs="Times New Roman"/>
                <w:b/>
                <w:kern w:val="0"/>
                <w:sz w:val="21"/>
                <w:szCs w:val="21"/>
                <w:lang w:val="en-US" w:eastAsia="zh-CN"/>
              </w:rPr>
              <w:t xml:space="preserve"> 项目漆料用量核算参数汇总一览表</w:t>
            </w:r>
          </w:p>
          <w:tbl>
            <w:tblPr>
              <w:tblStyle w:val="24"/>
              <w:tblW w:w="8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095"/>
              <w:gridCol w:w="1158"/>
              <w:gridCol w:w="997"/>
              <w:gridCol w:w="1237"/>
              <w:gridCol w:w="1067"/>
              <w:gridCol w:w="1191"/>
            </w:tblGrid>
            <w:tr w14:paraId="353C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4" w:type="dxa"/>
                  <w:shd w:val="clear" w:color="auto" w:fill="auto"/>
                  <w:noWrap w:val="0"/>
                  <w:vAlign w:val="center"/>
                </w:tcPr>
                <w:p w14:paraId="366C39BF">
                  <w:pPr>
                    <w:keepNext w:val="0"/>
                    <w:keepLines w:val="0"/>
                    <w:pageBreakBefore w:val="0"/>
                    <w:widowControl/>
                    <w:suppressLineNumbers w:val="0"/>
                    <w:kinsoku/>
                    <w:wordWrap/>
                    <w:overflowPunct/>
                    <w:topLinePunct w:val="0"/>
                    <w:autoSpaceDE/>
                    <w:autoSpaceDN/>
                    <w:bidi w:val="0"/>
                    <w:adjustRightInd/>
                    <w:ind w:right="0"/>
                    <w:jc w:val="center"/>
                    <w:textAlignment w:val="center"/>
                    <w:rPr>
                      <w:rFonts w:ascii="Times New Roman" w:hAnsi="Times New Roman" w:eastAsia="宋体" w:cs="Times New Roman"/>
                      <w:b/>
                      <w:bCs/>
                      <w:sz w:val="21"/>
                      <w:szCs w:val="21"/>
                    </w:rPr>
                  </w:pPr>
                  <w:r>
                    <w:rPr>
                      <w:rFonts w:hint="eastAsia" w:ascii="宋体" w:hAnsi="宋体" w:eastAsia="宋体" w:cs="宋体"/>
                      <w:b/>
                      <w:bCs/>
                      <w:i w:val="0"/>
                      <w:iCs w:val="0"/>
                      <w:color w:val="000000"/>
                      <w:kern w:val="0"/>
                      <w:sz w:val="21"/>
                      <w:szCs w:val="21"/>
                      <w:u w:val="none"/>
                      <w:lang w:val="en-US" w:eastAsia="zh-CN" w:bidi="ar"/>
                    </w:rPr>
                    <w:t>漆料</w:t>
                  </w:r>
                </w:p>
              </w:tc>
              <w:tc>
                <w:tcPr>
                  <w:tcW w:w="1095" w:type="dxa"/>
                  <w:shd w:val="clear" w:color="auto" w:fill="auto"/>
                  <w:noWrap w:val="0"/>
                  <w:vAlign w:val="center"/>
                </w:tcPr>
                <w:p w14:paraId="536D26CD">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漆密度/g/cm</w:t>
                  </w:r>
                  <w:r>
                    <w:rPr>
                      <w:rFonts w:ascii="Times New Roman" w:hAnsi="Times New Roman" w:eastAsia="宋体" w:cs="Times New Roman"/>
                      <w:b/>
                      <w:bCs/>
                      <w:kern w:val="0"/>
                      <w:sz w:val="21"/>
                      <w:szCs w:val="21"/>
                      <w:vertAlign w:val="superscript"/>
                      <w:lang w:val="en-US" w:eastAsia="zh-CN" w:bidi="ar-SA"/>
                    </w:rPr>
                    <w:t>3</w:t>
                  </w:r>
                </w:p>
              </w:tc>
              <w:tc>
                <w:tcPr>
                  <w:tcW w:w="1158" w:type="dxa"/>
                  <w:shd w:val="clear" w:color="auto" w:fill="auto"/>
                  <w:noWrap w:val="0"/>
                  <w:vAlign w:val="center"/>
                </w:tcPr>
                <w:p w14:paraId="7A84ED50">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涂层厚度/μm</w:t>
                  </w:r>
                </w:p>
              </w:tc>
              <w:tc>
                <w:tcPr>
                  <w:tcW w:w="997" w:type="dxa"/>
                  <w:shd w:val="clear" w:color="auto" w:fill="auto"/>
                  <w:noWrap w:val="0"/>
                  <w:vAlign w:val="center"/>
                </w:tcPr>
                <w:p w14:paraId="29ECEF29">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涂装面积/m</w:t>
                  </w:r>
                  <w:r>
                    <w:rPr>
                      <w:rFonts w:ascii="Times New Roman" w:hAnsi="Times New Roman" w:eastAsia="宋体" w:cs="Times New Roman"/>
                      <w:b/>
                      <w:bCs/>
                      <w:kern w:val="0"/>
                      <w:sz w:val="21"/>
                      <w:szCs w:val="21"/>
                      <w:vertAlign w:val="superscript"/>
                      <w:lang w:val="en-US" w:eastAsia="zh-CN" w:bidi="ar-SA"/>
                    </w:rPr>
                    <w:t>2</w:t>
                  </w:r>
                </w:p>
              </w:tc>
              <w:tc>
                <w:tcPr>
                  <w:tcW w:w="1237" w:type="dxa"/>
                  <w:shd w:val="clear" w:color="auto" w:fill="auto"/>
                  <w:noWrap w:val="0"/>
                  <w:vAlign w:val="center"/>
                </w:tcPr>
                <w:p w14:paraId="43CCA998">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固体份含量占比/%</w:t>
                  </w:r>
                </w:p>
              </w:tc>
              <w:tc>
                <w:tcPr>
                  <w:tcW w:w="1067" w:type="dxa"/>
                  <w:shd w:val="clear" w:color="auto" w:fill="auto"/>
                  <w:noWrap w:val="0"/>
                  <w:vAlign w:val="center"/>
                </w:tcPr>
                <w:p w14:paraId="1AB748D7">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上漆率/</w:t>
                  </w:r>
                  <w:r>
                    <w:rPr>
                      <w:rFonts w:ascii="Times New Roman" w:hAnsi="Times New Roman" w:eastAsia="宋体" w:cs="Times New Roman"/>
                      <w:b/>
                      <w:bCs/>
                      <w:kern w:val="0"/>
                      <w:sz w:val="21"/>
                      <w:szCs w:val="21"/>
                      <w:lang w:val="en-US" w:eastAsia="zh-CN" w:bidi="ar-SA"/>
                    </w:rPr>
                    <w:t>%</w:t>
                  </w:r>
                </w:p>
              </w:tc>
              <w:tc>
                <w:tcPr>
                  <w:tcW w:w="1191" w:type="dxa"/>
                  <w:shd w:val="clear" w:color="auto" w:fill="auto"/>
                  <w:noWrap w:val="0"/>
                  <w:vAlign w:val="center"/>
                </w:tcPr>
                <w:p w14:paraId="1D63A2E4">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漆用量/t/a</w:t>
                  </w:r>
                </w:p>
              </w:tc>
            </w:tr>
            <w:tr w14:paraId="387C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4" w:type="dxa"/>
                  <w:shd w:val="clear" w:color="auto" w:fill="auto"/>
                  <w:noWrap w:val="0"/>
                  <w:vAlign w:val="center"/>
                </w:tcPr>
                <w:p w14:paraId="11A5D3C5">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底漆</w:t>
                  </w:r>
                </w:p>
              </w:tc>
              <w:tc>
                <w:tcPr>
                  <w:tcW w:w="1095" w:type="dxa"/>
                  <w:shd w:val="clear" w:color="auto" w:fill="auto"/>
                  <w:noWrap w:val="0"/>
                  <w:vAlign w:val="center"/>
                </w:tcPr>
                <w:p w14:paraId="4D07B41D">
                  <w:pPr>
                    <w:widowControl/>
                    <w:snapToGrid w:val="0"/>
                    <w:spacing w:before="0" w:after="0" w:line="240" w:lineRule="auto"/>
                    <w:ind w:right="113"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1.17</w:t>
                  </w:r>
                </w:p>
              </w:tc>
              <w:tc>
                <w:tcPr>
                  <w:tcW w:w="1158" w:type="dxa"/>
                  <w:shd w:val="clear" w:color="auto" w:fill="auto"/>
                  <w:noWrap w:val="0"/>
                  <w:vAlign w:val="center"/>
                </w:tcPr>
                <w:p w14:paraId="3EF7F4AA">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40</w:t>
                  </w:r>
                </w:p>
              </w:tc>
              <w:tc>
                <w:tcPr>
                  <w:tcW w:w="997" w:type="dxa"/>
                  <w:shd w:val="clear" w:color="auto" w:fill="auto"/>
                  <w:noWrap w:val="0"/>
                  <w:vAlign w:val="center"/>
                </w:tcPr>
                <w:p w14:paraId="30E31E3F">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18940</w:t>
                  </w:r>
                </w:p>
              </w:tc>
              <w:tc>
                <w:tcPr>
                  <w:tcW w:w="1237" w:type="dxa"/>
                  <w:shd w:val="clear" w:color="auto" w:fill="auto"/>
                  <w:noWrap w:val="0"/>
                  <w:vAlign w:val="center"/>
                </w:tcPr>
                <w:p w14:paraId="7CEE529A">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75</w:t>
                  </w:r>
                </w:p>
              </w:tc>
              <w:tc>
                <w:tcPr>
                  <w:tcW w:w="1067" w:type="dxa"/>
                  <w:shd w:val="clear" w:color="auto" w:fill="auto"/>
                  <w:noWrap w:val="0"/>
                  <w:vAlign w:val="center"/>
                </w:tcPr>
                <w:p w14:paraId="2990C90D">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60</w:t>
                  </w:r>
                </w:p>
              </w:tc>
              <w:tc>
                <w:tcPr>
                  <w:tcW w:w="1191" w:type="dxa"/>
                  <w:shd w:val="clear" w:color="auto" w:fill="auto"/>
                  <w:noWrap w:val="0"/>
                  <w:vAlign w:val="center"/>
                </w:tcPr>
                <w:p w14:paraId="2808B35D">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1.98</w:t>
                  </w:r>
                </w:p>
              </w:tc>
            </w:tr>
            <w:tr w14:paraId="3DBA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4" w:type="dxa"/>
                  <w:shd w:val="clear" w:color="auto" w:fill="auto"/>
                  <w:noWrap w:val="0"/>
                  <w:vAlign w:val="center"/>
                </w:tcPr>
                <w:p w14:paraId="1F38AD7E">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cs="Times New Roman" w:eastAsiaTheme="minorEastAsia"/>
                      <w:sz w:val="21"/>
                      <w:szCs w:val="21"/>
                      <w:highlight w:val="none"/>
                      <w:lang w:val="en-US" w:eastAsia="zh-CN"/>
                    </w:rPr>
                    <w:t>炉体面漆</w:t>
                  </w:r>
                </w:p>
              </w:tc>
              <w:tc>
                <w:tcPr>
                  <w:tcW w:w="1095" w:type="dxa"/>
                  <w:shd w:val="clear" w:color="auto" w:fill="auto"/>
                  <w:noWrap w:val="0"/>
                  <w:vAlign w:val="center"/>
                </w:tcPr>
                <w:p w14:paraId="53297ACA">
                  <w:pPr>
                    <w:widowControl/>
                    <w:snapToGrid w:val="0"/>
                    <w:spacing w:before="0" w:after="0" w:line="240" w:lineRule="auto"/>
                    <w:ind w:right="113"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1.14</w:t>
                  </w:r>
                </w:p>
              </w:tc>
              <w:tc>
                <w:tcPr>
                  <w:tcW w:w="1158" w:type="dxa"/>
                  <w:shd w:val="clear" w:color="auto" w:fill="auto"/>
                  <w:noWrap w:val="0"/>
                  <w:vAlign w:val="center"/>
                </w:tcPr>
                <w:p w14:paraId="60537C45">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60</w:t>
                  </w:r>
                </w:p>
              </w:tc>
              <w:tc>
                <w:tcPr>
                  <w:tcW w:w="997" w:type="dxa"/>
                  <w:shd w:val="clear" w:color="auto" w:fill="auto"/>
                  <w:noWrap w:val="0"/>
                  <w:vAlign w:val="center"/>
                </w:tcPr>
                <w:p w14:paraId="05599A6B">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12700</w:t>
                  </w:r>
                </w:p>
              </w:tc>
              <w:tc>
                <w:tcPr>
                  <w:tcW w:w="1237" w:type="dxa"/>
                  <w:shd w:val="clear" w:color="auto" w:fill="auto"/>
                  <w:noWrap w:val="0"/>
                  <w:vAlign w:val="center"/>
                </w:tcPr>
                <w:p w14:paraId="23C71C45">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67</w:t>
                  </w:r>
                </w:p>
              </w:tc>
              <w:tc>
                <w:tcPr>
                  <w:tcW w:w="1067" w:type="dxa"/>
                  <w:shd w:val="clear" w:color="auto" w:fill="auto"/>
                  <w:noWrap w:val="0"/>
                  <w:vAlign w:val="center"/>
                </w:tcPr>
                <w:p w14:paraId="26AC81DE">
                  <w:pPr>
                    <w:widowControl/>
                    <w:snapToGrid w:val="0"/>
                    <w:spacing w:before="0" w:after="0" w:line="240" w:lineRule="auto"/>
                    <w:ind w:right="113" w:firstLine="0" w:firstLineChars="0"/>
                    <w:jc w:val="center"/>
                    <w:rPr>
                      <w:rFonts w:hint="eastAsia" w:cs="Times New Roman"/>
                      <w:kern w:val="0"/>
                      <w:sz w:val="21"/>
                      <w:szCs w:val="21"/>
                      <w:lang w:val="en-US" w:eastAsia="zh-CN" w:bidi="ar-SA"/>
                    </w:rPr>
                  </w:pPr>
                  <w:r>
                    <w:rPr>
                      <w:rFonts w:hint="eastAsia" w:cs="Times New Roman"/>
                      <w:kern w:val="0"/>
                      <w:sz w:val="21"/>
                      <w:szCs w:val="21"/>
                      <w:lang w:val="en-US" w:eastAsia="zh-CN" w:bidi="ar-SA"/>
                    </w:rPr>
                    <w:t>60</w:t>
                  </w:r>
                </w:p>
              </w:tc>
              <w:tc>
                <w:tcPr>
                  <w:tcW w:w="1191" w:type="dxa"/>
                  <w:shd w:val="clear" w:color="auto" w:fill="auto"/>
                  <w:noWrap w:val="0"/>
                  <w:vAlign w:val="center"/>
                </w:tcPr>
                <w:p w14:paraId="336625BE">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2.16</w:t>
                  </w:r>
                </w:p>
              </w:tc>
            </w:tr>
            <w:tr w14:paraId="5BC5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4" w:type="dxa"/>
                  <w:shd w:val="clear" w:color="auto" w:fill="auto"/>
                  <w:noWrap w:val="0"/>
                  <w:vAlign w:val="center"/>
                </w:tcPr>
                <w:p w14:paraId="163ABF3A">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cs="Times New Roman" w:eastAsiaTheme="minorEastAsia"/>
                      <w:sz w:val="21"/>
                      <w:szCs w:val="21"/>
                      <w:lang w:val="en-US" w:eastAsia="zh-CN"/>
                    </w:rPr>
                    <w:t>柜体</w:t>
                  </w:r>
                  <w:r>
                    <w:rPr>
                      <w:rFonts w:hint="eastAsia" w:cs="Times New Roman" w:eastAsiaTheme="minorEastAsia"/>
                      <w:sz w:val="21"/>
                      <w:szCs w:val="21"/>
                      <w:highlight w:val="none"/>
                      <w:lang w:val="en-US" w:eastAsia="zh-CN"/>
                    </w:rPr>
                    <w:t>面漆</w:t>
                  </w:r>
                </w:p>
              </w:tc>
              <w:tc>
                <w:tcPr>
                  <w:tcW w:w="1095" w:type="dxa"/>
                  <w:shd w:val="clear" w:color="auto" w:fill="auto"/>
                  <w:noWrap w:val="0"/>
                  <w:vAlign w:val="center"/>
                </w:tcPr>
                <w:p w14:paraId="6B805B17">
                  <w:pPr>
                    <w:widowControl/>
                    <w:snapToGrid w:val="0"/>
                    <w:spacing w:before="0" w:after="0" w:line="240" w:lineRule="auto"/>
                    <w:ind w:right="113"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1.10</w:t>
                  </w:r>
                </w:p>
              </w:tc>
              <w:tc>
                <w:tcPr>
                  <w:tcW w:w="1158" w:type="dxa"/>
                  <w:shd w:val="clear" w:color="auto" w:fill="auto"/>
                  <w:noWrap w:val="0"/>
                  <w:vAlign w:val="center"/>
                </w:tcPr>
                <w:p w14:paraId="36387C82">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60</w:t>
                  </w:r>
                </w:p>
              </w:tc>
              <w:tc>
                <w:tcPr>
                  <w:tcW w:w="997" w:type="dxa"/>
                  <w:shd w:val="clear" w:color="auto" w:fill="auto"/>
                  <w:noWrap w:val="0"/>
                  <w:vAlign w:val="center"/>
                </w:tcPr>
                <w:p w14:paraId="69A64321">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6240</w:t>
                  </w:r>
                </w:p>
              </w:tc>
              <w:tc>
                <w:tcPr>
                  <w:tcW w:w="1237" w:type="dxa"/>
                  <w:shd w:val="clear" w:color="auto" w:fill="auto"/>
                  <w:noWrap w:val="0"/>
                  <w:vAlign w:val="center"/>
                </w:tcPr>
                <w:p w14:paraId="182D4E0A">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80</w:t>
                  </w:r>
                </w:p>
              </w:tc>
              <w:tc>
                <w:tcPr>
                  <w:tcW w:w="1067" w:type="dxa"/>
                  <w:shd w:val="clear" w:color="auto" w:fill="auto"/>
                  <w:noWrap w:val="0"/>
                  <w:vAlign w:val="center"/>
                </w:tcPr>
                <w:p w14:paraId="6471AE38">
                  <w:pPr>
                    <w:widowControl/>
                    <w:snapToGrid w:val="0"/>
                    <w:spacing w:before="0" w:after="0" w:line="240" w:lineRule="auto"/>
                    <w:ind w:right="113" w:firstLine="0" w:firstLineChars="0"/>
                    <w:jc w:val="center"/>
                    <w:rPr>
                      <w:rFonts w:hint="eastAsia" w:cs="Times New Roman"/>
                      <w:kern w:val="0"/>
                      <w:sz w:val="21"/>
                      <w:szCs w:val="21"/>
                      <w:lang w:val="en-US" w:eastAsia="zh-CN" w:bidi="ar-SA"/>
                    </w:rPr>
                  </w:pPr>
                  <w:r>
                    <w:rPr>
                      <w:rFonts w:hint="eastAsia" w:cs="Times New Roman"/>
                      <w:kern w:val="0"/>
                      <w:sz w:val="21"/>
                      <w:szCs w:val="21"/>
                      <w:lang w:val="en-US" w:eastAsia="zh-CN" w:bidi="ar-SA"/>
                    </w:rPr>
                    <w:t>60</w:t>
                  </w:r>
                </w:p>
              </w:tc>
              <w:tc>
                <w:tcPr>
                  <w:tcW w:w="1191" w:type="dxa"/>
                  <w:shd w:val="clear" w:color="auto" w:fill="auto"/>
                  <w:noWrap w:val="0"/>
                  <w:vAlign w:val="center"/>
                </w:tcPr>
                <w:p w14:paraId="0D216BA6">
                  <w:pPr>
                    <w:widowControl/>
                    <w:snapToGrid w:val="0"/>
                    <w:spacing w:before="0" w:after="0" w:line="240" w:lineRule="auto"/>
                    <w:ind w:right="113" w:firstLine="0" w:firstLineChars="0"/>
                    <w:jc w:val="center"/>
                    <w:rPr>
                      <w:rFonts w:hint="default" w:cs="Times New Roman"/>
                      <w:kern w:val="0"/>
                      <w:sz w:val="21"/>
                      <w:szCs w:val="21"/>
                      <w:lang w:val="en-US" w:eastAsia="zh-CN" w:bidi="ar-SA"/>
                    </w:rPr>
                  </w:pPr>
                  <w:r>
                    <w:rPr>
                      <w:rFonts w:hint="eastAsia" w:cs="Times New Roman"/>
                      <w:kern w:val="0"/>
                      <w:sz w:val="21"/>
                      <w:szCs w:val="21"/>
                      <w:lang w:val="en-US" w:eastAsia="zh-CN" w:bidi="ar-SA"/>
                    </w:rPr>
                    <w:t>0.87</w:t>
                  </w:r>
                </w:p>
              </w:tc>
            </w:tr>
          </w:tbl>
          <w:p w14:paraId="070EE99C">
            <w:pPr>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jc w:val="left"/>
              <w:textAlignment w:val="auto"/>
              <w:rPr>
                <w:rFonts w:hint="eastAsia" w:cs="Times New Roman"/>
                <w:color w:val="auto"/>
                <w:sz w:val="24"/>
                <w:szCs w:val="24"/>
                <w:highlight w:val="none"/>
                <w:lang w:val="en-US" w:eastAsia="zh-CN"/>
              </w:rPr>
            </w:pPr>
          </w:p>
          <w:p w14:paraId="39960006">
            <w:pPr>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jc w:val="left"/>
              <w:textAlignment w:val="auto"/>
            </w:pPr>
            <w:r>
              <w:rPr>
                <w:rFonts w:hint="eastAsia" w:cs="Times New Roman"/>
                <w:color w:val="auto"/>
                <w:sz w:val="24"/>
                <w:szCs w:val="24"/>
                <w:highlight w:val="none"/>
                <w:lang w:val="en-US" w:eastAsia="zh-CN"/>
              </w:rPr>
              <w:t>漆料平衡图（含喷枪清洗和调漆）：</w:t>
            </w:r>
          </w:p>
          <w:p w14:paraId="0C7B2F90">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37785" cy="2726690"/>
                  <wp:effectExtent l="0" t="0" r="5715" b="0"/>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15"/>
                          <a:stretch>
                            <a:fillRect/>
                          </a:stretch>
                        </pic:blipFill>
                        <pic:spPr>
                          <a:xfrm>
                            <a:off x="0" y="0"/>
                            <a:ext cx="5137785" cy="2726690"/>
                          </a:xfrm>
                          <a:prstGeom prst="rect">
                            <a:avLst/>
                          </a:prstGeom>
                          <a:noFill/>
                          <a:ln w="9525">
                            <a:noFill/>
                          </a:ln>
                        </pic:spPr>
                      </pic:pic>
                    </a:graphicData>
                  </a:graphic>
                </wp:inline>
              </w:drawing>
            </w:r>
          </w:p>
          <w:p w14:paraId="6855CF5D">
            <w:pPr>
              <w:keepNext w:val="0"/>
              <w:keepLines w:val="0"/>
              <w:widowControl/>
              <w:suppressLineNumbers w:val="0"/>
              <w:jc w:val="center"/>
              <w:rPr>
                <w:rFonts w:hint="eastAsia" w:ascii="Times New Roman" w:hAnsi="Times New Roman" w:eastAsia="宋体"/>
                <w:b/>
                <w:kern w:val="0"/>
                <w:sz w:val="22"/>
                <w:szCs w:val="22"/>
                <w:lang w:val="en-US" w:eastAsia="zh-CN"/>
              </w:rPr>
            </w:pPr>
            <w:r>
              <w:rPr>
                <w:rFonts w:hint="eastAsia" w:ascii="Times New Roman" w:hAnsi="Times New Roman" w:eastAsia="宋体"/>
                <w:b/>
                <w:kern w:val="0"/>
                <w:sz w:val="22"/>
                <w:szCs w:val="22"/>
                <w:lang w:val="en-US" w:eastAsia="zh-CN"/>
              </w:rPr>
              <w:t>图2-</w:t>
            </w:r>
            <w:r>
              <w:rPr>
                <w:rFonts w:hint="eastAsia"/>
                <w:b/>
                <w:kern w:val="0"/>
                <w:sz w:val="22"/>
                <w:szCs w:val="22"/>
                <w:lang w:val="en-US" w:eastAsia="zh-CN"/>
              </w:rPr>
              <w:t>1</w:t>
            </w:r>
            <w:r>
              <w:rPr>
                <w:rFonts w:hint="eastAsia" w:ascii="Times New Roman" w:hAnsi="Times New Roman" w:eastAsia="宋体"/>
                <w:b/>
                <w:kern w:val="0"/>
                <w:sz w:val="22"/>
                <w:szCs w:val="22"/>
                <w:lang w:val="en-US" w:eastAsia="zh-CN"/>
              </w:rPr>
              <w:t xml:space="preserve"> </w:t>
            </w:r>
            <w:r>
              <w:rPr>
                <w:rFonts w:hint="eastAsia"/>
                <w:b/>
                <w:kern w:val="0"/>
                <w:sz w:val="22"/>
                <w:szCs w:val="22"/>
                <w:lang w:val="en-US" w:eastAsia="zh-CN"/>
              </w:rPr>
              <w:t>底漆漆料</w:t>
            </w:r>
            <w:r>
              <w:rPr>
                <w:rFonts w:hint="eastAsia" w:ascii="Times New Roman" w:hAnsi="Times New Roman" w:eastAsia="宋体"/>
                <w:b/>
                <w:kern w:val="0"/>
                <w:sz w:val="22"/>
                <w:szCs w:val="22"/>
                <w:lang w:val="en-US" w:eastAsia="zh-CN"/>
              </w:rPr>
              <w:t>平衡图（t/a）</w:t>
            </w:r>
          </w:p>
          <w:p w14:paraId="380B57C5">
            <w:pPr>
              <w:bidi w:val="0"/>
              <w:rPr>
                <w:rFonts w:hint="eastAsia"/>
                <w:lang w:val="en-US" w:eastAsia="zh-CN"/>
              </w:rPr>
            </w:pPr>
          </w:p>
          <w:p w14:paraId="47856C47">
            <w:pPr>
              <w:bidi w:val="0"/>
              <w:rPr>
                <w:rFonts w:hint="eastAsia"/>
                <w:lang w:val="en-US" w:eastAsia="zh-CN"/>
              </w:rPr>
            </w:pPr>
          </w:p>
          <w:p w14:paraId="3C9BE5A1">
            <w:pPr>
              <w:bidi w:val="0"/>
              <w:rPr>
                <w:rFonts w:hint="eastAsia"/>
                <w:lang w:val="en-US" w:eastAsia="zh-CN"/>
              </w:rPr>
            </w:pPr>
          </w:p>
          <w:p w14:paraId="5800DF11">
            <w:pPr>
              <w:bidi w:val="0"/>
              <w:rPr>
                <w:rFonts w:hint="eastAsia"/>
                <w:lang w:val="en-US" w:eastAsia="zh-CN"/>
              </w:rPr>
            </w:pPr>
          </w:p>
          <w:p w14:paraId="75E5194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83505" cy="2840355"/>
                  <wp:effectExtent l="0" t="0" r="17145" b="0"/>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16"/>
                          <a:stretch>
                            <a:fillRect/>
                          </a:stretch>
                        </pic:blipFill>
                        <pic:spPr>
                          <a:xfrm>
                            <a:off x="0" y="0"/>
                            <a:ext cx="5183505" cy="2840355"/>
                          </a:xfrm>
                          <a:prstGeom prst="rect">
                            <a:avLst/>
                          </a:prstGeom>
                          <a:noFill/>
                          <a:ln w="9525">
                            <a:noFill/>
                          </a:ln>
                        </pic:spPr>
                      </pic:pic>
                    </a:graphicData>
                  </a:graphic>
                </wp:inline>
              </w:drawing>
            </w:r>
          </w:p>
          <w:p w14:paraId="26A6C37A">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eastAsia" w:ascii="Times New Roman" w:hAnsi="Times New Roman" w:eastAsia="宋体"/>
                <w:b/>
                <w:kern w:val="0"/>
                <w:sz w:val="21"/>
                <w:szCs w:val="21"/>
                <w:lang w:val="en-US" w:eastAsia="zh-CN"/>
              </w:rPr>
            </w:pPr>
            <w:r>
              <w:rPr>
                <w:rFonts w:hint="eastAsia" w:ascii="Times New Roman" w:hAnsi="Times New Roman" w:eastAsia="宋体"/>
                <w:b/>
                <w:kern w:val="0"/>
                <w:sz w:val="21"/>
                <w:szCs w:val="21"/>
                <w:lang w:val="en-US" w:eastAsia="zh-CN"/>
              </w:rPr>
              <w:t>图2-2 炉体面漆</w:t>
            </w:r>
            <w:r>
              <w:rPr>
                <w:rFonts w:hint="eastAsia"/>
                <w:b/>
                <w:kern w:val="0"/>
                <w:sz w:val="21"/>
                <w:szCs w:val="21"/>
                <w:lang w:val="en-US" w:eastAsia="zh-CN"/>
              </w:rPr>
              <w:t>漆料</w:t>
            </w:r>
            <w:r>
              <w:rPr>
                <w:rFonts w:hint="eastAsia" w:ascii="Times New Roman" w:hAnsi="Times New Roman" w:eastAsia="宋体"/>
                <w:b/>
                <w:kern w:val="0"/>
                <w:sz w:val="21"/>
                <w:szCs w:val="21"/>
                <w:lang w:val="en-US" w:eastAsia="zh-CN"/>
              </w:rPr>
              <w:t>平衡图（t/a）</w:t>
            </w:r>
          </w:p>
          <w:p w14:paraId="698696C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47945" cy="2820670"/>
                  <wp:effectExtent l="0" t="0" r="14605" b="0"/>
                  <wp:docPr id="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6"/>
                          <pic:cNvPicPr>
                            <a:picLocks noChangeAspect="1"/>
                          </pic:cNvPicPr>
                        </pic:nvPicPr>
                        <pic:blipFill>
                          <a:blip r:embed="rId17"/>
                          <a:stretch>
                            <a:fillRect/>
                          </a:stretch>
                        </pic:blipFill>
                        <pic:spPr>
                          <a:xfrm>
                            <a:off x="0" y="0"/>
                            <a:ext cx="5147945" cy="2820670"/>
                          </a:xfrm>
                          <a:prstGeom prst="rect">
                            <a:avLst/>
                          </a:prstGeom>
                          <a:noFill/>
                          <a:ln w="9525">
                            <a:noFill/>
                          </a:ln>
                        </pic:spPr>
                      </pic:pic>
                    </a:graphicData>
                  </a:graphic>
                </wp:inline>
              </w:drawing>
            </w:r>
          </w:p>
          <w:p w14:paraId="0246C557">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eastAsia" w:ascii="Times New Roman" w:hAnsi="Times New Roman" w:eastAsia="宋体"/>
                <w:b/>
                <w:kern w:val="0"/>
                <w:sz w:val="21"/>
                <w:szCs w:val="21"/>
                <w:lang w:val="en-US" w:eastAsia="zh-CN"/>
              </w:rPr>
            </w:pPr>
            <w:r>
              <w:rPr>
                <w:rFonts w:hint="eastAsia" w:ascii="Times New Roman" w:hAnsi="Times New Roman" w:eastAsia="宋体"/>
                <w:b/>
                <w:kern w:val="0"/>
                <w:sz w:val="21"/>
                <w:szCs w:val="21"/>
                <w:lang w:val="en-US" w:eastAsia="zh-CN"/>
              </w:rPr>
              <w:t>图2-3 柜体面漆漆料平衡图（t/a）</w:t>
            </w:r>
          </w:p>
          <w:p w14:paraId="54E75452">
            <w:pPr>
              <w:bidi w:val="0"/>
              <w:rPr>
                <w:rFonts w:hint="eastAsia"/>
                <w:lang w:val="en-US" w:eastAsia="zh-CN"/>
              </w:rPr>
            </w:pPr>
          </w:p>
          <w:p w14:paraId="7EFF05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eastAsia"/>
                <w:lang w:val="en-US" w:eastAsia="zh-CN"/>
              </w:rPr>
              <w:t>（3）本项目VOCs平衡。</w:t>
            </w:r>
          </w:p>
          <w:p w14:paraId="4CA737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工业电炉中的电感</w:t>
            </w:r>
            <w:r>
              <w:rPr>
                <w:rFonts w:hint="eastAsia" w:cs="Times New Roman"/>
                <w:color w:val="000000" w:themeColor="text1"/>
                <w:sz w:val="24"/>
                <w:szCs w:val="24"/>
                <w:highlight w:val="none"/>
                <w:lang w:val="en-US" w:eastAsia="zh-CN"/>
                <w14:textFill>
                  <w14:solidFill>
                    <w14:schemeClr w14:val="tx1"/>
                  </w14:solidFill>
                </w14:textFill>
              </w:rPr>
              <w:t>零部件</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经过铜管绕制后放入模具中，再由封装料A与封装料B</w:t>
            </w:r>
            <w:r>
              <w:rPr>
                <w:rFonts w:hint="eastAsia" w:cs="Times New Roman"/>
                <w:color w:val="000000" w:themeColor="text1"/>
                <w:sz w:val="24"/>
                <w:szCs w:val="24"/>
                <w:highlight w:val="none"/>
                <w:lang w:val="en-US" w:eastAsia="zh-CN"/>
                <w14:textFill>
                  <w14:solidFill>
                    <w14:schemeClr w14:val="tx1"/>
                  </w14:solidFill>
                </w14:textFill>
              </w:rPr>
              <w:t>按照</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1:1混合调配后浇注固化得到</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vertAlign w:val="baseline"/>
                <w:lang w:val="en-US" w:eastAsia="zh-CN"/>
                <w14:textFill>
                  <w14:solidFill>
                    <w14:schemeClr w14:val="tx1"/>
                  </w14:solidFill>
                </w14:textFill>
              </w:rPr>
              <w:t>1吨及以下工业电炉使用的模具尺寸近似为内半径0.05m、外半径0.1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m、高0.15m的空心圆柱；</w:t>
            </w:r>
            <w:r>
              <w:rPr>
                <w:rFonts w:hint="eastAsia" w:cs="Times New Roman"/>
                <w:color w:val="000000" w:themeColor="text1"/>
                <w:sz w:val="24"/>
                <w:szCs w:val="24"/>
                <w:highlight w:val="none"/>
                <w:vertAlign w:val="baseline"/>
                <w:lang w:val="en-US" w:eastAsia="zh-CN"/>
                <w14:textFill>
                  <w14:solidFill>
                    <w14:schemeClr w14:val="tx1"/>
                  </w14:solidFill>
                </w14:textFill>
              </w:rPr>
              <w:t>1-10吨（含10吨不含1吨）工业电炉使用的模具尺寸近似为内半径0.1m、外半径0.2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m、高0.4m的空心圆柱；10吨以上工业电炉</w:t>
            </w:r>
            <w:r>
              <w:rPr>
                <w:rFonts w:hint="eastAsia" w:cs="Times New Roman"/>
                <w:color w:val="000000" w:themeColor="text1"/>
                <w:sz w:val="24"/>
                <w:szCs w:val="24"/>
                <w:highlight w:val="none"/>
                <w:vertAlign w:val="baseline"/>
                <w:lang w:val="en-US" w:eastAsia="zh-CN"/>
                <w14:textFill>
                  <w14:solidFill>
                    <w14:schemeClr w14:val="tx1"/>
                  </w14:solidFill>
                </w14:textFill>
              </w:rPr>
              <w:t>使用的模具尺寸近似为内半径0.2m、外半径0.4</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m、高0.4m的空心圆柱。</w:t>
            </w:r>
            <w:r>
              <w:rPr>
                <w:rFonts w:hint="eastAsia" w:cs="Times New Roman"/>
                <w:color w:val="000000" w:themeColor="text1"/>
                <w:sz w:val="24"/>
                <w:szCs w:val="24"/>
                <w:highlight w:val="none"/>
                <w:lang w:val="en-US" w:eastAsia="zh-CN"/>
                <w14:textFill>
                  <w14:solidFill>
                    <w14:schemeClr w14:val="tx1"/>
                  </w14:solidFill>
                </w14:textFill>
              </w:rPr>
              <w:t>根据封装料MSDS（附件7），</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封装料A</w:t>
            </w:r>
            <w:r>
              <w:rPr>
                <w:rFonts w:hint="eastAsia" w:cs="Times New Roman"/>
                <w:color w:val="000000" w:themeColor="text1"/>
                <w:sz w:val="24"/>
                <w:szCs w:val="24"/>
                <w:highlight w:val="none"/>
                <w:lang w:val="en-US" w:eastAsia="zh-CN"/>
                <w14:textFill>
                  <w14:solidFill>
                    <w14:schemeClr w14:val="tx1"/>
                  </w14:solidFill>
                </w14:textFill>
              </w:rPr>
              <w:t>的VOCs含量为0，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封装料B</w:t>
            </w:r>
            <w:r>
              <w:rPr>
                <w:rFonts w:hint="eastAsia" w:cs="Times New Roman"/>
                <w:color w:val="000000" w:themeColor="text1"/>
                <w:sz w:val="24"/>
                <w:szCs w:val="24"/>
                <w:highlight w:val="none"/>
                <w:lang w:val="en-US" w:eastAsia="zh-CN"/>
                <w14:textFill>
                  <w14:solidFill>
                    <w14:schemeClr w14:val="tx1"/>
                  </w14:solidFill>
                </w14:textFill>
              </w:rPr>
              <w:t>的VOCs含量为50%，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封装料A与封装料B的密度取</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1.23</w:t>
            </w:r>
            <w:r>
              <w:rPr>
                <w:rFonts w:hint="eastAsia" w:ascii="Times New Roman" w:hAnsi="Times New Roman" w:eastAsia="宋体" w:cs="Times New Roman"/>
                <w:b w:val="0"/>
                <w:bCs w:val="0"/>
                <w:sz w:val="21"/>
                <w:szCs w:val="21"/>
                <w:lang w:val="en-US" w:eastAsia="zh-CN"/>
              </w:rPr>
              <w:t>g/cm</w:t>
            </w:r>
            <w:r>
              <w:rPr>
                <w:rFonts w:hint="eastAsia" w:ascii="Times New Roman" w:hAnsi="Times New Roman" w:eastAsia="宋体" w:cs="Times New Roman"/>
                <w:b w:val="0"/>
                <w:bCs w:val="0"/>
                <w:sz w:val="21"/>
                <w:szCs w:val="21"/>
                <w:vertAlign w:val="superscript"/>
                <w:lang w:val="en-US" w:eastAsia="zh-CN"/>
              </w:rPr>
              <w:t>3</w:t>
            </w:r>
            <w:r>
              <w:rPr>
                <w:rFonts w:hint="eastAsia" w:cs="Times New Roman"/>
                <w:color w:val="000000" w:themeColor="text1"/>
                <w:sz w:val="24"/>
                <w:szCs w:val="24"/>
                <w:highlight w:val="none"/>
                <w:lang w:val="en-US" w:eastAsia="zh-CN"/>
                <w14:textFill>
                  <w14:solidFill>
                    <w14:schemeClr w14:val="tx1"/>
                  </w14:solidFill>
                </w14:textFill>
              </w:rPr>
              <w:t>，封装料用量及VOCs含量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见下表。</w:t>
            </w:r>
          </w:p>
          <w:p w14:paraId="75373F3C">
            <w:pPr>
              <w:pStyle w:val="23"/>
              <w:keepNext w:val="0"/>
              <w:keepLines w:val="0"/>
              <w:pageBreakBefore w:val="0"/>
              <w:widowControl w:val="0"/>
              <w:kinsoku/>
              <w:wordWrap/>
              <w:overflowPunct/>
              <w:topLinePunct w:val="0"/>
              <w:autoSpaceDE/>
              <w:autoSpaceDN/>
              <w:bidi w:val="0"/>
              <w:adjustRightInd/>
              <w:snapToGrid w:val="0"/>
              <w:spacing w:before="0" w:after="0" w:line="240" w:lineRule="auto"/>
              <w:ind w:right="0"/>
              <w:jc w:val="center"/>
              <w:textAlignment w:val="auto"/>
              <w:rPr>
                <w:rFonts w:hint="default"/>
                <w:lang w:val="en-US" w:eastAsia="zh-CN"/>
              </w:rPr>
            </w:pPr>
            <w:r>
              <w:rPr>
                <w:rFonts w:hint="eastAsia" w:ascii="Times New Roman" w:hAnsi="Times New Roman" w:eastAsia="宋体"/>
                <w:b/>
                <w:kern w:val="0"/>
                <w:sz w:val="21"/>
                <w:szCs w:val="21"/>
                <w:lang w:val="en-US" w:eastAsia="zh-CN"/>
              </w:rPr>
              <w:t>表2-12 封装料用量</w:t>
            </w:r>
            <w:r>
              <w:rPr>
                <w:rFonts w:hint="eastAsia"/>
                <w:b/>
                <w:kern w:val="0"/>
                <w:sz w:val="21"/>
                <w:szCs w:val="21"/>
                <w:lang w:val="en-US" w:eastAsia="zh-CN"/>
              </w:rPr>
              <w:t>及VOCs含量</w:t>
            </w:r>
            <w:r>
              <w:rPr>
                <w:rFonts w:hint="eastAsia" w:ascii="Times New Roman" w:hAnsi="Times New Roman" w:eastAsia="宋体"/>
                <w:b/>
                <w:kern w:val="0"/>
                <w:sz w:val="21"/>
                <w:szCs w:val="21"/>
                <w:lang w:val="en-US" w:eastAsia="zh-CN"/>
              </w:rPr>
              <w:t>一览表</w:t>
            </w:r>
          </w:p>
          <w:tbl>
            <w:tblPr>
              <w:tblStyle w:val="55"/>
              <w:tblW w:w="474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978"/>
              <w:gridCol w:w="1160"/>
              <w:gridCol w:w="1916"/>
              <w:gridCol w:w="1300"/>
              <w:gridCol w:w="1229"/>
              <w:gridCol w:w="1149"/>
            </w:tblGrid>
            <w:tr w14:paraId="2BD14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632" w:type="pct"/>
                  <w:vAlign w:val="center"/>
                </w:tcPr>
                <w:p w14:paraId="36735A9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封装物品</w:t>
                  </w:r>
                </w:p>
              </w:tc>
              <w:tc>
                <w:tcPr>
                  <w:tcW w:w="749" w:type="pct"/>
                  <w:shd w:val="clear" w:color="auto" w:fill="auto"/>
                  <w:vAlign w:val="center"/>
                </w:tcPr>
                <w:p w14:paraId="5EAC3E8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封装数量</w:t>
                  </w:r>
                  <w:r>
                    <w:rPr>
                      <w:rFonts w:hint="default" w:ascii="Times New Roman" w:hAnsi="Times New Roman" w:eastAsia="宋体" w:cs="Times New Roman"/>
                      <w:b/>
                      <w:bCs/>
                      <w:sz w:val="21"/>
                      <w:szCs w:val="21"/>
                      <w:lang w:val="en-US" w:eastAsia="zh-CN"/>
                    </w:rPr>
                    <w:t>（</w:t>
                  </w:r>
                  <w:r>
                    <w:rPr>
                      <w:rFonts w:hint="eastAsia" w:cs="Times New Roman"/>
                      <w:b/>
                      <w:bCs/>
                      <w:sz w:val="21"/>
                      <w:szCs w:val="21"/>
                      <w:lang w:val="en-US" w:eastAsia="zh-CN"/>
                    </w:rPr>
                    <w:t>个</w:t>
                  </w:r>
                  <w:r>
                    <w:rPr>
                      <w:rFonts w:hint="default" w:ascii="Times New Roman" w:hAnsi="Times New Roman" w:eastAsia="宋体" w:cs="Times New Roman"/>
                      <w:b/>
                      <w:bCs/>
                      <w:sz w:val="21"/>
                      <w:szCs w:val="21"/>
                      <w:lang w:val="en-US" w:eastAsia="zh-CN"/>
                    </w:rPr>
                    <w:t>/年）</w:t>
                  </w:r>
                </w:p>
              </w:tc>
              <w:tc>
                <w:tcPr>
                  <w:tcW w:w="1239" w:type="pct"/>
                  <w:shd w:val="clear" w:color="auto" w:fill="auto"/>
                  <w:vAlign w:val="center"/>
                </w:tcPr>
                <w:p w14:paraId="22FE9FA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电感</w:t>
                  </w:r>
                  <w:r>
                    <w:rPr>
                      <w:rFonts w:hint="eastAsia" w:ascii="Times New Roman" w:hAnsi="Times New Roman" w:eastAsia="宋体" w:cs="Times New Roman"/>
                      <w:b/>
                      <w:bCs/>
                      <w:sz w:val="21"/>
                      <w:szCs w:val="21"/>
                      <w:lang w:val="en-US" w:eastAsia="zh-CN"/>
                    </w:rPr>
                    <w:t>尺寸（m）</w:t>
                  </w:r>
                </w:p>
              </w:tc>
              <w:tc>
                <w:tcPr>
                  <w:tcW w:w="841" w:type="pct"/>
                  <w:shd w:val="clear" w:color="auto" w:fill="auto"/>
                  <w:vAlign w:val="center"/>
                </w:tcPr>
                <w:p w14:paraId="7BE918F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封装料</w:t>
                  </w:r>
                  <w:r>
                    <w:rPr>
                      <w:rFonts w:hint="eastAsia" w:ascii="Times New Roman" w:hAnsi="Times New Roman" w:eastAsia="宋体" w:cs="Times New Roman"/>
                      <w:b/>
                      <w:bCs/>
                      <w:sz w:val="21"/>
                      <w:szCs w:val="21"/>
                      <w:lang w:val="en-US" w:eastAsia="zh-CN"/>
                    </w:rPr>
                    <w:t>密度（g/cm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lang w:val="en-US" w:eastAsia="zh-CN"/>
                    </w:rPr>
                    <w:t>）</w:t>
                  </w:r>
                </w:p>
              </w:tc>
              <w:tc>
                <w:tcPr>
                  <w:tcW w:w="794" w:type="pct"/>
                  <w:shd w:val="clear" w:color="auto" w:fill="auto"/>
                  <w:vAlign w:val="center"/>
                </w:tcPr>
                <w:p w14:paraId="4C8EEB2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封装料用</w:t>
                  </w:r>
                  <w:r>
                    <w:rPr>
                      <w:rFonts w:hint="eastAsia" w:ascii="Times New Roman" w:hAnsi="Times New Roman" w:eastAsia="宋体" w:cs="Times New Roman"/>
                      <w:b/>
                      <w:bCs/>
                      <w:sz w:val="21"/>
                      <w:szCs w:val="21"/>
                      <w:lang w:val="en-US" w:eastAsia="zh-CN"/>
                    </w:rPr>
                    <w:t>量（t</w:t>
                  </w:r>
                  <w:r>
                    <w:rPr>
                      <w:rFonts w:hint="eastAsia" w:cs="Times New Roman"/>
                      <w:b/>
                      <w:bCs/>
                      <w:sz w:val="21"/>
                      <w:szCs w:val="21"/>
                      <w:lang w:val="en-US" w:eastAsia="zh-CN"/>
                    </w:rPr>
                    <w:t>/a</w:t>
                  </w:r>
                  <w:r>
                    <w:rPr>
                      <w:rFonts w:hint="eastAsia" w:ascii="Times New Roman" w:hAnsi="Times New Roman" w:eastAsia="宋体" w:cs="Times New Roman"/>
                      <w:b/>
                      <w:bCs/>
                      <w:sz w:val="21"/>
                      <w:szCs w:val="21"/>
                      <w:lang w:val="en-US" w:eastAsia="zh-CN"/>
                    </w:rPr>
                    <w:t>）</w:t>
                  </w:r>
                </w:p>
              </w:tc>
              <w:tc>
                <w:tcPr>
                  <w:tcW w:w="742" w:type="pct"/>
                  <w:vAlign w:val="center"/>
                </w:tcPr>
                <w:p w14:paraId="294481F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VOCs含量（t）</w:t>
                  </w:r>
                </w:p>
              </w:tc>
            </w:tr>
            <w:tr w14:paraId="54D76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632" w:type="pct"/>
                  <w:vMerge w:val="restart"/>
                  <w:vAlign w:val="center"/>
                </w:tcPr>
                <w:p w14:paraId="67B763E6">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eastAsia="宋体" w:cs="Times New Roman"/>
                      <w:kern w:val="0"/>
                      <w:sz w:val="21"/>
                      <w:szCs w:val="21"/>
                      <w:lang w:val="en-US" w:eastAsia="zh-CN" w:bidi="ar-SA"/>
                    </w:rPr>
                  </w:pPr>
                  <w:r>
                    <w:rPr>
                      <w:rFonts w:hint="eastAsia" w:cs="Times New Roman"/>
                      <w:sz w:val="21"/>
                      <w:szCs w:val="21"/>
                      <w:lang w:val="en-US" w:eastAsia="zh-CN"/>
                    </w:rPr>
                    <w:t>电感部件</w:t>
                  </w:r>
                </w:p>
              </w:tc>
              <w:tc>
                <w:tcPr>
                  <w:tcW w:w="749" w:type="pct"/>
                  <w:shd w:val="clear" w:color="auto" w:fill="auto"/>
                  <w:vAlign w:val="center"/>
                </w:tcPr>
                <w:p w14:paraId="1BD65A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214</w:t>
                  </w:r>
                </w:p>
              </w:tc>
              <w:tc>
                <w:tcPr>
                  <w:tcW w:w="1239" w:type="pct"/>
                  <w:shd w:val="clear" w:color="auto" w:fill="auto"/>
                  <w:vAlign w:val="center"/>
                </w:tcPr>
                <w:p w14:paraId="5A4BAD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内半径0.05、外半径0.1、高0.15</w:t>
                  </w:r>
                </w:p>
              </w:tc>
              <w:tc>
                <w:tcPr>
                  <w:tcW w:w="841" w:type="pct"/>
                  <w:shd w:val="clear" w:color="auto" w:fill="auto"/>
                  <w:vAlign w:val="center"/>
                </w:tcPr>
                <w:p w14:paraId="1057C6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1.23</w:t>
                  </w:r>
                </w:p>
              </w:tc>
              <w:tc>
                <w:tcPr>
                  <w:tcW w:w="794" w:type="pct"/>
                  <w:shd w:val="clear" w:color="auto" w:fill="auto"/>
                  <w:vAlign w:val="center"/>
                </w:tcPr>
                <w:p w14:paraId="7EE36B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1.112</w:t>
                  </w:r>
                </w:p>
              </w:tc>
              <w:tc>
                <w:tcPr>
                  <w:tcW w:w="742" w:type="pct"/>
                  <w:vAlign w:val="center"/>
                </w:tcPr>
                <w:p w14:paraId="3A3196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0.278</w:t>
                  </w:r>
                </w:p>
              </w:tc>
            </w:tr>
            <w:tr w14:paraId="16A0F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632" w:type="pct"/>
                  <w:vMerge w:val="continue"/>
                  <w:vAlign w:val="center"/>
                </w:tcPr>
                <w:p w14:paraId="29F1A7BF">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749" w:type="pct"/>
                  <w:shd w:val="clear" w:color="auto" w:fill="auto"/>
                  <w:vAlign w:val="center"/>
                </w:tcPr>
                <w:p w14:paraId="31641D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40</w:t>
                  </w:r>
                </w:p>
              </w:tc>
              <w:tc>
                <w:tcPr>
                  <w:tcW w:w="1239" w:type="pct"/>
                  <w:shd w:val="clear" w:color="auto" w:fill="auto"/>
                  <w:vAlign w:val="center"/>
                </w:tcPr>
                <w:p w14:paraId="127485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内半径0.1、外半径0.2、高0.4</w:t>
                  </w:r>
                </w:p>
              </w:tc>
              <w:tc>
                <w:tcPr>
                  <w:tcW w:w="841" w:type="pct"/>
                  <w:shd w:val="clear" w:color="auto" w:fill="auto"/>
                  <w:vAlign w:val="center"/>
                </w:tcPr>
                <w:p w14:paraId="2CB42C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1.23</w:t>
                  </w:r>
                </w:p>
              </w:tc>
              <w:tc>
                <w:tcPr>
                  <w:tcW w:w="794" w:type="pct"/>
                  <w:shd w:val="clear" w:color="auto" w:fill="auto"/>
                  <w:vAlign w:val="center"/>
                </w:tcPr>
                <w:p w14:paraId="7E4B23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1.854</w:t>
                  </w:r>
                </w:p>
              </w:tc>
              <w:tc>
                <w:tcPr>
                  <w:tcW w:w="742" w:type="pct"/>
                  <w:vAlign w:val="center"/>
                </w:tcPr>
                <w:p w14:paraId="2B434D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0.464</w:t>
                  </w:r>
                </w:p>
              </w:tc>
            </w:tr>
            <w:tr w14:paraId="5754E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632" w:type="pct"/>
                  <w:vMerge w:val="continue"/>
                  <w:vAlign w:val="center"/>
                </w:tcPr>
                <w:p w14:paraId="2EBD52B6">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kern w:val="0"/>
                      <w:sz w:val="21"/>
                      <w:szCs w:val="21"/>
                      <w:lang w:val="en-US" w:eastAsia="zh-CN" w:bidi="ar-SA"/>
                    </w:rPr>
                  </w:pPr>
                </w:p>
              </w:tc>
              <w:tc>
                <w:tcPr>
                  <w:tcW w:w="749" w:type="pct"/>
                  <w:shd w:val="clear" w:color="auto" w:fill="auto"/>
                  <w:vAlign w:val="center"/>
                </w:tcPr>
                <w:p w14:paraId="3401F7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6</w:t>
                  </w:r>
                </w:p>
              </w:tc>
              <w:tc>
                <w:tcPr>
                  <w:tcW w:w="1239" w:type="pct"/>
                  <w:shd w:val="clear" w:color="auto" w:fill="auto"/>
                  <w:vAlign w:val="center"/>
                </w:tcPr>
                <w:p w14:paraId="504D76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内半径0.2、外半径0.4、高0.4</w:t>
                  </w:r>
                </w:p>
              </w:tc>
              <w:tc>
                <w:tcPr>
                  <w:tcW w:w="841" w:type="pct"/>
                  <w:shd w:val="clear" w:color="auto" w:fill="auto"/>
                  <w:vAlign w:val="center"/>
                </w:tcPr>
                <w:p w14:paraId="2FD1C9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1.23</w:t>
                  </w:r>
                </w:p>
              </w:tc>
              <w:tc>
                <w:tcPr>
                  <w:tcW w:w="794" w:type="pct"/>
                  <w:shd w:val="clear" w:color="auto" w:fill="auto"/>
                  <w:vAlign w:val="center"/>
                </w:tcPr>
                <w:p w14:paraId="59C54F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0.930</w:t>
                  </w:r>
                </w:p>
              </w:tc>
              <w:tc>
                <w:tcPr>
                  <w:tcW w:w="742" w:type="pct"/>
                  <w:vAlign w:val="center"/>
                </w:tcPr>
                <w:p w14:paraId="09DF27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0.232</w:t>
                  </w:r>
                </w:p>
              </w:tc>
            </w:tr>
            <w:tr w14:paraId="21297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632" w:type="pct"/>
                  <w:vAlign w:val="center"/>
                </w:tcPr>
                <w:p w14:paraId="55FB0584">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合计</w:t>
                  </w:r>
                </w:p>
              </w:tc>
              <w:tc>
                <w:tcPr>
                  <w:tcW w:w="749" w:type="pct"/>
                  <w:vAlign w:val="center"/>
                </w:tcPr>
                <w:p w14:paraId="3723127D">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cs="Times New Roman"/>
                      <w:sz w:val="21"/>
                      <w:szCs w:val="21"/>
                      <w:lang w:val="en-US" w:eastAsia="zh-CN"/>
                    </w:rPr>
                  </w:pPr>
                  <w:r>
                    <w:rPr>
                      <w:rFonts w:hint="eastAsia" w:cs="Times New Roman"/>
                      <w:sz w:val="21"/>
                      <w:szCs w:val="21"/>
                      <w:lang w:val="en-US" w:eastAsia="zh-CN"/>
                    </w:rPr>
                    <w:t>260</w:t>
                  </w:r>
                </w:p>
              </w:tc>
              <w:tc>
                <w:tcPr>
                  <w:tcW w:w="1239" w:type="pct"/>
                  <w:vAlign w:val="center"/>
                </w:tcPr>
                <w:p w14:paraId="3EE13543">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841" w:type="pct"/>
                  <w:vAlign w:val="center"/>
                </w:tcPr>
                <w:p w14:paraId="7469931D">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cs="Times New Roman"/>
                      <w:sz w:val="21"/>
                      <w:szCs w:val="21"/>
                      <w:lang w:val="en-US" w:eastAsia="zh-CN"/>
                    </w:rPr>
                  </w:pPr>
                  <w:r>
                    <w:rPr>
                      <w:rFonts w:hint="eastAsia" w:cs="Times New Roman"/>
                      <w:sz w:val="21"/>
                      <w:szCs w:val="21"/>
                      <w:lang w:val="en-US" w:eastAsia="zh-CN"/>
                    </w:rPr>
                    <w:t>/</w:t>
                  </w:r>
                </w:p>
              </w:tc>
              <w:tc>
                <w:tcPr>
                  <w:tcW w:w="794" w:type="pct"/>
                  <w:shd w:val="clear" w:color="auto" w:fill="auto"/>
                  <w:vAlign w:val="center"/>
                </w:tcPr>
                <w:p w14:paraId="25EF09E5">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3.896</w:t>
                  </w:r>
                </w:p>
              </w:tc>
              <w:tc>
                <w:tcPr>
                  <w:tcW w:w="742" w:type="pct"/>
                  <w:vAlign w:val="center"/>
                </w:tcPr>
                <w:p w14:paraId="4B9153DC">
                  <w:pPr>
                    <w:keepNext w:val="0"/>
                    <w:keepLines w:val="0"/>
                    <w:pageBreakBefore w:val="0"/>
                    <w:tabs>
                      <w:tab w:val="center" w:pos="4153"/>
                    </w:tabs>
                    <w:kinsoku/>
                    <w:wordWrap/>
                    <w:overflowPunct/>
                    <w:topLinePunct w:val="0"/>
                    <w:autoSpaceDE/>
                    <w:autoSpaceDN/>
                    <w:bidi w:val="0"/>
                    <w:adjustRightInd/>
                    <w:snapToGrid/>
                    <w:spacing w:line="240" w:lineRule="auto"/>
                    <w:jc w:val="center"/>
                    <w:rPr>
                      <w:rFonts w:hint="default" w:cs="Times New Roman"/>
                      <w:sz w:val="21"/>
                      <w:szCs w:val="21"/>
                      <w:lang w:val="en-US" w:eastAsia="zh-CN"/>
                    </w:rPr>
                  </w:pPr>
                  <w:r>
                    <w:rPr>
                      <w:rFonts w:hint="eastAsia" w:cs="Times New Roman"/>
                      <w:sz w:val="21"/>
                      <w:szCs w:val="21"/>
                      <w:lang w:val="en-US" w:eastAsia="zh-CN"/>
                    </w:rPr>
                    <w:t>0.974</w:t>
                  </w:r>
                </w:p>
              </w:tc>
            </w:tr>
          </w:tbl>
          <w:p w14:paraId="64972015">
            <w:pPr>
              <w:bidi w:val="0"/>
              <w:rPr>
                <w:rFonts w:hint="eastAsia"/>
                <w:lang w:val="en-US" w:eastAsia="zh-CN"/>
              </w:rPr>
            </w:pPr>
          </w:p>
          <w:p w14:paraId="6FFF3B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lang w:val="en-US" w:eastAsia="zh-CN"/>
              </w:rPr>
              <w:t>综上，本项目VOCs平衡图如下。</w:t>
            </w:r>
          </w:p>
          <w:p w14:paraId="4329532B">
            <w:pPr>
              <w:bidi w:val="0"/>
            </w:pPr>
          </w:p>
          <w:p w14:paraId="301D436D">
            <w:pPr>
              <w:bidi w:val="0"/>
            </w:pPr>
            <w:r>
              <w:rPr>
                <w:sz w:val="24"/>
              </w:rPr>
              <mc:AlternateContent>
                <mc:Choice Requires="wps">
                  <w:drawing>
                    <wp:anchor distT="0" distB="0" distL="114300" distR="114300" simplePos="0" relativeHeight="251669504" behindDoc="0" locked="0" layoutInCell="1" allowOverlap="1">
                      <wp:simplePos x="0" y="0"/>
                      <wp:positionH relativeFrom="column">
                        <wp:posOffset>1882140</wp:posOffset>
                      </wp:positionH>
                      <wp:positionV relativeFrom="paragraph">
                        <wp:posOffset>36830</wp:posOffset>
                      </wp:positionV>
                      <wp:extent cx="808990" cy="463550"/>
                      <wp:effectExtent l="6350" t="6350" r="7620" b="17780"/>
                      <wp:wrapNone/>
                      <wp:docPr id="30" name="矩形 30"/>
                      <wp:cNvGraphicFramePr/>
                      <a:graphic xmlns:a="http://schemas.openxmlformats.org/drawingml/2006/main">
                        <a:graphicData uri="http://schemas.microsoft.com/office/word/2010/wordprocessingShape">
                          <wps:wsp>
                            <wps:cNvSpPr/>
                            <wps:spPr>
                              <a:xfrm>
                                <a:off x="0" y="0"/>
                                <a:ext cx="808990" cy="463550"/>
                              </a:xfrm>
                              <a:prstGeom prst="rect">
                                <a:avLst/>
                              </a:prstGeom>
                              <a:noFill/>
                              <a:ln w="12700" cmpd="sng">
                                <a:solidFill>
                                  <a:schemeClr val="accent1">
                                    <a:shade val="5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1A5079A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负压收集0.0588</w:t>
                                  </w:r>
                                </w:p>
                                <w:p w14:paraId="162CBC49">
                                  <w:pPr>
                                    <w:jc w:val="center"/>
                                    <w:rPr>
                                      <w:rFonts w:hint="default" w:eastAsia="宋体"/>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2pt;margin-top:2.9pt;height:36.5pt;width:63.7pt;z-index:251669504;v-text-anchor:middle;mso-width-relative:page;mso-height-relative:page;" filled="f" stroked="t" coordsize="21600,21600" o:gfxdata="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VI3xo2QAAAAgBAAAPAAAAAAAAAAEAIAAAACIAAABkcnMv&#10;ZG93bnJldi54bWxQSwECFAAUAAAACACHTuJAfDP8hnQCAADhBAAADgAAAAAAAAABACAAAAAoAQAA&#10;ZHJzL2Uyb0RvYy54bWxQSwUGAAAAAAYABgBZAQAADgYAAAAA&#10;">
                      <v:fill on="f" focussize="0,0"/>
                      <v:stroke weight="1pt" color="#385D8A [3204]" joinstyle="round"/>
                      <v:imagedata o:title=""/>
                      <o:lock v:ext="edit" aspectratio="f"/>
                      <v:textbox>
                        <w:txbxContent>
                          <w:p w14:paraId="1A5079A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负压收集0.0588</w:t>
                            </w:r>
                          </w:p>
                          <w:p w14:paraId="162CBC49">
                            <w:pPr>
                              <w:jc w:val="center"/>
                              <w:rPr>
                                <w:rFonts w:hint="default" w:eastAsia="宋体"/>
                                <w:color w:val="000000" w:themeColor="text1"/>
                                <w:lang w:val="en-US" w:eastAsia="zh-CN"/>
                                <w14:textFill>
                                  <w14:solidFill>
                                    <w14:schemeClr w14:val="tx1"/>
                                  </w14:solidFill>
                                </w14:textFill>
                              </w:rPr>
                            </w:pPr>
                          </w:p>
                        </w:txbxContent>
                      </v:textbox>
                    </v:rect>
                  </w:pict>
                </mc:Fallback>
              </mc:AlternateContent>
            </w:r>
          </w:p>
          <w:p w14:paraId="470BA965">
            <w:pPr>
              <w:bidi w:val="0"/>
            </w:pPr>
            <w:r>
              <w:rPr>
                <w:sz w:val="24"/>
              </w:rPr>
              <mc:AlternateContent>
                <mc:Choice Requires="wps">
                  <w:drawing>
                    <wp:anchor distT="0" distB="0" distL="114300" distR="114300" simplePos="0" relativeHeight="251671552" behindDoc="0" locked="0" layoutInCell="1" allowOverlap="1">
                      <wp:simplePos x="0" y="0"/>
                      <wp:positionH relativeFrom="column">
                        <wp:posOffset>1874520</wp:posOffset>
                      </wp:positionH>
                      <wp:positionV relativeFrom="paragraph">
                        <wp:posOffset>93980</wp:posOffset>
                      </wp:positionV>
                      <wp:extent cx="7620" cy="704850"/>
                      <wp:effectExtent l="427355" t="50800" r="6985" b="52070"/>
                      <wp:wrapNone/>
                      <wp:docPr id="32" name="肘形连接符 32"/>
                      <wp:cNvGraphicFramePr/>
                      <a:graphic xmlns:a="http://schemas.openxmlformats.org/drawingml/2006/main">
                        <a:graphicData uri="http://schemas.microsoft.com/office/word/2010/wordprocessingShape">
                          <wps:wsp>
                            <wps:cNvCnPr>
                              <a:stCxn id="30" idx="1"/>
                              <a:endCxn id="31" idx="1"/>
                            </wps:cNvCnPr>
                            <wps:spPr>
                              <a:xfrm rot="10800000" flipV="1">
                                <a:off x="3482975" y="1220470"/>
                                <a:ext cx="7620" cy="704850"/>
                              </a:xfrm>
                              <a:prstGeom prst="bentConnector3">
                                <a:avLst>
                                  <a:gd name="adj1" fmla="val 5625000"/>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147.6pt;margin-top:7.4pt;height:55.5pt;width:0.6pt;rotation:11796480f;z-index:251671552;mso-width-relative:page;mso-height-relative:page;" filled="f" stroked="t" coordsize="21600,21600" o:gfxdata="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1HKrE2AAAAAoBAAAPAAAAAAAAAAEA&#10;IAAAACIAAABkcnMvZG93bnJldi54bWxQSwECFAAUAAAACACHTuJAaGkhp0gCAABxBAAADgAAAAAA&#10;AAABACAAAAAnAQAAZHJzL2Uyb0RvYy54bWxQSwUGAAAAAAYABgBZAQAA4QUAAAAA&#10;" adj="1215000">
                      <v:fill on="f" focussize="0,0"/>
                      <v:stroke weight="1pt" color="#000000 [3213]" joinstyle="round" startarrow="open" endarrow="open"/>
                      <v:imagedata o:title=""/>
                      <o:lock v:ext="edit" aspectratio="f"/>
                    </v:shape>
                  </w:pict>
                </mc:Fallback>
              </mc:AlternateContent>
            </w:r>
          </w:p>
          <w:p w14:paraId="0759347B">
            <w:pPr>
              <w:bidi w:val="0"/>
            </w:pPr>
            <w:r>
              <w:rPr>
                <w:sz w:val="24"/>
              </w:rPr>
              <mc:AlternateContent>
                <mc:Choice Requires="wps">
                  <w:drawing>
                    <wp:anchor distT="0" distB="0" distL="114300" distR="114300" simplePos="0" relativeHeight="251666432" behindDoc="0" locked="0" layoutInCell="1" allowOverlap="1">
                      <wp:simplePos x="0" y="0"/>
                      <wp:positionH relativeFrom="column">
                        <wp:posOffset>281940</wp:posOffset>
                      </wp:positionH>
                      <wp:positionV relativeFrom="paragraph">
                        <wp:posOffset>13970</wp:posOffset>
                      </wp:positionV>
                      <wp:extent cx="808990" cy="471170"/>
                      <wp:effectExtent l="6350" t="6350" r="7620" b="10160"/>
                      <wp:wrapNone/>
                      <wp:docPr id="19" name="矩形 19"/>
                      <wp:cNvGraphicFramePr/>
                      <a:graphic xmlns:a="http://schemas.openxmlformats.org/drawingml/2006/main">
                        <a:graphicData uri="http://schemas.microsoft.com/office/word/2010/wordprocessingShape">
                          <wps:wsp>
                            <wps:cNvSpPr/>
                            <wps:spPr>
                              <a:xfrm>
                                <a:off x="1837690" y="1311910"/>
                                <a:ext cx="808990" cy="47117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77C812A0">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清洗喷枪0.06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pt;margin-top:1.1pt;height:37.1pt;width:63.7pt;z-index:251666432;v-text-anchor:middle;mso-width-relative:page;mso-height-relative:page;" filled="f" stroked="t" coordsize="21600,21600" o:gfxdata="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wXJ+n1gAAAAcBAAAPAAAAAAAAAAEAIAAAACIAAABkcnMvZG93bnJldi54bWxQ&#10;SwECFAAUAAAACACHTuJAcP2EYGsCAADMBAAADgAAAAAAAAABACAAAAAlAQAAZHJzL2Uyb0RvYy54&#10;bWxQSwUGAAAAAAYABgBZAQAAAgYAAAAA&#10;">
                      <v:fill on="f" focussize="0,0"/>
                      <v:stroke weight="1pt" color="#000000 [3213]" joinstyle="round"/>
                      <v:imagedata o:title=""/>
                      <o:lock v:ext="edit" aspectratio="f"/>
                      <v:textbox>
                        <w:txbxContent>
                          <w:p w14:paraId="77C812A0">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清洗喷枪0.06</w:t>
                            </w:r>
                          </w:p>
                        </w:txbxContent>
                      </v:textbox>
                    </v:rect>
                  </w:pict>
                </mc:Fallback>
              </mc:AlternateContent>
            </w:r>
          </w:p>
          <w:p w14:paraId="784CD9F8">
            <w:pPr>
              <w:bidi w:val="0"/>
            </w:pPr>
            <w:r>
              <w:rPr>
                <w:sz w:val="24"/>
              </w:rPr>
              <mc:AlternateContent>
                <mc:Choice Requires="wps">
                  <w:drawing>
                    <wp:anchor distT="0" distB="0" distL="114300" distR="114300" simplePos="0" relativeHeight="251694080" behindDoc="0" locked="0" layoutInCell="1" allowOverlap="1">
                      <wp:simplePos x="0" y="0"/>
                      <wp:positionH relativeFrom="column">
                        <wp:posOffset>2728595</wp:posOffset>
                      </wp:positionH>
                      <wp:positionV relativeFrom="paragraph">
                        <wp:posOffset>4238625</wp:posOffset>
                      </wp:positionV>
                      <wp:extent cx="410845" cy="0"/>
                      <wp:effectExtent l="0" t="50800" r="635" b="55880"/>
                      <wp:wrapNone/>
                      <wp:docPr id="64" name="直接箭头连接符 64"/>
                      <wp:cNvGraphicFramePr/>
                      <a:graphic xmlns:a="http://schemas.openxmlformats.org/drawingml/2006/main">
                        <a:graphicData uri="http://schemas.microsoft.com/office/word/2010/wordprocessingShape">
                          <wps:wsp>
                            <wps:cNvCnPr>
                              <a:stCxn id="46" idx="3"/>
                            </wps:cNvCnPr>
                            <wps:spPr>
                              <a:xfrm>
                                <a:off x="0" y="0"/>
                                <a:ext cx="410845"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4.85pt;margin-top:333.75pt;height:0pt;width:32.35pt;z-index:251694080;mso-width-relative:page;mso-height-relative:page;" filled="f" stroked="t" coordsize="21600,21600" o:gfxdata="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I61XtoAAAALAQAADwAAAAAAAAABACAA&#10;AAAiAAAAZHJzL2Rvd25yZXYueG1sUEsBAhQAFAAAAAgAh07iQL3oFFQLAgAA8AMAAA4AAAAAAAAA&#10;AQAgAAAAKQEAAGRycy9lMm9Eb2MueG1sUEsFBgAAAAAGAAYAWQEAAKYFA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2721610</wp:posOffset>
                      </wp:positionH>
                      <wp:positionV relativeFrom="paragraph">
                        <wp:posOffset>2718435</wp:posOffset>
                      </wp:positionV>
                      <wp:extent cx="403225" cy="0"/>
                      <wp:effectExtent l="0" t="50800" r="8255" b="55880"/>
                      <wp:wrapNone/>
                      <wp:docPr id="63" name="直接箭头连接符 63"/>
                      <wp:cNvGraphicFramePr/>
                      <a:graphic xmlns:a="http://schemas.openxmlformats.org/drawingml/2006/main">
                        <a:graphicData uri="http://schemas.microsoft.com/office/word/2010/wordprocessingShape">
                          <wps:wsp>
                            <wps:cNvCnPr>
                              <a:stCxn id="44" idx="3"/>
                            </wps:cNvCnPr>
                            <wps:spPr>
                              <a:xfrm>
                                <a:off x="0" y="0"/>
                                <a:ext cx="403225"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4.3pt;margin-top:214.05pt;height:0pt;width:31.75pt;z-index:251693056;mso-width-relative:page;mso-height-relative:page;" filled="f" stroked="t" coordsize="21600,21600" o:gfxdata="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ksn9zYAAAACwEAAA8AAAAAAAAAAQAgAAAA&#10;IgAAAGRycy9kb3ducmV2LnhtbFBLAQIUABQAAAAIAIdO4kDfI7zECwIAAPADAAAOAAAAAAAAAAEA&#10;IAAAACcBAABkcnMvZTJvRG9jLnhtbFBLBQYAAAAABgAGAFkBAACkBQ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2722245</wp:posOffset>
                      </wp:positionH>
                      <wp:positionV relativeFrom="paragraph">
                        <wp:posOffset>1164590</wp:posOffset>
                      </wp:positionV>
                      <wp:extent cx="410845" cy="0"/>
                      <wp:effectExtent l="0" t="50800" r="635" b="55880"/>
                      <wp:wrapNone/>
                      <wp:docPr id="62" name="直接箭头连接符 62"/>
                      <wp:cNvGraphicFramePr/>
                      <a:graphic xmlns:a="http://schemas.openxmlformats.org/drawingml/2006/main">
                        <a:graphicData uri="http://schemas.microsoft.com/office/word/2010/wordprocessingShape">
                          <wps:wsp>
                            <wps:cNvCnPr>
                              <a:stCxn id="42" idx="3"/>
                            </wps:cNvCnPr>
                            <wps:spPr>
                              <a:xfrm>
                                <a:off x="0" y="0"/>
                                <a:ext cx="410845"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4.35pt;margin-top:91.7pt;height:0pt;width:32.35pt;z-index:251692032;mso-width-relative:page;mso-height-relative:page;" filled="f" stroked="t" coordsize="21600,21600" o:gfxdata="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pFKu2gAAAAsBAAAPAAAAAAAAAAEAIAAA&#10;ACIAAABkcnMvZG93bnJldi54bWxQSwECFAAUAAAACACHTuJAGDGMRAoCAADwAwAADgAAAAAAAAAB&#10;ACAAAAApAQAAZHJzL2Uyb0RvYy54bWxQSwUGAAAAAAYABgBZAQAApQU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2691130</wp:posOffset>
                      </wp:positionH>
                      <wp:positionV relativeFrom="paragraph">
                        <wp:posOffset>-256540</wp:posOffset>
                      </wp:positionV>
                      <wp:extent cx="448945" cy="0"/>
                      <wp:effectExtent l="0" t="50800" r="8255" b="55880"/>
                      <wp:wrapNone/>
                      <wp:docPr id="37" name="直接箭头连接符 37"/>
                      <wp:cNvGraphicFramePr/>
                      <a:graphic xmlns:a="http://schemas.openxmlformats.org/drawingml/2006/main">
                        <a:graphicData uri="http://schemas.microsoft.com/office/word/2010/wordprocessingShape">
                          <wps:wsp>
                            <wps:cNvCnPr>
                              <a:stCxn id="30" idx="3"/>
                            </wps:cNvCnPr>
                            <wps:spPr>
                              <a:xfrm>
                                <a:off x="0" y="0"/>
                                <a:ext cx="448945"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1.9pt;margin-top:-20.2pt;height:0pt;width:35.35pt;z-index:251674624;mso-width-relative:page;mso-height-relative:page;" filled="f" stroked="t" coordsize="21600,21600" o:gfxdata="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gPR8jaAAAACwEAAA8AAAAAAAAAAQAgAAAA&#10;IgAAAGRycy9kb3ducmV2LnhtbFBLAQIUABQAAAAIAIdO4kAtdbfqCQIAAPADAAAOAAAAAAAAAAEA&#10;IAAAACkBAABkcnMvZTJvRG9jLnhtbFBLBQYAAAAABgAGAFkBAACkBQ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1068070</wp:posOffset>
                      </wp:positionH>
                      <wp:positionV relativeFrom="paragraph">
                        <wp:posOffset>4608830</wp:posOffset>
                      </wp:positionV>
                      <wp:extent cx="426085" cy="6985"/>
                      <wp:effectExtent l="0" t="49530" r="635" b="50165"/>
                      <wp:wrapNone/>
                      <wp:docPr id="54" name="直接箭头连接符 54"/>
                      <wp:cNvGraphicFramePr/>
                      <a:graphic xmlns:a="http://schemas.openxmlformats.org/drawingml/2006/main">
                        <a:graphicData uri="http://schemas.microsoft.com/office/word/2010/wordprocessingShape">
                          <wps:wsp>
                            <wps:cNvCnPr>
                              <a:stCxn id="41" idx="3"/>
                            </wps:cNvCnPr>
                            <wps:spPr>
                              <a:xfrm flipV="1">
                                <a:off x="0" y="0"/>
                                <a:ext cx="426085" cy="698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4.1pt;margin-top:362.9pt;height:0.55pt;width:33.55pt;z-index:251689984;mso-width-relative:page;mso-height-relative:page;" filled="f" stroked="t" coordsize="21600,21600" o:gfxdata="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EwRh/ZAAAACwEAAA8A&#10;AAAAAAAAAQAgAAAAIgAAAGRycy9kb3ducmV2LnhtbFBLAQIUABQAAAAIAIdO4kDXakwHFgIAAP0D&#10;AAAOAAAAAAAAAAEAIAAAACgBAABkcnMvZTJvRG9jLnhtbFBLBQYAAAAABgAGAFkBAACwBQ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1045210</wp:posOffset>
                      </wp:positionH>
                      <wp:positionV relativeFrom="paragraph">
                        <wp:posOffset>3076575</wp:posOffset>
                      </wp:positionV>
                      <wp:extent cx="426085" cy="635"/>
                      <wp:effectExtent l="0" t="50165" r="635" b="55880"/>
                      <wp:wrapNone/>
                      <wp:docPr id="53" name="直接箭头连接符 53"/>
                      <wp:cNvGraphicFramePr/>
                      <a:graphic xmlns:a="http://schemas.openxmlformats.org/drawingml/2006/main">
                        <a:graphicData uri="http://schemas.microsoft.com/office/word/2010/wordprocessingShape">
                          <wps:wsp>
                            <wps:cNvCnPr>
                              <a:stCxn id="40" idx="3"/>
                            </wps:cNvCnPr>
                            <wps:spPr>
                              <a:xfrm>
                                <a:off x="0" y="0"/>
                                <a:ext cx="426085" cy="63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2.3pt;margin-top:242.25pt;height:0.05pt;width:33.55pt;z-index:251688960;mso-width-relative:page;mso-height-relative:page;" filled="f" stroked="t" coordsize="21600,21600" o:gfxdata="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Gmru2gAAAAsBAAAPAAAAAAAAAAEA&#10;IAAAACIAAABkcnMvZG93bnJldi54bWxQSwECFAAUAAAACACHTuJAEuoosw0CAADyAwAADgAAAAAA&#10;AAABACAAAAApAQAAZHJzL2Uyb0RvYy54bWxQSwUGAAAAAAYABgBZAQAAqAU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1152525</wp:posOffset>
                      </wp:positionH>
                      <wp:positionV relativeFrom="paragraph">
                        <wp:posOffset>1553210</wp:posOffset>
                      </wp:positionV>
                      <wp:extent cx="326390" cy="3810"/>
                      <wp:effectExtent l="0" t="49530" r="8890" b="53340"/>
                      <wp:wrapNone/>
                      <wp:docPr id="52" name="直接箭头连接符 52"/>
                      <wp:cNvGraphicFramePr/>
                      <a:graphic xmlns:a="http://schemas.openxmlformats.org/drawingml/2006/main">
                        <a:graphicData uri="http://schemas.microsoft.com/office/word/2010/wordprocessingShape">
                          <wps:wsp>
                            <wps:cNvCnPr>
                              <a:stCxn id="26" idx="3"/>
                            </wps:cNvCnPr>
                            <wps:spPr>
                              <a:xfrm flipV="1">
                                <a:off x="0" y="0"/>
                                <a:ext cx="326390" cy="381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0.75pt;margin-top:122.3pt;height:0.3pt;width:25.7pt;z-index:251687936;mso-width-relative:page;mso-height-relative:page;" filled="f" stroked="t" coordsize="21600,21600" o:gfxdata="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NdZDbZAAAACwEAAA8AAAAA&#10;AAAAAQAgAAAAIgAAAGRycy9kb3ducmV2LnhtbFBLAQIUABQAAAAIAIdO4kDbSe2dEwIAAP0DAAAO&#10;AAAAAAAAAAEAIAAAACgBAABkcnMvZTJvRG9jLnhtbFBLBQYAAAAABgAGAFkBAACtBQ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1090930</wp:posOffset>
                      </wp:positionH>
                      <wp:positionV relativeFrom="paragraph">
                        <wp:posOffset>74295</wp:posOffset>
                      </wp:positionV>
                      <wp:extent cx="372745" cy="635"/>
                      <wp:effectExtent l="0" t="50165" r="8255" b="55880"/>
                      <wp:wrapNone/>
                      <wp:docPr id="27" name="直接箭头连接符 27"/>
                      <wp:cNvGraphicFramePr/>
                      <a:graphic xmlns:a="http://schemas.openxmlformats.org/drawingml/2006/main">
                        <a:graphicData uri="http://schemas.microsoft.com/office/word/2010/wordprocessingShape">
                          <wps:wsp>
                            <wps:cNvCnPr>
                              <a:stCxn id="19" idx="3"/>
                            </wps:cNvCnPr>
                            <wps:spPr>
                              <a:xfrm>
                                <a:off x="2729865" y="1548130"/>
                                <a:ext cx="372745" cy="63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5.9pt;margin-top:5.85pt;height:0.05pt;width:29.35pt;z-index:251668480;mso-width-relative:page;mso-height-relative:page;" filled="f" stroked="t" coordsize="21600,21600" o:gfxdata="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dl2QAAAAkB&#10;AAAPAAAAAAAAAAEAIAAAACIAAABkcnMvZG93bnJldi54bWxQSwECFAAUAAAACACHTuJAz8irMBoC&#10;AAD+AwAADgAAAAAAAAABACAAAAAoAQAAZHJzL2Uyb0RvYy54bWxQSwUGAAAAAAYABgBZAQAAtAUA&#10;AAAA&#10;">
                      <v:fill on="f" focussize="0,0"/>
                      <v:stroke weight="1pt" color="#000000 [3213]" joinstyle="round" endarrow="open"/>
                      <v:imagedata o:title=""/>
                      <o:lock v:ext="edit" aspectratio="f"/>
                    </v:shape>
                  </w:pict>
                </mc:Fallback>
              </mc:AlternateContent>
            </w:r>
          </w:p>
          <w:p w14:paraId="0EE4F478">
            <w:pPr>
              <w:bidi w:val="0"/>
            </w:pPr>
            <w:r>
              <w:rPr>
                <w:sz w:val="24"/>
              </w:rPr>
              <mc:AlternateContent>
                <mc:Choice Requires="wps">
                  <w:drawing>
                    <wp:anchor distT="0" distB="0" distL="114300" distR="114300" simplePos="0" relativeHeight="251670528" behindDoc="0" locked="0" layoutInCell="1" allowOverlap="1">
                      <wp:simplePos x="0" y="0"/>
                      <wp:positionH relativeFrom="column">
                        <wp:posOffset>1874520</wp:posOffset>
                      </wp:positionH>
                      <wp:positionV relativeFrom="paragraph">
                        <wp:posOffset>29210</wp:posOffset>
                      </wp:positionV>
                      <wp:extent cx="1007110" cy="487045"/>
                      <wp:effectExtent l="6350" t="6350" r="7620" b="9525"/>
                      <wp:wrapNone/>
                      <wp:docPr id="31" name="矩形 31"/>
                      <wp:cNvGraphicFramePr/>
                      <a:graphic xmlns:a="http://schemas.openxmlformats.org/drawingml/2006/main">
                        <a:graphicData uri="http://schemas.microsoft.com/office/word/2010/wordprocessingShape">
                          <wps:wsp>
                            <wps:cNvSpPr/>
                            <wps:spPr>
                              <a:xfrm>
                                <a:off x="0" y="0"/>
                                <a:ext cx="1007110" cy="487045"/>
                              </a:xfrm>
                              <a:prstGeom prst="rect">
                                <a:avLst/>
                              </a:prstGeom>
                              <a:noFill/>
                              <a:ln w="12700" cmpd="sng">
                                <a:solidFill>
                                  <a:schemeClr val="accent1">
                                    <a:shade val="50000"/>
                                  </a:schemeClr>
                                </a:solidFill>
                                <a:prstDash val="lgDash"/>
                              </a:ln>
                            </wps:spPr>
                            <wps:style>
                              <a:lnRef idx="2">
                                <a:schemeClr val="accent1">
                                  <a:lumMod val="75000"/>
                                </a:schemeClr>
                              </a:lnRef>
                              <a:fillRef idx="1">
                                <a:schemeClr val="accent1"/>
                              </a:fillRef>
                              <a:effectRef idx="0">
                                <a:srgbClr val="FFFFFF"/>
                              </a:effectRef>
                              <a:fontRef idx="minor">
                                <a:schemeClr val="lt1"/>
                              </a:fontRef>
                            </wps:style>
                            <wps:txbx>
                              <w:txbxContent>
                                <w:p w14:paraId="5A01FCB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无组织排放0.0012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6pt;margin-top:2.3pt;height:38.35pt;width:79.3pt;z-index:251670528;v-text-anchor:middle;mso-width-relative:page;mso-height-relative:page;" filled="f" stroked="t" coordsize="21600,21600" o:gfxdata="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FFWx/YAAAACAEAAA8AAAAAAAAAAQAgAAAAIgAAAGRycy9k&#10;b3ducmV2LnhtbFBLAQIUABQAAAAIAIdO4kBNVQ/fdAIAAOMEAAAOAAAAAAAAAAEAIAAAACcBAABk&#10;cnMvZTJvRG9jLnhtbFBLBQYAAAAABgAGAFkBAAANBgAAAAA=&#10;">
                      <v:fill on="f" focussize="0,0"/>
                      <v:stroke weight="1pt" color="#385D8A [3204]" joinstyle="round" dashstyle="longDash"/>
                      <v:imagedata o:title=""/>
                      <o:lock v:ext="edit" aspectratio="f"/>
                      <v:textbox>
                        <w:txbxContent>
                          <w:p w14:paraId="5A01FCB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无组织排放0.0012</w:t>
                            </w:r>
                          </w:p>
                        </w:txbxContent>
                      </v:textbox>
                    </v:rect>
                  </w:pict>
                </mc:Fallback>
              </mc:AlternateContent>
            </w:r>
          </w:p>
          <w:p w14:paraId="5D6F6A94">
            <w:pPr>
              <w:bidi w:val="0"/>
            </w:pPr>
          </w:p>
          <w:p w14:paraId="360681AE">
            <w:pPr>
              <w:bidi w:val="0"/>
            </w:pPr>
          </w:p>
          <w:p w14:paraId="5C296A3B">
            <w:pPr>
              <w:bidi w:val="0"/>
            </w:pPr>
          </w:p>
          <w:p w14:paraId="0824DDD8">
            <w:pPr>
              <w:bidi w:val="0"/>
            </w:pPr>
            <w:r>
              <w:rPr>
                <w:sz w:val="24"/>
              </w:rPr>
              <mc:AlternateContent>
                <mc:Choice Requires="wps">
                  <w:drawing>
                    <wp:anchor distT="0" distB="0" distL="114300" distR="114300" simplePos="0" relativeHeight="251677696" behindDoc="0" locked="0" layoutInCell="1" allowOverlap="1">
                      <wp:simplePos x="0" y="0"/>
                      <wp:positionH relativeFrom="column">
                        <wp:posOffset>1889760</wp:posOffset>
                      </wp:positionH>
                      <wp:positionV relativeFrom="paragraph">
                        <wp:posOffset>36830</wp:posOffset>
                      </wp:positionV>
                      <wp:extent cx="832485" cy="502285"/>
                      <wp:effectExtent l="6350" t="6350" r="14605" b="9525"/>
                      <wp:wrapNone/>
                      <wp:docPr id="42" name="矩形 42"/>
                      <wp:cNvGraphicFramePr/>
                      <a:graphic xmlns:a="http://schemas.openxmlformats.org/drawingml/2006/main">
                        <a:graphicData uri="http://schemas.microsoft.com/office/word/2010/wordprocessingShape">
                          <wps:wsp>
                            <wps:cNvSpPr/>
                            <wps:spPr>
                              <a:xfrm>
                                <a:off x="0" y="0"/>
                                <a:ext cx="832485" cy="502285"/>
                              </a:xfrm>
                              <a:prstGeom prst="rect">
                                <a:avLst/>
                              </a:prstGeom>
                              <a:noFill/>
                              <a:ln w="12700" cmpd="sng">
                                <a:solidFill>
                                  <a:schemeClr val="accent1">
                                    <a:shade val="5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319E48C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负压收集1.3542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8pt;margin-top:2.9pt;height:39.55pt;width:65.55pt;z-index:251677696;v-text-anchor:middle;mso-width-relative:page;mso-height-relative:page;" filled="f" stroked="t" coordsize="21600,21600" o:gfxdata="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7lJvYAAAACAEAAA8AAAAAAAAAAQAgAAAAIgAAAGRycy9k&#10;b3ducmV2LnhtbFBLAQIUABQAAAAIAIdO4kCI+lXtdAIAAOEEAAAOAAAAAAAAAAEAIAAAACcBAABk&#10;cnMvZTJvRG9jLnhtbFBLBQYAAAAABgAGAFkBAAANBgAAAAA=&#10;">
                      <v:fill on="f" focussize="0,0"/>
                      <v:stroke weight="1pt" color="#385D8A [3204]" joinstyle="round"/>
                      <v:imagedata o:title=""/>
                      <o:lock v:ext="edit" aspectratio="f"/>
                      <v:textbox>
                        <w:txbxContent>
                          <w:p w14:paraId="319E48C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负压收集1.3542</w:t>
                            </w:r>
                          </w:p>
                        </w:txbxContent>
                      </v:textbox>
                    </v:rect>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3132455</wp:posOffset>
                      </wp:positionH>
                      <wp:positionV relativeFrom="paragraph">
                        <wp:posOffset>-1136650</wp:posOffset>
                      </wp:positionV>
                      <wp:extent cx="0" cy="4495800"/>
                      <wp:effectExtent l="6350" t="0" r="8890" b="0"/>
                      <wp:wrapNone/>
                      <wp:docPr id="61" name="直接箭头连接符 61"/>
                      <wp:cNvGraphicFramePr/>
                      <a:graphic xmlns:a="http://schemas.openxmlformats.org/drawingml/2006/main">
                        <a:graphicData uri="http://schemas.microsoft.com/office/word/2010/wordprocessingShape">
                          <wps:wsp>
                            <wps:cNvCnPr/>
                            <wps:spPr>
                              <a:xfrm>
                                <a:off x="0" y="0"/>
                                <a:ext cx="0" cy="4495800"/>
                              </a:xfrm>
                              <a:prstGeom prst="straightConnector1">
                                <a:avLst/>
                              </a:prstGeom>
                              <a:ln w="12700">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6.65pt;margin-top:-89.5pt;height:354pt;width:0pt;z-index:251691008;mso-width-relative:page;mso-height-relative:page;" filled="f" stroked="t" coordsize="21600,21600" o:gfxdata="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H9847WAAAADAEAAA8AAAAAAAAAAQAgAAAAIgAAAGRycy9kb3ducmV2LnhtbFBL&#10;AQIUABQAAAAIAIdO4kCeUEPc+AEAAMkDAAAOAAAAAAAAAAEAIAAAACUBAABkcnMvZTJvRG9jLnht&#10;bFBLBQYAAAAABgAGAFkBAACPBQAAAAA=&#10;">
                      <v:fill on="f" focussize="0,0"/>
                      <v:stroke weight="1pt" color="#000000 [3213]" joinstyle="round"/>
                      <v:imagedata o:title=""/>
                      <o:lock v:ext="edit" aspectratio="f"/>
                    </v:shape>
                  </w:pict>
                </mc:Fallback>
              </mc:AlternateContent>
            </w:r>
          </w:p>
          <w:p w14:paraId="015188B5">
            <w:pPr>
              <w:bidi w:val="0"/>
            </w:pPr>
            <w:r>
              <w:rPr>
                <w:sz w:val="24"/>
              </w:rPr>
              <mc:AlternateContent>
                <mc:Choice Requires="wps">
                  <w:drawing>
                    <wp:anchor distT="0" distB="0" distL="114300" distR="114300" simplePos="0" relativeHeight="251667456" behindDoc="0" locked="0" layoutInCell="1" allowOverlap="1">
                      <wp:simplePos x="0" y="0"/>
                      <wp:positionH relativeFrom="column">
                        <wp:posOffset>83820</wp:posOffset>
                      </wp:positionH>
                      <wp:positionV relativeFrom="paragraph">
                        <wp:posOffset>158750</wp:posOffset>
                      </wp:positionV>
                      <wp:extent cx="1068705" cy="692785"/>
                      <wp:effectExtent l="6350" t="6350" r="6985" b="17145"/>
                      <wp:wrapNone/>
                      <wp:docPr id="26" name="矩形 26"/>
                      <wp:cNvGraphicFramePr/>
                      <a:graphic xmlns:a="http://schemas.openxmlformats.org/drawingml/2006/main">
                        <a:graphicData uri="http://schemas.microsoft.com/office/word/2010/wordprocessingShape">
                          <wps:wsp>
                            <wps:cNvSpPr/>
                            <wps:spPr>
                              <a:xfrm>
                                <a:off x="0" y="0"/>
                                <a:ext cx="1068705" cy="692785"/>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B59F48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喷漆（含调漆）、晾干1.3818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pt;margin-top:12.5pt;height:54.55pt;width:84.15pt;z-index:251667456;v-text-anchor:middle;mso-width-relative:page;mso-height-relative:page;" filled="f" stroked="t" coordsize="21600,21600" o:gfxdata="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tzmw9UAAAAJAQAADwAAAAAAAAABACAAAAAiAAAAZHJzL2Rvd25yZXYueG1sUEsBAhQAFAAA&#10;AAgAh07iQHIpGO9kAgAAwQQAAA4AAAAAAAAAAQAgAAAAJAEAAGRycy9lMm9Eb2MueG1sUEsFBgAA&#10;AAAGAAYAWQEAAPoFAAAAAA==&#10;">
                      <v:fill on="f" focussize="0,0"/>
                      <v:stroke weight="1pt" color="#000000 [3213]" joinstyle="round"/>
                      <v:imagedata o:title=""/>
                      <o:lock v:ext="edit" aspectratio="f"/>
                      <v:textbox>
                        <w:txbxContent>
                          <w:p w14:paraId="6B59F48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喷漆（含调漆）、晾干1.3818</w:t>
                            </w:r>
                          </w:p>
                        </w:txbxContent>
                      </v:textbox>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1889760</wp:posOffset>
                      </wp:positionH>
                      <wp:positionV relativeFrom="paragraph">
                        <wp:posOffset>113030</wp:posOffset>
                      </wp:positionV>
                      <wp:extent cx="3175" cy="772795"/>
                      <wp:effectExtent l="427355" t="50800" r="11430" b="60325"/>
                      <wp:wrapNone/>
                      <wp:docPr id="48" name="肘形连接符 48"/>
                      <wp:cNvGraphicFramePr/>
                      <a:graphic xmlns:a="http://schemas.openxmlformats.org/drawingml/2006/main">
                        <a:graphicData uri="http://schemas.microsoft.com/office/word/2010/wordprocessingShape">
                          <wps:wsp>
                            <wps:cNvCnPr>
                              <a:stCxn id="42" idx="1"/>
                              <a:endCxn id="43" idx="1"/>
                            </wps:cNvCnPr>
                            <wps:spPr>
                              <a:xfrm rot="10800000" flipH="1" flipV="1">
                                <a:off x="0" y="0"/>
                                <a:ext cx="3175" cy="772795"/>
                              </a:xfrm>
                              <a:prstGeom prst="bentConnector3">
                                <a:avLst>
                                  <a:gd name="adj1" fmla="val -13260000"/>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x y;margin-left:148.8pt;margin-top:8.9pt;height:60.85pt;width:0.25pt;rotation:11796480f;z-index:251683840;mso-width-relative:page;mso-height-relative:page;" filled="f" stroked="t" coordsize="21600,21600" o:gfxdata="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AOS3dcAAAAKAQAADwAAAAAAAAABACAAAAAi&#10;AAAAZHJzL2Rvd25yZXYueG1sUEsBAhQAFAAAAAgAh07iQDE+iGVEAgAAcQQAAA4AAAAAAAAAAQAg&#10;AAAAJgEAAGRycy9lMm9Eb2MueG1sUEsFBgAAAAAGAAYAWQEAANwFAAAAAA==&#10;" adj="-2864160">
                      <v:fill on="f" focussize="0,0"/>
                      <v:stroke weight="1pt" color="#000000 [3213]" joinstyle="round" startarrow="open" endarrow="open"/>
                      <v:imagedata o:title=""/>
                      <o:lock v:ext="edit" aspectratio="f"/>
                    </v:shape>
                  </w:pict>
                </mc:Fallback>
              </mc:AlternateContent>
            </w:r>
          </w:p>
          <w:p w14:paraId="16748E73">
            <w:pPr>
              <w:bidi w:val="0"/>
            </w:pPr>
            <w:r>
              <w:rPr>
                <w:sz w:val="24"/>
              </w:rPr>
              <mc:AlternateContent>
                <mc:Choice Requires="wps">
                  <w:drawing>
                    <wp:anchor distT="0" distB="0" distL="114300" distR="114300" simplePos="0" relativeHeight="251672576" behindDoc="0" locked="0" layoutInCell="1" allowOverlap="1">
                      <wp:simplePos x="0" y="0"/>
                      <wp:positionH relativeFrom="column">
                        <wp:posOffset>4244340</wp:posOffset>
                      </wp:positionH>
                      <wp:positionV relativeFrom="paragraph">
                        <wp:posOffset>113030</wp:posOffset>
                      </wp:positionV>
                      <wp:extent cx="808990" cy="768350"/>
                      <wp:effectExtent l="6350" t="6350" r="7620" b="17780"/>
                      <wp:wrapNone/>
                      <wp:docPr id="33" name="矩形 33"/>
                      <wp:cNvGraphicFramePr/>
                      <a:graphic xmlns:a="http://schemas.openxmlformats.org/drawingml/2006/main">
                        <a:graphicData uri="http://schemas.microsoft.com/office/word/2010/wordprocessingShape">
                          <wps:wsp>
                            <wps:cNvSpPr/>
                            <wps:spPr>
                              <a:xfrm>
                                <a:off x="0" y="0"/>
                                <a:ext cx="808990" cy="768350"/>
                              </a:xfrm>
                              <a:prstGeom prst="rect">
                                <a:avLst/>
                              </a:prstGeom>
                              <a:noFill/>
                              <a:ln w="12700" cmpd="sng">
                                <a:solidFill>
                                  <a:schemeClr val="accent1">
                                    <a:shade val="5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683DB67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吸附脱附催化燃烧2.013803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2pt;margin-top:8.9pt;height:60.5pt;width:63.7pt;z-index:251672576;v-text-anchor:middle;mso-width-relative:page;mso-height-relative:page;" filled="f" stroked="t" coordsize="21600,21600" o:gfxdata="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SXeaw2AAAAAoBAAAPAAAAAAAAAAEAIAAAACIAAABkcnMv&#10;ZG93bnJldi54bWxQSwECFAAUAAAACACHTuJA/jYzd3UCAADhBAAADgAAAAAAAAABACAAAAAnAQAA&#10;ZHJzL2Uyb0RvYy54bWxQSwUGAAAAAAYABgBZAQAADgYAAAAA&#10;">
                      <v:fill on="f" focussize="0,0"/>
                      <v:stroke weight="1pt" color="#385D8A [3204]" joinstyle="round"/>
                      <v:imagedata o:title=""/>
                      <o:lock v:ext="edit" aspectratio="f"/>
                      <v:textbox>
                        <w:txbxContent>
                          <w:p w14:paraId="683DB67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吸附脱附催化燃烧2.013803</w:t>
                            </w:r>
                          </w:p>
                        </w:txbxContent>
                      </v:textbox>
                    </v:rect>
                  </w:pict>
                </mc:Fallback>
              </mc:AlternateContent>
            </w:r>
          </w:p>
          <w:p w14:paraId="30BDA6DD">
            <w:pPr>
              <w:bidi w:val="0"/>
            </w:pPr>
          </w:p>
          <w:p w14:paraId="7F7B9DF8">
            <w:pPr>
              <w:bidi w:val="0"/>
            </w:pPr>
            <w:r>
              <w:rPr>
                <w:sz w:val="24"/>
              </w:rPr>
              <mc:AlternateContent>
                <mc:Choice Requires="wps">
                  <w:drawing>
                    <wp:anchor distT="0" distB="0" distL="114300" distR="114300" simplePos="0" relativeHeight="251678720" behindDoc="0" locked="0" layoutInCell="1" allowOverlap="1">
                      <wp:simplePos x="0" y="0"/>
                      <wp:positionH relativeFrom="column">
                        <wp:posOffset>1889760</wp:posOffset>
                      </wp:positionH>
                      <wp:positionV relativeFrom="paragraph">
                        <wp:posOffset>90170</wp:posOffset>
                      </wp:positionV>
                      <wp:extent cx="1007110" cy="539750"/>
                      <wp:effectExtent l="6350" t="6350" r="7620" b="17780"/>
                      <wp:wrapNone/>
                      <wp:docPr id="43" name="矩形 43"/>
                      <wp:cNvGraphicFramePr/>
                      <a:graphic xmlns:a="http://schemas.openxmlformats.org/drawingml/2006/main">
                        <a:graphicData uri="http://schemas.microsoft.com/office/word/2010/wordprocessingShape">
                          <wps:wsp>
                            <wps:cNvSpPr/>
                            <wps:spPr>
                              <a:xfrm>
                                <a:off x="0" y="0"/>
                                <a:ext cx="1007110" cy="539750"/>
                              </a:xfrm>
                              <a:prstGeom prst="rect">
                                <a:avLst/>
                              </a:prstGeom>
                              <a:noFill/>
                              <a:ln w="12700" cmpd="sng">
                                <a:solidFill>
                                  <a:schemeClr val="accent1">
                                    <a:shade val="50000"/>
                                  </a:schemeClr>
                                </a:solidFill>
                                <a:prstDash val="lgDash"/>
                              </a:ln>
                            </wps:spPr>
                            <wps:style>
                              <a:lnRef idx="2">
                                <a:schemeClr val="accent1">
                                  <a:lumMod val="75000"/>
                                </a:schemeClr>
                              </a:lnRef>
                              <a:fillRef idx="1">
                                <a:schemeClr val="accent1"/>
                              </a:fillRef>
                              <a:effectRef idx="0">
                                <a:srgbClr val="FFFFFF"/>
                              </a:effectRef>
                              <a:fontRef idx="minor">
                                <a:schemeClr val="lt1"/>
                              </a:fontRef>
                            </wps:style>
                            <wps:txbx>
                              <w:txbxContent>
                                <w:p w14:paraId="2E45C54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无组织排放0.0276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8pt;margin-top:7.1pt;height:42.5pt;width:79.3pt;z-index:251678720;v-text-anchor:middle;mso-width-relative:page;mso-height-relative:page;" filled="f" stroked="t" coordsize="21600,21600" o:gfxdata="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CcbsNgAAAAJAQAADwAAAAAAAAABACAAAAAiAAAAZHJz&#10;L2Rvd25yZXYueG1sUEsBAhQAFAAAAAgAh07iQCE4qWl2AgAA4wQAAA4AAAAAAAAAAQAgAAAAJwEA&#10;AGRycy9lMm9Eb2MueG1sUEsFBgAAAAAGAAYAWQEAAA8GAAAAAA==&#10;">
                      <v:fill on="f" focussize="0,0"/>
                      <v:stroke weight="1pt" color="#385D8A [3204]" joinstyle="round" dashstyle="longDash"/>
                      <v:imagedata o:title=""/>
                      <o:lock v:ext="edit" aspectratio="f"/>
                      <v:textbox>
                        <w:txbxContent>
                          <w:p w14:paraId="2E45C54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无组织排放0.0276</w:t>
                            </w:r>
                          </w:p>
                        </w:txbxContent>
                      </v:textbox>
                    </v:rect>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4145915</wp:posOffset>
                      </wp:positionH>
                      <wp:positionV relativeFrom="paragraph">
                        <wp:posOffset>146685</wp:posOffset>
                      </wp:positionV>
                      <wp:extent cx="98425" cy="1330325"/>
                      <wp:effectExtent l="244475" t="50800" r="7620" b="51435"/>
                      <wp:wrapNone/>
                      <wp:docPr id="49" name="肘形连接符 49"/>
                      <wp:cNvGraphicFramePr/>
                      <a:graphic xmlns:a="http://schemas.openxmlformats.org/drawingml/2006/main">
                        <a:graphicData uri="http://schemas.microsoft.com/office/word/2010/wordprocessingShape">
                          <wps:wsp>
                            <wps:cNvCnPr>
                              <a:stCxn id="33" idx="1"/>
                              <a:endCxn id="36" idx="1"/>
                            </wps:cNvCnPr>
                            <wps:spPr>
                              <a:xfrm rot="10800000" flipV="1">
                                <a:off x="0" y="0"/>
                                <a:ext cx="98425" cy="1330325"/>
                              </a:xfrm>
                              <a:prstGeom prst="bentConnector3">
                                <a:avLst>
                                  <a:gd name="adj1" fmla="val 341935"/>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326.45pt;margin-top:11.55pt;height:104.75pt;width:7.75pt;rotation:11796480f;z-index:251684864;mso-width-relative:page;mso-height-relative:page;" filled="f" stroked="t" coordsize="21600,21600" o:gfxdata="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&#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p3BG9cAAAAKAQAADwAAAAAAAAABACAAAAAiAAAA&#10;ZHJzL2Rvd25yZXYueG1sUEsBAhQAFAAAAAgAh07iQC58oa9BAgAAZgQAAA4AAAAAAAAAAQAgAAAA&#10;JgEAAGRycy9lMm9Eb2MueG1sUEsFBgAAAAAGAAYAWQEAANkFAAAAAA==&#10;" adj="73858">
                      <v:fill on="f" focussize="0,0"/>
                      <v:stroke weight="1pt" color="#000000 [3213]" joinstyle="round" startarrow="open" endarrow="open"/>
                      <v:imagedata o:title=""/>
                      <o:lock v:ext="edit" aspectratio="f"/>
                    </v:shape>
                  </w:pict>
                </mc:Fallback>
              </mc:AlternateContent>
            </w:r>
          </w:p>
          <w:p w14:paraId="2D444F3E">
            <w:pPr>
              <w:bidi w:val="0"/>
            </w:pPr>
          </w:p>
          <w:p w14:paraId="3CCCD5F2">
            <w:pPr>
              <w:bidi w:val="0"/>
            </w:pPr>
          </w:p>
          <w:p w14:paraId="02DCC288">
            <w:pPr>
              <w:bidi w:val="0"/>
            </w:pPr>
            <w:r>
              <w:rPr>
                <w:sz w:val="24"/>
              </w:rPr>
              <mc:AlternateContent>
                <mc:Choice Requires="wps">
                  <w:drawing>
                    <wp:anchor distT="0" distB="0" distL="114300" distR="114300" simplePos="0" relativeHeight="251696128" behindDoc="0" locked="0" layoutInCell="1" allowOverlap="1">
                      <wp:simplePos x="0" y="0"/>
                      <wp:positionH relativeFrom="column">
                        <wp:posOffset>3178175</wp:posOffset>
                      </wp:positionH>
                      <wp:positionV relativeFrom="paragraph">
                        <wp:posOffset>21590</wp:posOffset>
                      </wp:positionV>
                      <wp:extent cx="692785" cy="26733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692785"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0DF8A">
                                  <w:pPr>
                                    <w:jc w:val="center"/>
                                    <w:rPr>
                                      <w:rFonts w:hint="default" w:eastAsia="宋体"/>
                                      <w:lang w:val="en-US" w:eastAsia="zh-CN"/>
                                    </w:rPr>
                                  </w:pPr>
                                  <w:r>
                                    <w:rPr>
                                      <w:rFonts w:hint="eastAsia"/>
                                      <w:lang w:val="en-US" w:eastAsia="zh-CN"/>
                                    </w:rPr>
                                    <w:t>2.36918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25pt;margin-top:1.7pt;height:21.05pt;width:54.55pt;z-index:251696128;mso-width-relative:page;mso-height-relative:page;" filled="f" stroked="f" coordsize="21600,21600" o:gfxdata="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2OI6vaAAAACAEAAA8AAAAAAAAAAQAgAAAAIgAAAGRy&#10;cy9kb3ducmV2LnhtbFBLAQIUABQAAAAIAIdO4kCUIJDJPAIAAGcEAAAOAAAAAAAAAAEAIAAAACkB&#10;AABkcnMvZTJvRG9jLnhtbFBLBQYAAAAABgAGAFkBAADXBQAAAAA=&#10;">
                      <v:fill on="f" focussize="0,0"/>
                      <v:stroke on="f" weight="0.5pt"/>
                      <v:imagedata o:title=""/>
                      <o:lock v:ext="edit" aspectratio="f"/>
                      <v:textbox>
                        <w:txbxContent>
                          <w:p w14:paraId="0BB0DF8A">
                            <w:pPr>
                              <w:jc w:val="center"/>
                              <w:rPr>
                                <w:rFonts w:hint="default" w:eastAsia="宋体"/>
                                <w:lang w:val="en-US" w:eastAsia="zh-CN"/>
                              </w:rPr>
                            </w:pPr>
                            <w:r>
                              <w:rPr>
                                <w:rFonts w:hint="eastAsia"/>
                                <w:lang w:val="en-US" w:eastAsia="zh-CN"/>
                              </w:rPr>
                              <w:t>2.36918</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1897380</wp:posOffset>
                      </wp:positionH>
                      <wp:positionV relativeFrom="paragraph">
                        <wp:posOffset>615315</wp:posOffset>
                      </wp:positionV>
                      <wp:extent cx="7620" cy="755015"/>
                      <wp:effectExtent l="442595" t="50800" r="6985" b="62865"/>
                      <wp:wrapNone/>
                      <wp:docPr id="50" name="肘形连接符 50"/>
                      <wp:cNvGraphicFramePr/>
                      <a:graphic xmlns:a="http://schemas.openxmlformats.org/drawingml/2006/main">
                        <a:graphicData uri="http://schemas.microsoft.com/office/word/2010/wordprocessingShape">
                          <wps:wsp>
                            <wps:cNvCnPr>
                              <a:stCxn id="44" idx="1"/>
                              <a:endCxn id="45" idx="1"/>
                            </wps:cNvCnPr>
                            <wps:spPr>
                              <a:xfrm rot="10800000" flipH="1" flipV="1">
                                <a:off x="0" y="0"/>
                                <a:ext cx="7620" cy="755015"/>
                              </a:xfrm>
                              <a:prstGeom prst="bentConnector3">
                                <a:avLst>
                                  <a:gd name="adj1" fmla="val -5725000"/>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x y;margin-left:149.4pt;margin-top:48.45pt;height:59.45pt;width:0.6pt;rotation:11796480f;z-index:251685888;mso-width-relative:page;mso-height-relative:page;" filled="f" stroked="t" coordsize="21600,21600" o:gfxdata="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ZEVEtoAAAAKAQAADwAAAAAAAAABACAA&#10;AAAiAAAAZHJzL2Rvd25yZXYueG1sUEsBAhQAFAAAAAgAh07iQN3k3rhEAgAAcAQAAA4AAAAAAAAA&#10;AQAgAAAAKQEAAGRycy9lMm9Eb2MueG1sUEsFBgAAAAAGAAYAWQEAAN8FAAAAAA==&#10;" adj="-1236600">
                      <v:fill on="f" focussize="0,0"/>
                      <v:stroke weight="1pt" color="#000000 [3213]" joinstyle="round" startarrow="open" endarrow="open"/>
                      <v:imagedata o:title=""/>
                      <o:lock v:ext="edit" aspectratio="f"/>
                    </v:shape>
                  </w:pict>
                </mc:Fallback>
              </mc:AlternateContent>
            </w:r>
          </w:p>
          <w:p w14:paraId="4E6BEB20">
            <w:pPr>
              <w:bidi w:val="0"/>
            </w:pPr>
            <w:r>
              <w:rPr>
                <w:sz w:val="24"/>
              </w:rPr>
              <mc:AlternateContent>
                <mc:Choice Requires="wps">
                  <w:drawing>
                    <wp:anchor distT="0" distB="0" distL="114300" distR="114300" simplePos="0" relativeHeight="251695104" behindDoc="0" locked="0" layoutInCell="1" allowOverlap="1">
                      <wp:simplePos x="0" y="0"/>
                      <wp:positionH relativeFrom="column">
                        <wp:posOffset>3140075</wp:posOffset>
                      </wp:positionH>
                      <wp:positionV relativeFrom="paragraph">
                        <wp:posOffset>113030</wp:posOffset>
                      </wp:positionV>
                      <wp:extent cx="769620" cy="0"/>
                      <wp:effectExtent l="0" t="50800" r="7620" b="55880"/>
                      <wp:wrapNone/>
                      <wp:docPr id="65" name="直接箭头连接符 65"/>
                      <wp:cNvGraphicFramePr/>
                      <a:graphic xmlns:a="http://schemas.openxmlformats.org/drawingml/2006/main">
                        <a:graphicData uri="http://schemas.microsoft.com/office/word/2010/wordprocessingShape">
                          <wps:wsp>
                            <wps:cNvCnPr/>
                            <wps:spPr>
                              <a:xfrm>
                                <a:off x="0" y="0"/>
                                <a:ext cx="769620" cy="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7.25pt;margin-top:8.9pt;height:0pt;width:60.6pt;z-index:251695104;mso-width-relative:page;mso-height-relative:page;" filled="f" stroked="t" coordsize="21600,21600" o:gfxdata="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9M1jYAAAACQEAAA8AAAAAAAAAAQAgAAAAIgAAAGRycy9kb3ducmV2LnhtbFBL&#10;AQIUABQAAAAIAIdO4kD9yfiJ9gEAAMkDAAAOAAAAAAAAAAEAIAAAACcBAABkcnMvZTJvRG9jLnht&#10;bFBLBQYAAAAABgAGAFkBAACPBQAAAAA=&#10;">
                      <v:fill on="f" focussize="0,0"/>
                      <v:stroke weight="1pt"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1897380</wp:posOffset>
                      </wp:positionH>
                      <wp:positionV relativeFrom="paragraph">
                        <wp:posOffset>173990</wp:posOffset>
                      </wp:positionV>
                      <wp:extent cx="824230" cy="532130"/>
                      <wp:effectExtent l="6350" t="6350" r="7620" b="10160"/>
                      <wp:wrapNone/>
                      <wp:docPr id="44" name="矩形 44"/>
                      <wp:cNvGraphicFramePr/>
                      <a:graphic xmlns:a="http://schemas.openxmlformats.org/drawingml/2006/main">
                        <a:graphicData uri="http://schemas.microsoft.com/office/word/2010/wordprocessingShape">
                          <wps:wsp>
                            <wps:cNvSpPr/>
                            <wps:spPr>
                              <a:xfrm>
                                <a:off x="0" y="0"/>
                                <a:ext cx="824230" cy="532130"/>
                              </a:xfrm>
                              <a:prstGeom prst="rect">
                                <a:avLst/>
                              </a:prstGeom>
                              <a:noFill/>
                              <a:ln w="12700" cmpd="sng">
                                <a:solidFill>
                                  <a:schemeClr val="accent1">
                                    <a:shade val="5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130CBE2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负压收集0.955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4pt;margin-top:13.7pt;height:41.9pt;width:64.9pt;z-index:251679744;v-text-anchor:middle;mso-width-relative:page;mso-height-relative:page;" filled="f" stroked="t" coordsize="21600,21600" o:gfxdata="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6/2J82QAAAAoBAAAPAAAAAAAAAAEAIAAAACIAAABkcnMvZG93&#10;bnJldi54bWxQSwECFAAUAAAACACHTuJABRqohnECAADhBAAADgAAAAAAAAABACAAAAAoAQAAZHJz&#10;L2Uyb0RvYy54bWxQSwUGAAAAAAYABgBZAQAACwYAAAAA&#10;">
                      <v:fill on="f" focussize="0,0"/>
                      <v:stroke weight="1pt" color="#385D8A [3204]" joinstyle="round"/>
                      <v:imagedata o:title=""/>
                      <o:lock v:ext="edit" aspectratio="f"/>
                      <v:textbox>
                        <w:txbxContent>
                          <w:p w14:paraId="130CBE2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负压收集0.955</w:t>
                            </w:r>
                          </w:p>
                        </w:txbxContent>
                      </v:textbox>
                    </v:rect>
                  </w:pict>
                </mc:Fallback>
              </mc:AlternateContent>
            </w:r>
          </w:p>
          <w:p w14:paraId="5BDE37E4">
            <w:pPr>
              <w:bidi w:val="0"/>
            </w:pPr>
          </w:p>
          <w:p w14:paraId="1427B9DD">
            <w:pPr>
              <w:bidi w:val="0"/>
            </w:pPr>
            <w:r>
              <w:rPr>
                <w:sz w:val="24"/>
              </w:rPr>
              <mc:AlternateContent>
                <mc:Choice Requires="wps">
                  <w:drawing>
                    <wp:anchor distT="0" distB="0" distL="114300" distR="114300" simplePos="0" relativeHeight="251673600" behindDoc="0" locked="0" layoutInCell="1" allowOverlap="1">
                      <wp:simplePos x="0" y="0"/>
                      <wp:positionH relativeFrom="column">
                        <wp:posOffset>4145915</wp:posOffset>
                      </wp:positionH>
                      <wp:positionV relativeFrom="paragraph">
                        <wp:posOffset>90170</wp:posOffset>
                      </wp:positionV>
                      <wp:extent cx="960755" cy="669925"/>
                      <wp:effectExtent l="6350" t="6350" r="8255" b="9525"/>
                      <wp:wrapNone/>
                      <wp:docPr id="36" name="矩形 36"/>
                      <wp:cNvGraphicFramePr/>
                      <a:graphic xmlns:a="http://schemas.openxmlformats.org/drawingml/2006/main">
                        <a:graphicData uri="http://schemas.microsoft.com/office/word/2010/wordprocessingShape">
                          <wps:wsp>
                            <wps:cNvSpPr/>
                            <wps:spPr>
                              <a:xfrm>
                                <a:off x="0" y="0"/>
                                <a:ext cx="960755" cy="669925"/>
                              </a:xfrm>
                              <a:prstGeom prst="rect">
                                <a:avLst/>
                              </a:prstGeom>
                              <a:noFill/>
                              <a:ln w="12700" cmpd="sng">
                                <a:solidFill>
                                  <a:schemeClr val="accent1">
                                    <a:shade val="50000"/>
                                  </a:schemeClr>
                                </a:solidFill>
                                <a:prstDash val="lgDash"/>
                              </a:ln>
                            </wps:spPr>
                            <wps:style>
                              <a:lnRef idx="2">
                                <a:schemeClr val="accent1">
                                  <a:lumMod val="75000"/>
                                </a:schemeClr>
                              </a:lnRef>
                              <a:fillRef idx="1">
                                <a:schemeClr val="accent1"/>
                              </a:fillRef>
                              <a:effectRef idx="0">
                                <a:srgbClr val="FFFFFF"/>
                              </a:effectRef>
                              <a:fontRef idx="minor">
                                <a:schemeClr val="lt1"/>
                              </a:fontRef>
                            </wps:style>
                            <wps:txbx>
                              <w:txbxContent>
                                <w:p w14:paraId="60C769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有组织排放（DA001）0.35537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45pt;margin-top:7.1pt;height:52.75pt;width:75.65pt;z-index:251673600;v-text-anchor:middle;mso-width-relative:page;mso-height-relative:page;" filled="f" stroked="t" coordsize="21600,21600" o:gfxdata="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hG6UjYAAAACgEAAA8AAAAAAAAAAQAgAAAAIgAAAGRy&#10;cy9kb3ducmV2LnhtbFBLAQIUABQAAAAIAIdO4kArhUzDdwIAAOIEAAAOAAAAAAAAAAEAIAAAACcB&#10;AABkcnMvZTJvRG9jLnhtbFBLBQYAAAAABgAGAFkBAAAQBgAAAAA=&#10;">
                      <v:fill on="f" focussize="0,0"/>
                      <v:stroke weight="1pt" color="#385D8A [3204]" joinstyle="round" dashstyle="longDash"/>
                      <v:imagedata o:title=""/>
                      <o:lock v:ext="edit" aspectratio="f"/>
                      <v:textbox>
                        <w:txbxContent>
                          <w:p w14:paraId="60C769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有组织排放（DA001）0.35537</w:t>
                            </w:r>
                          </w:p>
                        </w:txbxContent>
                      </v:textbox>
                    </v:rect>
                  </w:pict>
                </mc:Fallback>
              </mc:AlternateContent>
            </w:r>
          </w:p>
          <w:p w14:paraId="0714C8F5">
            <w:pPr>
              <w:bidi w:val="0"/>
            </w:pPr>
            <w:r>
              <w:rPr>
                <w:sz w:val="24"/>
              </w:rPr>
              <mc:AlternateContent>
                <mc:Choice Requires="wps">
                  <w:drawing>
                    <wp:anchor distT="0" distB="0" distL="114300" distR="114300" simplePos="0" relativeHeight="251675648" behindDoc="0" locked="0" layoutInCell="1" allowOverlap="1">
                      <wp:simplePos x="0" y="0"/>
                      <wp:positionH relativeFrom="column">
                        <wp:posOffset>236220</wp:posOffset>
                      </wp:positionH>
                      <wp:positionV relativeFrom="paragraph">
                        <wp:posOffset>36830</wp:posOffset>
                      </wp:positionV>
                      <wp:extent cx="808990" cy="471170"/>
                      <wp:effectExtent l="6350" t="6350" r="7620" b="10160"/>
                      <wp:wrapNone/>
                      <wp:docPr id="40" name="矩形 40"/>
                      <wp:cNvGraphicFramePr/>
                      <a:graphic xmlns:a="http://schemas.openxmlformats.org/drawingml/2006/main">
                        <a:graphicData uri="http://schemas.microsoft.com/office/word/2010/wordprocessingShape">
                          <wps:wsp>
                            <wps:cNvSpPr/>
                            <wps:spPr>
                              <a:xfrm>
                                <a:off x="0" y="0"/>
                                <a:ext cx="808990" cy="47117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E2E52E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浇注固化0.974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pt;margin-top:2.9pt;height:37.1pt;width:63.7pt;z-index:251675648;v-text-anchor:middle;mso-width-relative:page;mso-height-relative:page;" filled="f" stroked="t" coordsize="21600,21600" o:gfxdata="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jCHMLWAAAABwEAAA8AAAAAAAAAAQAgAAAAIgAAAGRycy9kb3ducmV2LnhtbFBLAQIUABQAAAAI&#10;AIdO4kAnYNXIYQIAAMAEAAAOAAAAAAAAAAEAIAAAACUBAABkcnMvZTJvRG9jLnhtbFBLBQYAAAAA&#10;BgAGAFkBAAD4BQAAAAA=&#10;">
                      <v:fill on="f" focussize="0,0"/>
                      <v:stroke weight="1pt" color="#000000 [3213]" joinstyle="round"/>
                      <v:imagedata o:title=""/>
                      <o:lock v:ext="edit" aspectratio="f"/>
                      <v:textbox>
                        <w:txbxContent>
                          <w:p w14:paraId="0E2E52E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浇注固化0.974</w:t>
                            </w:r>
                          </w:p>
                        </w:txbxContent>
                      </v:textbox>
                    </v:rect>
                  </w:pict>
                </mc:Fallback>
              </mc:AlternateContent>
            </w:r>
          </w:p>
          <w:p w14:paraId="08896168">
            <w:pPr>
              <w:bidi w:val="0"/>
            </w:pPr>
          </w:p>
          <w:p w14:paraId="6C16D8C8">
            <w:pPr>
              <w:bidi w:val="0"/>
            </w:pPr>
            <w:r>
              <w:rPr>
                <w:sz w:val="24"/>
              </w:rPr>
              <mc:AlternateContent>
                <mc:Choice Requires="wps">
                  <w:drawing>
                    <wp:anchor distT="0" distB="0" distL="114300" distR="114300" simplePos="0" relativeHeight="251680768" behindDoc="0" locked="0" layoutInCell="1" allowOverlap="1">
                      <wp:simplePos x="0" y="0"/>
                      <wp:positionH relativeFrom="column">
                        <wp:posOffset>1905000</wp:posOffset>
                      </wp:positionH>
                      <wp:positionV relativeFrom="paragraph">
                        <wp:posOffset>59690</wp:posOffset>
                      </wp:positionV>
                      <wp:extent cx="1007110" cy="517525"/>
                      <wp:effectExtent l="6350" t="6350" r="7620" b="9525"/>
                      <wp:wrapNone/>
                      <wp:docPr id="45" name="矩形 45"/>
                      <wp:cNvGraphicFramePr/>
                      <a:graphic xmlns:a="http://schemas.openxmlformats.org/drawingml/2006/main">
                        <a:graphicData uri="http://schemas.microsoft.com/office/word/2010/wordprocessingShape">
                          <wps:wsp>
                            <wps:cNvSpPr/>
                            <wps:spPr>
                              <a:xfrm>
                                <a:off x="0" y="0"/>
                                <a:ext cx="1007110" cy="517525"/>
                              </a:xfrm>
                              <a:prstGeom prst="rect">
                                <a:avLst/>
                              </a:prstGeom>
                              <a:noFill/>
                              <a:ln w="12700" cmpd="sng">
                                <a:solidFill>
                                  <a:schemeClr val="accent1">
                                    <a:shade val="50000"/>
                                  </a:schemeClr>
                                </a:solidFill>
                                <a:prstDash val="lgDash"/>
                              </a:ln>
                            </wps:spPr>
                            <wps:style>
                              <a:lnRef idx="2">
                                <a:schemeClr val="accent1">
                                  <a:lumMod val="75000"/>
                                </a:schemeClr>
                              </a:lnRef>
                              <a:fillRef idx="1">
                                <a:schemeClr val="accent1"/>
                              </a:fillRef>
                              <a:effectRef idx="0">
                                <a:srgbClr val="FFFFFF"/>
                              </a:effectRef>
                              <a:fontRef idx="minor">
                                <a:schemeClr val="lt1"/>
                              </a:fontRef>
                            </wps:style>
                            <wps:txbx>
                              <w:txbxContent>
                                <w:p w14:paraId="5FE2884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无组织排放0.019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pt;margin-top:4.7pt;height:40.75pt;width:79.3pt;z-index:251680768;v-text-anchor:middle;mso-width-relative:page;mso-height-relative:page;" filled="f" stroked="t" coordsize="21600,21600" o:gfxdata="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4X2ubXAAAACAEAAA8AAAAAAAAAAQAgAAAAIgAAAGRycy9k&#10;b3ducmV2LnhtbFBLAQIUABQAAAAIAIdO4kCa9YNLdQIAAOMEAAAOAAAAAAAAAAEAIAAAACYBAABk&#10;cnMvZTJvRG9jLnhtbFBLBQYAAAAABgAGAFkBAAANBgAAAAA=&#10;">
                      <v:fill on="f" focussize="0,0"/>
                      <v:stroke weight="1pt" color="#385D8A [3204]" joinstyle="round" dashstyle="longDash"/>
                      <v:imagedata o:title=""/>
                      <o:lock v:ext="edit" aspectratio="f"/>
                      <v:textbox>
                        <w:txbxContent>
                          <w:p w14:paraId="5FE2884D">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无组织排放0.019</w:t>
                            </w:r>
                          </w:p>
                        </w:txbxContent>
                      </v:textbox>
                    </v:rect>
                  </w:pict>
                </mc:Fallback>
              </mc:AlternateContent>
            </w:r>
          </w:p>
          <w:p w14:paraId="501BAA0E">
            <w:pPr>
              <w:bidi w:val="0"/>
            </w:pPr>
            <w:r>
              <w:rPr>
                <w:sz w:val="24"/>
              </w:rPr>
              <mc:AlternateContent>
                <mc:Choice Requires="wps">
                  <w:drawing>
                    <wp:anchor distT="0" distB="0" distL="114300" distR="114300" simplePos="0" relativeHeight="251686912" behindDoc="0" locked="0" layoutInCell="1" allowOverlap="1">
                      <wp:simplePos x="0" y="0"/>
                      <wp:positionH relativeFrom="column">
                        <wp:posOffset>1897380</wp:posOffset>
                      </wp:positionH>
                      <wp:positionV relativeFrom="paragraph">
                        <wp:posOffset>908685</wp:posOffset>
                      </wp:positionV>
                      <wp:extent cx="3175" cy="739140"/>
                      <wp:effectExtent l="419735" t="50800" r="3810" b="63500"/>
                      <wp:wrapNone/>
                      <wp:docPr id="51" name="肘形连接符 51"/>
                      <wp:cNvGraphicFramePr/>
                      <a:graphic xmlns:a="http://schemas.openxmlformats.org/drawingml/2006/main">
                        <a:graphicData uri="http://schemas.microsoft.com/office/word/2010/wordprocessingShape">
                          <wps:wsp>
                            <wps:cNvCnPr>
                              <a:stCxn id="46" idx="1"/>
                              <a:endCxn id="47" idx="1"/>
                            </wps:cNvCnPr>
                            <wps:spPr>
                              <a:xfrm rot="10800000" flipH="1" flipV="1">
                                <a:off x="0" y="0"/>
                                <a:ext cx="3175" cy="739140"/>
                              </a:xfrm>
                              <a:prstGeom prst="bentConnector3">
                                <a:avLst>
                                  <a:gd name="adj1" fmla="val -13020000"/>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x y;margin-left:149.4pt;margin-top:71.55pt;height:58.2pt;width:0.25pt;rotation:11796480f;z-index:251686912;mso-width-relative:page;mso-height-relative:page;" filled="f" stroked="t" coordsize="21600,21600" o:gfxdata="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D9lm9sAAAALAQAADwAAAAAAAAAB&#10;ACAAAAAiAAAAZHJzL2Rvd25yZXYueG1sUEsBAhQAFAAAAAgAh07iQFALUVJGAgAAcQQAAA4AAAAA&#10;AAAAAQAgAAAAKgEAAGRycy9lMm9Eb2MueG1sUEsFBgAAAAAGAAYAWQEAAOIFAAAAAA==&#10;" adj="-2812320">
                      <v:fill on="f" focussize="0,0"/>
                      <v:stroke weight="1pt" color="#000000 [3213]" joinstyle="round" startarrow="open" endarrow="open"/>
                      <v:imagedata o:title=""/>
                      <o:lock v:ext="edit" aspectratio="f"/>
                    </v:shape>
                  </w:pict>
                </mc:Fallback>
              </mc:AlternateContent>
            </w:r>
          </w:p>
          <w:p w14:paraId="0E328824">
            <w:pPr>
              <w:bidi w:val="0"/>
            </w:pPr>
          </w:p>
          <w:p w14:paraId="63DB3872">
            <w:pPr>
              <w:bidi w:val="0"/>
            </w:pPr>
          </w:p>
          <w:p w14:paraId="6E392FE7">
            <w:pPr>
              <w:bidi w:val="0"/>
            </w:pPr>
            <w:r>
              <w:rPr>
                <w:sz w:val="24"/>
              </w:rPr>
              <mc:AlternateContent>
                <mc:Choice Requires="wps">
                  <w:drawing>
                    <wp:anchor distT="0" distB="0" distL="114300" distR="114300" simplePos="0" relativeHeight="251681792" behindDoc="0" locked="0" layoutInCell="1" allowOverlap="1">
                      <wp:simplePos x="0" y="0"/>
                      <wp:positionH relativeFrom="column">
                        <wp:posOffset>1897380</wp:posOffset>
                      </wp:positionH>
                      <wp:positionV relativeFrom="paragraph">
                        <wp:posOffset>105410</wp:posOffset>
                      </wp:positionV>
                      <wp:extent cx="831215" cy="554990"/>
                      <wp:effectExtent l="6350" t="6350" r="15875" b="17780"/>
                      <wp:wrapNone/>
                      <wp:docPr id="46" name="矩形 46"/>
                      <wp:cNvGraphicFramePr/>
                      <a:graphic xmlns:a="http://schemas.openxmlformats.org/drawingml/2006/main">
                        <a:graphicData uri="http://schemas.microsoft.com/office/word/2010/wordprocessingShape">
                          <wps:wsp>
                            <wps:cNvSpPr/>
                            <wps:spPr>
                              <a:xfrm>
                                <a:off x="0" y="0"/>
                                <a:ext cx="831215" cy="554990"/>
                              </a:xfrm>
                              <a:prstGeom prst="rect">
                                <a:avLst/>
                              </a:prstGeom>
                              <a:noFill/>
                              <a:ln w="12700" cmpd="sng">
                                <a:solidFill>
                                  <a:schemeClr val="accent1">
                                    <a:shade val="50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57DA47B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负压收集0.00118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4pt;margin-top:8.3pt;height:43.7pt;width:65.45pt;z-index:251681792;v-text-anchor:middle;mso-width-relative:page;mso-height-relative:page;" filled="f" stroked="t" coordsize="21600,21600" o:gfxdata="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VHtlrYAAAACgEAAA8AAAAAAAAAAQAgAAAAIgAAAGRy&#10;cy9kb3ducmV2LnhtbFBLAQIUABQAAAAIAIdO4kBS6/mgdwIAAOEEAAAOAAAAAAAAAAEAIAAAACcB&#10;AABkcnMvZTJvRG9jLnhtbFBLBQYAAAAABgAGAFkBAAAQBgAAAAA=&#10;">
                      <v:fill on="f" focussize="0,0"/>
                      <v:stroke weight="1pt" color="#385D8A [3204]" joinstyle="round"/>
                      <v:imagedata o:title=""/>
                      <o:lock v:ext="edit" aspectratio="f"/>
                      <v:textbox>
                        <w:txbxContent>
                          <w:p w14:paraId="57DA47B7">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负压收集0.00118</w:t>
                            </w:r>
                          </w:p>
                        </w:txbxContent>
                      </v:textbox>
                    </v:rect>
                  </w:pict>
                </mc:Fallback>
              </mc:AlternateContent>
            </w:r>
          </w:p>
          <w:p w14:paraId="0AF1DDE0">
            <w:pPr>
              <w:bidi w:val="0"/>
            </w:pPr>
          </w:p>
          <w:p w14:paraId="64341E53">
            <w:pPr>
              <w:bidi w:val="0"/>
            </w:pPr>
            <w:r>
              <w:rPr>
                <w:sz w:val="24"/>
              </w:rPr>
              <mc:AlternateContent>
                <mc:Choice Requires="wps">
                  <w:drawing>
                    <wp:anchor distT="0" distB="0" distL="114300" distR="114300" simplePos="0" relativeHeight="251676672" behindDoc="0" locked="0" layoutInCell="1" allowOverlap="1">
                      <wp:simplePos x="0" y="0"/>
                      <wp:positionH relativeFrom="column">
                        <wp:posOffset>259080</wp:posOffset>
                      </wp:positionH>
                      <wp:positionV relativeFrom="paragraph">
                        <wp:posOffset>173990</wp:posOffset>
                      </wp:positionV>
                      <wp:extent cx="808990" cy="471170"/>
                      <wp:effectExtent l="6350" t="6350" r="7620" b="10160"/>
                      <wp:wrapNone/>
                      <wp:docPr id="41" name="矩形 41"/>
                      <wp:cNvGraphicFramePr/>
                      <a:graphic xmlns:a="http://schemas.openxmlformats.org/drawingml/2006/main">
                        <a:graphicData uri="http://schemas.microsoft.com/office/word/2010/wordprocessingShape">
                          <wps:wsp>
                            <wps:cNvSpPr/>
                            <wps:spPr>
                              <a:xfrm>
                                <a:off x="0" y="0"/>
                                <a:ext cx="808990" cy="47117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D20126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喷塑烘干0.0012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4pt;margin-top:13.7pt;height:37.1pt;width:63.7pt;z-index:251676672;v-text-anchor:middle;mso-width-relative:page;mso-height-relative:page;" filled="f" stroked="t" coordsize="21600,21600" o:gfxdata="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J6UGNcAAAAJAQAADwAAAAAAAAABACAAAAAiAAAAZHJzL2Rvd25yZXYueG1sUEsBAhQAFAAA&#10;AAgAh07iQAm6a8FiAgAAwAQAAA4AAAAAAAAAAQAgAAAAJgEAAGRycy9lMm9Eb2MueG1sUEsFBgAA&#10;AAAGAAYAWQEAAPoFAAAAAA==&#10;">
                      <v:fill on="f" focussize="0,0"/>
                      <v:stroke weight="1pt" color="#000000 [3213]" joinstyle="round"/>
                      <v:imagedata o:title=""/>
                      <o:lock v:ext="edit" aspectratio="f"/>
                      <v:textbox>
                        <w:txbxContent>
                          <w:p w14:paraId="0D20126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喷塑烘干0.0012</w:t>
                            </w:r>
                          </w:p>
                        </w:txbxContent>
                      </v:textbox>
                    </v:rect>
                  </w:pict>
                </mc:Fallback>
              </mc:AlternateContent>
            </w:r>
          </w:p>
          <w:p w14:paraId="2173A0A9">
            <w:pPr>
              <w:bidi w:val="0"/>
            </w:pPr>
          </w:p>
          <w:p w14:paraId="3AD51BFD">
            <w:pPr>
              <w:bidi w:val="0"/>
            </w:pPr>
            <w:r>
              <w:rPr>
                <w:sz w:val="24"/>
              </w:rPr>
              <mc:AlternateContent>
                <mc:Choice Requires="wps">
                  <w:drawing>
                    <wp:anchor distT="0" distB="0" distL="114300" distR="114300" simplePos="0" relativeHeight="251682816" behindDoc="0" locked="0" layoutInCell="1" allowOverlap="1">
                      <wp:simplePos x="0" y="0"/>
                      <wp:positionH relativeFrom="column">
                        <wp:posOffset>1897380</wp:posOffset>
                      </wp:positionH>
                      <wp:positionV relativeFrom="paragraph">
                        <wp:posOffset>158750</wp:posOffset>
                      </wp:positionV>
                      <wp:extent cx="1007110" cy="524510"/>
                      <wp:effectExtent l="6350" t="6350" r="7620" b="17780"/>
                      <wp:wrapNone/>
                      <wp:docPr id="47" name="矩形 47"/>
                      <wp:cNvGraphicFramePr/>
                      <a:graphic xmlns:a="http://schemas.openxmlformats.org/drawingml/2006/main">
                        <a:graphicData uri="http://schemas.microsoft.com/office/word/2010/wordprocessingShape">
                          <wps:wsp>
                            <wps:cNvSpPr/>
                            <wps:spPr>
                              <a:xfrm>
                                <a:off x="0" y="0"/>
                                <a:ext cx="1007110" cy="524510"/>
                              </a:xfrm>
                              <a:prstGeom prst="rect">
                                <a:avLst/>
                              </a:prstGeom>
                              <a:noFill/>
                              <a:ln w="12700" cmpd="sng">
                                <a:solidFill>
                                  <a:schemeClr val="accent1">
                                    <a:shade val="50000"/>
                                  </a:schemeClr>
                                </a:solidFill>
                                <a:prstDash val="lgDash"/>
                              </a:ln>
                            </wps:spPr>
                            <wps:style>
                              <a:lnRef idx="2">
                                <a:schemeClr val="accent1">
                                  <a:lumMod val="75000"/>
                                </a:schemeClr>
                              </a:lnRef>
                              <a:fillRef idx="1">
                                <a:schemeClr val="accent1"/>
                              </a:fillRef>
                              <a:effectRef idx="0">
                                <a:srgbClr val="FFFFFF"/>
                              </a:effectRef>
                              <a:fontRef idx="minor">
                                <a:schemeClr val="lt1"/>
                              </a:fontRef>
                            </wps:style>
                            <wps:txbx>
                              <w:txbxContent>
                                <w:p w14:paraId="21E5E25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无组织排放0.00002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4pt;margin-top:12.5pt;height:41.3pt;width:79.3pt;z-index:251682816;v-text-anchor:middle;mso-width-relative:page;mso-height-relative:page;" filled="f" stroked="t" coordsize="21600,21600" o:gfxdata="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Yoj93ZAAAACgEAAA8AAAAAAAAAAQAgAAAAIgAAAGRycy9k&#10;b3ducmV2LnhtbFBLAQIUABQAAAAIAIdO4kCiOzoXcwIAAOMEAAAOAAAAAAAAAAEAIAAAACgBAABk&#10;cnMvZTJvRG9jLnhtbFBLBQYAAAAABgAGAFkBAAANBgAAAAA=&#10;">
                      <v:fill on="f" focussize="0,0"/>
                      <v:stroke weight="1pt" color="#385D8A [3204]" joinstyle="round" dashstyle="longDash"/>
                      <v:imagedata o:title=""/>
                      <o:lock v:ext="edit" aspectratio="f"/>
                      <v:textbox>
                        <w:txbxContent>
                          <w:p w14:paraId="21E5E25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无组织排放0.00002</w:t>
                            </w:r>
                          </w:p>
                        </w:txbxContent>
                      </v:textbox>
                    </v:rect>
                  </w:pict>
                </mc:Fallback>
              </mc:AlternateContent>
            </w:r>
          </w:p>
          <w:p w14:paraId="2C8FED96">
            <w:pPr>
              <w:bidi w:val="0"/>
            </w:pPr>
          </w:p>
          <w:p w14:paraId="6A125FBD">
            <w:pPr>
              <w:bidi w:val="0"/>
            </w:pPr>
          </w:p>
          <w:p w14:paraId="47EF7EAE">
            <w:pPr>
              <w:bidi w:val="0"/>
            </w:pPr>
          </w:p>
          <w:p w14:paraId="49D931AF">
            <w:pPr>
              <w:bidi w:val="0"/>
            </w:pPr>
          </w:p>
          <w:p w14:paraId="5834514E">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lang w:val="en-US" w:eastAsia="zh-CN"/>
              </w:rPr>
            </w:pPr>
            <w:r>
              <w:rPr>
                <w:rFonts w:hint="eastAsia" w:ascii="Times New Roman" w:hAnsi="Times New Roman" w:eastAsia="宋体"/>
                <w:b/>
                <w:kern w:val="0"/>
                <w:sz w:val="21"/>
                <w:szCs w:val="21"/>
                <w:lang w:val="en-US" w:eastAsia="zh-CN"/>
              </w:rPr>
              <w:t>图2-4 本项目VOCs平衡图（t/a）</w:t>
            </w:r>
          </w:p>
          <w:p w14:paraId="5C7C9267">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eastAsia="宋体"/>
                <w:b/>
                <w:bCs/>
                <w:sz w:val="24"/>
                <w:lang w:eastAsia="zh-CN"/>
              </w:rPr>
            </w:pPr>
            <w:r>
              <w:rPr>
                <w:rFonts w:hint="eastAsia"/>
                <w:b/>
                <w:bCs/>
                <w:sz w:val="24"/>
                <w:lang w:val="en-US" w:eastAsia="zh-CN"/>
              </w:rPr>
              <w:t>7</w:t>
            </w:r>
            <w:r>
              <w:rPr>
                <w:b/>
                <w:bCs/>
                <w:sz w:val="24"/>
              </w:rPr>
              <w:t>、</w:t>
            </w:r>
            <w:r>
              <w:rPr>
                <w:rFonts w:hint="eastAsia"/>
                <w:b/>
                <w:sz w:val="24"/>
                <w:lang w:val="en-US" w:eastAsia="zh-CN"/>
              </w:rPr>
              <w:t>水平衡</w:t>
            </w:r>
          </w:p>
          <w:p w14:paraId="3B9C9A23">
            <w:pPr>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rPr>
              <w:t>本项目给水依托</w:t>
            </w:r>
            <w:r>
              <w:rPr>
                <w:rFonts w:hint="eastAsia" w:cs="Times New Roman"/>
                <w:color w:val="auto"/>
                <w:szCs w:val="22"/>
                <w:lang w:val="en-US" w:eastAsia="zh-CN"/>
              </w:rPr>
              <w:t>市政</w:t>
            </w:r>
            <w:r>
              <w:rPr>
                <w:rFonts w:hint="eastAsia" w:ascii="Times New Roman" w:hAnsi="Times New Roman" w:eastAsia="宋体" w:cs="Times New Roman"/>
                <w:color w:val="auto"/>
                <w:szCs w:val="22"/>
              </w:rPr>
              <w:t>供水。</w:t>
            </w:r>
            <w:r>
              <w:rPr>
                <w:rFonts w:hint="eastAsia" w:cs="Times New Roman"/>
                <w:color w:val="auto"/>
                <w:szCs w:val="22"/>
                <w:lang w:val="en-US" w:eastAsia="zh-CN"/>
              </w:rPr>
              <w:t>原项目无生产废水，</w:t>
            </w:r>
            <w:r>
              <w:rPr>
                <w:rFonts w:hint="eastAsia" w:cs="Times New Roman"/>
                <w:color w:val="auto"/>
                <w:szCs w:val="22"/>
                <w:highlight w:val="none"/>
                <w:shd w:val="clear"/>
                <w:lang w:val="en-US" w:eastAsia="zh-CN"/>
              </w:rPr>
              <w:t>生活污水由化粪池预处理后经市政管网</w:t>
            </w:r>
            <w:r>
              <w:rPr>
                <w:rFonts w:hint="eastAsia" w:eastAsiaTheme="minorEastAsia"/>
                <w:highlight w:val="none"/>
                <w:shd w:val="clear"/>
                <w:lang w:val="en-US" w:eastAsia="zh-CN"/>
              </w:rPr>
              <w:t>进</w:t>
            </w:r>
            <w:r>
              <w:rPr>
                <w:rFonts w:hint="eastAsia" w:hAnsi="宋体"/>
                <w:color w:val="auto"/>
                <w:sz w:val="24"/>
                <w:szCs w:val="24"/>
                <w:highlight w:val="none"/>
                <w:shd w:val="clear"/>
                <w:lang w:val="en-US" w:eastAsia="zh-CN"/>
              </w:rPr>
              <w:t>入淮北龙湖工业园污水处理厂</w:t>
            </w:r>
            <w:r>
              <w:rPr>
                <w:rFonts w:hint="eastAsia" w:eastAsiaTheme="minorEastAsia"/>
              </w:rPr>
              <w:t>深度处理</w:t>
            </w:r>
            <w:r>
              <w:rPr>
                <w:rFonts w:hint="eastAsia" w:eastAsiaTheme="minorEastAsia"/>
                <w:lang w:eastAsia="zh-CN"/>
              </w:rPr>
              <w:t>，</w:t>
            </w:r>
            <w:r>
              <w:rPr>
                <w:rFonts w:eastAsiaTheme="minorEastAsia"/>
              </w:rPr>
              <w:t>处理达</w:t>
            </w:r>
            <w:r>
              <w:rPr>
                <w:rFonts w:hint="eastAsia" w:eastAsiaTheme="minorEastAsia"/>
                <w:lang w:val="en-US" w:eastAsia="zh-CN"/>
              </w:rPr>
              <w:t>标后</w:t>
            </w:r>
            <w:r>
              <w:rPr>
                <w:rFonts w:eastAsiaTheme="minorEastAsia"/>
              </w:rPr>
              <w:t>排入</w:t>
            </w:r>
            <w:r>
              <w:rPr>
                <w:rFonts w:hint="eastAsia" w:eastAsiaTheme="minorEastAsia"/>
                <w:lang w:val="en-US" w:eastAsia="zh-CN"/>
              </w:rPr>
              <w:t>龙</w:t>
            </w:r>
            <w:r>
              <w:rPr>
                <w:rFonts w:eastAsiaTheme="minorEastAsia"/>
              </w:rPr>
              <w:t>河</w:t>
            </w:r>
            <w:r>
              <w:rPr>
                <w:rFonts w:hint="eastAsia" w:eastAsiaTheme="minorEastAsia"/>
                <w:lang w:eastAsia="zh-CN"/>
              </w:rPr>
              <w:t>，</w:t>
            </w:r>
            <w:r>
              <w:rPr>
                <w:rFonts w:hint="eastAsia" w:ascii="Times New Roman" w:hAnsi="Times New Roman" w:eastAsia="宋体" w:cs="Times New Roman"/>
                <w:color w:val="auto"/>
                <w:szCs w:val="22"/>
                <w:highlight w:val="none"/>
                <w:shd w:val="clear"/>
              </w:rPr>
              <w:t>雨水经厂区</w:t>
            </w:r>
            <w:r>
              <w:rPr>
                <w:rFonts w:hint="eastAsia" w:cs="Times New Roman"/>
                <w:color w:val="auto"/>
                <w:szCs w:val="22"/>
                <w:highlight w:val="none"/>
                <w:shd w:val="clear"/>
                <w:lang w:val="en-US" w:eastAsia="zh-CN"/>
              </w:rPr>
              <w:t>厂房屋顶明道渠</w:t>
            </w:r>
            <w:r>
              <w:rPr>
                <w:rFonts w:hint="eastAsia" w:ascii="Times New Roman" w:hAnsi="Times New Roman" w:eastAsia="宋体" w:cs="Times New Roman"/>
                <w:color w:val="auto"/>
                <w:szCs w:val="22"/>
                <w:highlight w:val="none"/>
                <w:shd w:val="clear"/>
              </w:rPr>
              <w:t>排入市政雨水管网</w:t>
            </w:r>
            <w:r>
              <w:rPr>
                <w:rFonts w:hint="eastAsia" w:cs="Times New Roman"/>
                <w:color w:val="auto"/>
                <w:szCs w:val="22"/>
                <w:lang w:val="en-US" w:eastAsia="zh-CN"/>
              </w:rPr>
              <w:t>。本次技改完成后，测试工序水箱中的水循环使用不外排</w:t>
            </w:r>
            <w:r>
              <w:rPr>
                <w:rFonts w:hint="eastAsia" w:ascii="Times New Roman" w:hAnsi="Times New Roman" w:eastAsia="宋体" w:cs="Times New Roman"/>
                <w:color w:val="auto"/>
                <w:szCs w:val="22"/>
                <w:highlight w:val="none"/>
                <w:shd w:val="clear"/>
              </w:rPr>
              <w:t>，雨水经厂区</w:t>
            </w:r>
            <w:r>
              <w:rPr>
                <w:rFonts w:hint="eastAsia" w:cs="Times New Roman"/>
                <w:color w:val="auto"/>
                <w:szCs w:val="22"/>
                <w:highlight w:val="none"/>
                <w:shd w:val="clear"/>
                <w:lang w:val="en-US" w:eastAsia="zh-CN"/>
              </w:rPr>
              <w:t>厂房屋顶明道渠</w:t>
            </w:r>
            <w:r>
              <w:rPr>
                <w:rFonts w:hint="eastAsia" w:ascii="Times New Roman" w:hAnsi="Times New Roman" w:eastAsia="宋体" w:cs="Times New Roman"/>
                <w:color w:val="auto"/>
                <w:szCs w:val="22"/>
                <w:highlight w:val="none"/>
                <w:shd w:val="clear"/>
              </w:rPr>
              <w:t>排入市政雨水管网；</w:t>
            </w:r>
            <w:r>
              <w:rPr>
                <w:rFonts w:hint="eastAsia" w:hAnsi="宋体"/>
                <w:color w:val="auto"/>
                <w:sz w:val="24"/>
                <w:szCs w:val="24"/>
                <w:highlight w:val="none"/>
                <w:shd w:val="clear"/>
              </w:rPr>
              <w:t>生活污水</w:t>
            </w:r>
            <w:r>
              <w:rPr>
                <w:rFonts w:hint="eastAsia" w:hAnsi="宋体"/>
                <w:color w:val="auto"/>
                <w:sz w:val="24"/>
                <w:szCs w:val="24"/>
                <w:highlight w:val="none"/>
                <w:shd w:val="clear"/>
                <w:lang w:val="en-US" w:eastAsia="zh-CN"/>
              </w:rPr>
              <w:t>由</w:t>
            </w:r>
            <w:r>
              <w:rPr>
                <w:rFonts w:hint="eastAsia" w:hAnsi="宋体"/>
                <w:color w:val="auto"/>
                <w:sz w:val="24"/>
                <w:szCs w:val="24"/>
                <w:highlight w:val="none"/>
                <w:shd w:val="clear"/>
              </w:rPr>
              <w:t>化粪池预处理</w:t>
            </w:r>
            <w:r>
              <w:rPr>
                <w:rFonts w:hint="eastAsia" w:hAnsi="宋体"/>
                <w:color w:val="auto"/>
                <w:sz w:val="24"/>
                <w:szCs w:val="24"/>
                <w:highlight w:val="none"/>
                <w:shd w:val="clear"/>
                <w:lang w:eastAsia="zh-CN"/>
              </w:rPr>
              <w:t>，</w:t>
            </w:r>
            <w:r>
              <w:rPr>
                <w:rFonts w:hint="eastAsia" w:hAnsi="宋体"/>
                <w:color w:val="auto"/>
                <w:sz w:val="24"/>
                <w:szCs w:val="24"/>
                <w:highlight w:val="none"/>
                <w:shd w:val="clear"/>
                <w:lang w:val="en-US" w:eastAsia="zh-CN"/>
              </w:rPr>
              <w:t>经市政</w:t>
            </w:r>
            <w:r>
              <w:rPr>
                <w:rFonts w:eastAsiaTheme="minorEastAsia"/>
                <w:highlight w:val="none"/>
                <w:shd w:val="clear"/>
              </w:rPr>
              <w:t>污</w:t>
            </w:r>
            <w:r>
              <w:rPr>
                <w:rFonts w:eastAsiaTheme="minorEastAsia"/>
              </w:rPr>
              <w:t>水管网</w:t>
            </w:r>
            <w:r>
              <w:rPr>
                <w:rFonts w:hint="eastAsia" w:eastAsiaTheme="minorEastAsia"/>
                <w:lang w:val="en-US" w:eastAsia="zh-CN"/>
              </w:rPr>
              <w:t>进</w:t>
            </w:r>
            <w:r>
              <w:rPr>
                <w:rFonts w:hint="eastAsia" w:hAnsi="宋体"/>
                <w:color w:val="auto"/>
                <w:sz w:val="24"/>
                <w:szCs w:val="24"/>
                <w:lang w:val="en-US" w:eastAsia="zh-CN"/>
              </w:rPr>
              <w:t>入淮北龙湖工业园污水处理厂进行</w:t>
            </w:r>
            <w:r>
              <w:rPr>
                <w:rFonts w:hint="eastAsia" w:eastAsiaTheme="minorEastAsia"/>
              </w:rPr>
              <w:t>深度处理</w:t>
            </w:r>
            <w:r>
              <w:rPr>
                <w:rFonts w:hint="eastAsia" w:eastAsiaTheme="minorEastAsia"/>
                <w:lang w:eastAsia="zh-CN"/>
              </w:rPr>
              <w:t>，</w:t>
            </w:r>
            <w:r>
              <w:rPr>
                <w:rFonts w:eastAsiaTheme="minorEastAsia"/>
              </w:rPr>
              <w:t>处理达</w:t>
            </w:r>
            <w:r>
              <w:rPr>
                <w:rFonts w:hint="eastAsia" w:eastAsiaTheme="minorEastAsia"/>
                <w:lang w:val="en-US" w:eastAsia="zh-CN"/>
              </w:rPr>
              <w:t>标后</w:t>
            </w:r>
            <w:r>
              <w:rPr>
                <w:rFonts w:eastAsiaTheme="minorEastAsia"/>
              </w:rPr>
              <w:t>排入</w:t>
            </w:r>
            <w:r>
              <w:rPr>
                <w:rFonts w:hint="eastAsia" w:eastAsiaTheme="minorEastAsia"/>
                <w:lang w:val="en-US" w:eastAsia="zh-CN"/>
              </w:rPr>
              <w:t>龙</w:t>
            </w:r>
            <w:r>
              <w:rPr>
                <w:rFonts w:eastAsiaTheme="minorEastAsia"/>
              </w:rPr>
              <w:t>河</w:t>
            </w:r>
            <w:r>
              <w:rPr>
                <w:rFonts w:hint="eastAsia" w:ascii="Times New Roman" w:hAnsi="Times New Roman" w:eastAsia="宋体" w:cs="Times New Roman"/>
                <w:color w:val="auto"/>
                <w:szCs w:val="22"/>
              </w:rPr>
              <w:t>。</w:t>
            </w:r>
          </w:p>
          <w:p w14:paraId="4A3B0A69">
            <w:pPr>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Cs w:val="24"/>
              </w:rPr>
            </w:pPr>
            <w:r>
              <w:rPr>
                <w:rFonts w:hint="eastAsia" w:ascii="Times New Roman" w:hAnsi="Times New Roman" w:eastAsia="宋体" w:cs="Times New Roman"/>
                <w:color w:val="auto"/>
                <w:szCs w:val="22"/>
              </w:rPr>
              <w:t>（1）</w:t>
            </w:r>
            <w:r>
              <w:rPr>
                <w:rFonts w:hint="eastAsia" w:ascii="Times New Roman" w:hAnsi="Times New Roman" w:eastAsia="宋体" w:cs="Times New Roman"/>
                <w:color w:val="auto"/>
                <w:szCs w:val="24"/>
              </w:rPr>
              <w:t>生活</w:t>
            </w:r>
            <w:r>
              <w:rPr>
                <w:rFonts w:hint="eastAsia" w:ascii="Times New Roman" w:hAnsi="Times New Roman" w:eastAsia="宋体" w:cs="Times New Roman"/>
                <w:color w:val="auto"/>
                <w:kern w:val="2"/>
                <w:sz w:val="24"/>
                <w:szCs w:val="24"/>
                <w:lang w:val="en-US" w:eastAsia="zh-CN" w:bidi="ar-SA"/>
              </w:rPr>
              <w:t>用水及排水</w:t>
            </w:r>
          </w:p>
          <w:p w14:paraId="752CDA02">
            <w:pPr>
              <w:autoSpaceDE w:val="0"/>
              <w:autoSpaceDN w:val="0"/>
              <w:adjustRightInd w:val="0"/>
              <w:spacing w:line="360" w:lineRule="auto"/>
              <w:ind w:firstLine="480" w:firstLineChars="200"/>
              <w:rPr>
                <w:rFonts w:hint="eastAsia"/>
                <w:kern w:val="0"/>
                <w:sz w:val="24"/>
                <w:lang w:val="en-US" w:eastAsia="zh-CN"/>
              </w:rPr>
            </w:pPr>
            <w:r>
              <w:rPr>
                <w:rFonts w:hint="eastAsia" w:ascii="Times New Roman" w:hAnsi="Times New Roman" w:eastAsia="宋体" w:cs="Times New Roman"/>
                <w:color w:val="auto"/>
                <w:szCs w:val="24"/>
                <w:lang w:eastAsia="zh-CN"/>
              </w:rPr>
              <w:t>项目</w:t>
            </w:r>
            <w:r>
              <w:rPr>
                <w:rFonts w:hint="eastAsia" w:cs="Times New Roman"/>
                <w:color w:val="auto"/>
                <w:szCs w:val="24"/>
                <w:lang w:val="en-US" w:eastAsia="zh-CN"/>
              </w:rPr>
              <w:t>原</w:t>
            </w:r>
            <w:r>
              <w:rPr>
                <w:rFonts w:hint="eastAsia" w:ascii="Times New Roman" w:hAnsi="Times New Roman" w:eastAsia="宋体" w:cs="Times New Roman"/>
                <w:color w:val="auto"/>
                <w:szCs w:val="24"/>
                <w:lang w:eastAsia="zh-CN"/>
              </w:rPr>
              <w:t>劳动人员</w:t>
            </w:r>
            <w:r>
              <w:rPr>
                <w:rFonts w:hint="eastAsia" w:cs="Times New Roman"/>
                <w:color w:val="auto"/>
                <w:szCs w:val="24"/>
                <w:lang w:val="en-US" w:eastAsia="zh-CN"/>
              </w:rPr>
              <w:t>4</w:t>
            </w:r>
            <w:r>
              <w:rPr>
                <w:rFonts w:hint="eastAsia" w:ascii="Times New Roman" w:hAnsi="Times New Roman" w:eastAsia="宋体" w:cs="Times New Roman"/>
                <w:color w:val="auto"/>
                <w:szCs w:val="24"/>
                <w:lang w:val="en-US" w:eastAsia="zh-CN"/>
              </w:rPr>
              <w:t>0</w:t>
            </w:r>
            <w:r>
              <w:rPr>
                <w:rFonts w:hint="eastAsia" w:ascii="Times New Roman" w:hAnsi="Times New Roman" w:eastAsia="宋体" w:cs="Times New Roman"/>
                <w:color w:val="auto"/>
                <w:szCs w:val="24"/>
                <w:lang w:eastAsia="zh-CN"/>
              </w:rPr>
              <w:t>人，</w:t>
            </w:r>
            <w:r>
              <w:rPr>
                <w:rFonts w:hint="eastAsia" w:cs="Times New Roman"/>
                <w:color w:val="auto"/>
                <w:szCs w:val="24"/>
                <w:lang w:val="en-US" w:eastAsia="zh-CN"/>
              </w:rPr>
              <w:t>技改后预计增加10人，共50人，</w:t>
            </w:r>
            <w:r>
              <w:rPr>
                <w:rFonts w:hint="eastAsia" w:ascii="Times New Roman" w:hAnsi="Times New Roman" w:eastAsia="宋体" w:cs="Times New Roman"/>
                <w:color w:val="auto"/>
                <w:szCs w:val="24"/>
                <w:lang w:eastAsia="zh-CN"/>
              </w:rPr>
              <w:t>年工作</w:t>
            </w:r>
            <w:r>
              <w:rPr>
                <w:rFonts w:hint="eastAsia" w:cs="Times New Roman"/>
                <w:color w:val="auto"/>
                <w:szCs w:val="24"/>
                <w:lang w:val="en-US" w:eastAsia="zh-CN"/>
              </w:rPr>
              <w:t>30</w:t>
            </w:r>
            <w:r>
              <w:rPr>
                <w:rFonts w:hint="eastAsia" w:ascii="Times New Roman" w:hAnsi="Times New Roman" w:eastAsia="宋体" w:cs="Times New Roman"/>
                <w:color w:val="auto"/>
                <w:szCs w:val="24"/>
                <w:lang w:eastAsia="zh-CN"/>
              </w:rPr>
              <w:t>0天，不提供食宿</w:t>
            </w:r>
            <w:r>
              <w:rPr>
                <w:rFonts w:hint="eastAsia" w:cs="Times New Roman"/>
                <w:color w:val="auto"/>
                <w:szCs w:val="24"/>
                <w:lang w:eastAsia="zh-CN"/>
              </w:rPr>
              <w:t>。</w:t>
            </w:r>
            <w:r>
              <w:rPr>
                <w:rFonts w:hint="eastAsia" w:ascii="Times New Roman" w:hAnsi="Times New Roman" w:eastAsia="宋体" w:cs="Times New Roman"/>
                <w:color w:val="auto"/>
                <w:szCs w:val="24"/>
                <w:lang w:eastAsia="zh-CN"/>
              </w:rPr>
              <w:t>生活用水标准参考《安徽省行业用水定额》（DB34/T 679—20</w:t>
            </w:r>
            <w:r>
              <w:rPr>
                <w:rFonts w:hint="eastAsia" w:cs="Times New Roman"/>
                <w:color w:val="auto"/>
                <w:szCs w:val="24"/>
                <w:lang w:val="en-US" w:eastAsia="zh-CN"/>
              </w:rPr>
              <w:t>25</w:t>
            </w:r>
            <w:r>
              <w:rPr>
                <w:rFonts w:hint="eastAsia" w:ascii="Times New Roman" w:hAnsi="Times New Roman" w:eastAsia="宋体" w:cs="Times New Roman"/>
                <w:color w:val="auto"/>
                <w:szCs w:val="24"/>
                <w:lang w:eastAsia="zh-CN"/>
              </w:rPr>
              <w:t>），以</w:t>
            </w:r>
            <w:r>
              <w:rPr>
                <w:rFonts w:hint="eastAsia" w:cs="Times New Roman"/>
                <w:color w:val="auto"/>
                <w:szCs w:val="24"/>
                <w:lang w:val="en-US" w:eastAsia="zh-CN"/>
              </w:rPr>
              <w:t>15m</w:t>
            </w:r>
            <w:r>
              <w:rPr>
                <w:rFonts w:hint="eastAsia" w:cs="Times New Roman"/>
                <w:color w:val="auto"/>
                <w:szCs w:val="24"/>
                <w:vertAlign w:val="superscript"/>
                <w:lang w:val="en-US" w:eastAsia="zh-CN"/>
              </w:rPr>
              <w:t>3</w:t>
            </w:r>
            <w:r>
              <w:rPr>
                <w:rFonts w:hint="eastAsia" w:ascii="Times New Roman" w:hAnsi="Times New Roman" w:eastAsia="宋体" w:cs="Times New Roman"/>
                <w:color w:val="auto"/>
                <w:szCs w:val="24"/>
                <w:lang w:eastAsia="zh-CN"/>
              </w:rPr>
              <w:t>/（人·</w:t>
            </w:r>
            <w:r>
              <w:rPr>
                <w:rFonts w:hint="eastAsia" w:cs="Times New Roman"/>
                <w:color w:val="auto"/>
                <w:szCs w:val="24"/>
                <w:lang w:val="en-US" w:eastAsia="zh-CN"/>
              </w:rPr>
              <w:t>a</w:t>
            </w:r>
            <w:r>
              <w:rPr>
                <w:rFonts w:hint="eastAsia" w:ascii="Times New Roman" w:hAnsi="Times New Roman" w:eastAsia="宋体" w:cs="Times New Roman"/>
                <w:color w:val="auto"/>
                <w:szCs w:val="24"/>
                <w:lang w:eastAsia="zh-CN"/>
              </w:rPr>
              <w:t>）计，则</w:t>
            </w:r>
            <w:r>
              <w:rPr>
                <w:rFonts w:hint="eastAsia" w:cs="Times New Roman"/>
                <w:color w:val="auto"/>
                <w:szCs w:val="24"/>
                <w:lang w:val="en-US" w:eastAsia="zh-CN"/>
              </w:rPr>
              <w:t>原</w:t>
            </w:r>
            <w:r>
              <w:rPr>
                <w:rFonts w:hint="eastAsia" w:ascii="Times New Roman" w:hAnsi="Times New Roman" w:eastAsia="宋体" w:cs="Times New Roman"/>
                <w:color w:val="auto"/>
                <w:szCs w:val="24"/>
                <w:lang w:eastAsia="zh-CN"/>
              </w:rPr>
              <w:t>项目生活用水量为</w:t>
            </w:r>
            <w:r>
              <w:rPr>
                <w:rFonts w:hint="eastAsia" w:cs="Times New Roman"/>
                <w:color w:val="auto"/>
                <w:szCs w:val="24"/>
                <w:lang w:val="en-US" w:eastAsia="zh-CN"/>
              </w:rPr>
              <w:t>6</w:t>
            </w:r>
            <w:r>
              <w:rPr>
                <w:rFonts w:hint="eastAsia" w:ascii="Times New Roman" w:hAnsi="Times New Roman" w:eastAsia="宋体" w:cs="Times New Roman"/>
                <w:color w:val="auto"/>
                <w:szCs w:val="24"/>
                <w:lang w:val="en-US" w:eastAsia="zh-CN"/>
              </w:rPr>
              <w:t>0</w:t>
            </w:r>
            <w:r>
              <w:rPr>
                <w:rFonts w:hint="eastAsia" w:cs="Times New Roman"/>
                <w:color w:val="auto"/>
                <w:szCs w:val="24"/>
                <w:lang w:val="en-US" w:eastAsia="zh-CN"/>
              </w:rPr>
              <w:t>0</w:t>
            </w:r>
            <w:r>
              <w:rPr>
                <w:rFonts w:hint="eastAsia" w:ascii="Times New Roman" w:hAnsi="Times New Roman" w:eastAsia="宋体" w:cs="Times New Roman"/>
                <w:color w:val="auto"/>
                <w:szCs w:val="24"/>
                <w:lang w:eastAsia="zh-CN"/>
              </w:rPr>
              <w:t>m</w:t>
            </w:r>
            <w:r>
              <w:rPr>
                <w:rFonts w:hint="eastAsia" w:ascii="Times New Roman" w:hAnsi="Times New Roman" w:eastAsia="宋体" w:cs="Times New Roman"/>
                <w:color w:val="auto"/>
                <w:szCs w:val="24"/>
                <w:vertAlign w:val="superscript"/>
                <w:lang w:eastAsia="zh-CN"/>
              </w:rPr>
              <w:t>3</w:t>
            </w:r>
            <w:r>
              <w:rPr>
                <w:rFonts w:hint="eastAsia" w:ascii="Times New Roman" w:hAnsi="Times New Roman" w:eastAsia="宋体" w:cs="Times New Roman"/>
                <w:color w:val="auto"/>
                <w:szCs w:val="24"/>
                <w:lang w:eastAsia="zh-CN"/>
              </w:rPr>
              <w:t>/a，废水产生系数取0.8，则生活污水产生量为</w:t>
            </w:r>
            <w:r>
              <w:rPr>
                <w:rFonts w:hint="eastAsia" w:cs="Times New Roman"/>
                <w:color w:val="auto"/>
                <w:szCs w:val="24"/>
                <w:lang w:val="en-US" w:eastAsia="zh-CN"/>
              </w:rPr>
              <w:t>480</w:t>
            </w:r>
            <w:r>
              <w:rPr>
                <w:rFonts w:hint="eastAsia" w:ascii="Times New Roman" w:hAnsi="Times New Roman" w:eastAsia="宋体" w:cs="Times New Roman"/>
                <w:color w:val="auto"/>
                <w:szCs w:val="24"/>
                <w:lang w:eastAsia="zh-CN"/>
              </w:rPr>
              <w:t>m</w:t>
            </w:r>
            <w:r>
              <w:rPr>
                <w:rFonts w:hint="eastAsia" w:ascii="Times New Roman" w:hAnsi="Times New Roman" w:eastAsia="宋体" w:cs="Times New Roman"/>
                <w:color w:val="auto"/>
                <w:szCs w:val="24"/>
                <w:vertAlign w:val="superscript"/>
                <w:lang w:eastAsia="zh-CN"/>
              </w:rPr>
              <w:t>3</w:t>
            </w:r>
            <w:r>
              <w:rPr>
                <w:rFonts w:hint="eastAsia" w:ascii="Times New Roman" w:hAnsi="Times New Roman" w:eastAsia="宋体" w:cs="Times New Roman"/>
                <w:color w:val="auto"/>
                <w:szCs w:val="24"/>
                <w:lang w:eastAsia="zh-CN"/>
              </w:rPr>
              <w:t>/a</w:t>
            </w:r>
            <w:r>
              <w:rPr>
                <w:rFonts w:hint="eastAsia" w:cs="Times New Roman"/>
                <w:color w:val="auto"/>
                <w:szCs w:val="24"/>
                <w:lang w:eastAsia="zh-CN"/>
              </w:rPr>
              <w:t>；</w:t>
            </w:r>
            <w:r>
              <w:rPr>
                <w:rFonts w:hint="eastAsia" w:cs="Times New Roman"/>
                <w:color w:val="auto"/>
                <w:szCs w:val="24"/>
                <w:lang w:val="en-US" w:eastAsia="zh-CN"/>
              </w:rPr>
              <w:t>技改完成后，</w:t>
            </w:r>
            <w:r>
              <w:rPr>
                <w:rFonts w:hint="eastAsia" w:ascii="Times New Roman" w:hAnsi="Times New Roman" w:eastAsia="宋体" w:cs="Times New Roman"/>
                <w:color w:val="auto"/>
                <w:szCs w:val="24"/>
                <w:lang w:eastAsia="zh-CN"/>
              </w:rPr>
              <w:t>项目</w:t>
            </w:r>
            <w:r>
              <w:rPr>
                <w:rFonts w:hint="eastAsia" w:cs="Times New Roman"/>
                <w:color w:val="auto"/>
                <w:szCs w:val="24"/>
                <w:lang w:val="en-US" w:eastAsia="zh-CN"/>
              </w:rPr>
              <w:t>整体</w:t>
            </w:r>
            <w:r>
              <w:rPr>
                <w:rFonts w:hint="eastAsia" w:ascii="Times New Roman" w:hAnsi="Times New Roman" w:eastAsia="宋体" w:cs="Times New Roman"/>
                <w:color w:val="auto"/>
                <w:szCs w:val="24"/>
                <w:lang w:eastAsia="zh-CN"/>
              </w:rPr>
              <w:t>生活用水量为</w:t>
            </w:r>
            <w:r>
              <w:rPr>
                <w:rFonts w:hint="eastAsia" w:cs="Times New Roman"/>
                <w:color w:val="auto"/>
                <w:szCs w:val="24"/>
                <w:lang w:val="en-US" w:eastAsia="zh-CN"/>
              </w:rPr>
              <w:t>750</w:t>
            </w:r>
            <w:r>
              <w:rPr>
                <w:rFonts w:hint="eastAsia" w:ascii="Times New Roman" w:hAnsi="Times New Roman" w:eastAsia="宋体" w:cs="Times New Roman"/>
                <w:color w:val="auto"/>
                <w:szCs w:val="24"/>
                <w:lang w:eastAsia="zh-CN"/>
              </w:rPr>
              <w:t>m</w:t>
            </w:r>
            <w:r>
              <w:rPr>
                <w:rFonts w:hint="eastAsia" w:ascii="Times New Roman" w:hAnsi="Times New Roman" w:eastAsia="宋体" w:cs="Times New Roman"/>
                <w:color w:val="auto"/>
                <w:szCs w:val="24"/>
                <w:vertAlign w:val="superscript"/>
                <w:lang w:eastAsia="zh-CN"/>
              </w:rPr>
              <w:t>3</w:t>
            </w:r>
            <w:r>
              <w:rPr>
                <w:rFonts w:hint="eastAsia" w:ascii="Times New Roman" w:hAnsi="Times New Roman" w:eastAsia="宋体" w:cs="Times New Roman"/>
                <w:color w:val="auto"/>
                <w:szCs w:val="24"/>
                <w:lang w:eastAsia="zh-CN"/>
              </w:rPr>
              <w:t>/a</w:t>
            </w:r>
            <w:r>
              <w:rPr>
                <w:rFonts w:hint="eastAsia" w:cs="Times New Roman"/>
                <w:color w:val="auto"/>
                <w:szCs w:val="24"/>
                <w:lang w:eastAsia="zh-CN"/>
              </w:rPr>
              <w:t>，</w:t>
            </w:r>
            <w:r>
              <w:rPr>
                <w:rFonts w:hint="eastAsia" w:ascii="Times New Roman" w:hAnsi="Times New Roman" w:eastAsia="宋体" w:cs="Times New Roman"/>
                <w:color w:val="auto"/>
                <w:szCs w:val="24"/>
                <w:lang w:eastAsia="zh-CN"/>
              </w:rPr>
              <w:t>废水产生系数取0.8，则生活污水产生量为</w:t>
            </w:r>
            <w:r>
              <w:rPr>
                <w:rFonts w:hint="eastAsia" w:cs="Times New Roman"/>
                <w:color w:val="auto"/>
                <w:szCs w:val="24"/>
                <w:lang w:val="en-US" w:eastAsia="zh-CN"/>
              </w:rPr>
              <w:t>600</w:t>
            </w:r>
            <w:r>
              <w:rPr>
                <w:rFonts w:hint="eastAsia" w:ascii="Times New Roman" w:hAnsi="Times New Roman" w:eastAsia="宋体" w:cs="Times New Roman"/>
                <w:color w:val="auto"/>
                <w:szCs w:val="24"/>
                <w:lang w:eastAsia="zh-CN"/>
              </w:rPr>
              <w:t>m</w:t>
            </w:r>
            <w:r>
              <w:rPr>
                <w:rFonts w:hint="eastAsia" w:ascii="Times New Roman" w:hAnsi="Times New Roman" w:eastAsia="宋体" w:cs="Times New Roman"/>
                <w:color w:val="auto"/>
                <w:szCs w:val="24"/>
                <w:vertAlign w:val="superscript"/>
                <w:lang w:eastAsia="zh-CN"/>
              </w:rPr>
              <w:t>3</w:t>
            </w:r>
            <w:r>
              <w:rPr>
                <w:rFonts w:hint="eastAsia" w:ascii="Times New Roman" w:hAnsi="Times New Roman" w:eastAsia="宋体" w:cs="Times New Roman"/>
                <w:color w:val="auto"/>
                <w:szCs w:val="24"/>
                <w:lang w:eastAsia="zh-CN"/>
              </w:rPr>
              <w:t>/a</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生活污水水质简单，主要污染物为pH、COD、BOD</w:t>
            </w:r>
            <w:r>
              <w:rPr>
                <w:rFonts w:hint="eastAsia" w:ascii="Times New Roman" w:hAnsi="Times New Roman" w:eastAsia="宋体" w:cs="Times New Roman"/>
                <w:color w:val="auto"/>
                <w:szCs w:val="24"/>
                <w:vertAlign w:val="subscript"/>
              </w:rPr>
              <w:t>5</w:t>
            </w:r>
            <w:r>
              <w:rPr>
                <w:rFonts w:hint="eastAsia" w:ascii="Times New Roman" w:hAnsi="Times New Roman" w:eastAsia="宋体" w:cs="Times New Roman"/>
                <w:color w:val="auto"/>
                <w:szCs w:val="24"/>
              </w:rPr>
              <w:t>、SS、氨氮等，生活废水经化粪池预处理后排入污水管网，接管至</w:t>
            </w:r>
            <w:r>
              <w:rPr>
                <w:rFonts w:hint="eastAsia" w:ascii="Times New Roman" w:hAnsi="Times New Roman" w:eastAsia="宋体" w:cs="Times New Roman"/>
                <w:color w:val="auto"/>
                <w:szCs w:val="24"/>
                <w:lang w:eastAsia="zh-CN"/>
              </w:rPr>
              <w:t>淮北</w:t>
            </w:r>
            <w:r>
              <w:rPr>
                <w:rFonts w:hint="eastAsia" w:hAnsi="宋体"/>
                <w:color w:val="auto"/>
                <w:sz w:val="24"/>
                <w:szCs w:val="24"/>
                <w:lang w:val="en-US" w:eastAsia="zh-CN"/>
              </w:rPr>
              <w:t>龙湖工业园</w:t>
            </w:r>
            <w:r>
              <w:rPr>
                <w:rFonts w:hint="eastAsia" w:ascii="Times New Roman" w:hAnsi="Times New Roman" w:eastAsia="宋体" w:cs="Times New Roman"/>
                <w:color w:val="auto"/>
                <w:szCs w:val="24"/>
                <w:lang w:eastAsia="zh-CN"/>
              </w:rPr>
              <w:t>污水处理厂</w:t>
            </w:r>
            <w:r>
              <w:rPr>
                <w:rFonts w:hint="eastAsia" w:ascii="Times New Roman" w:hAnsi="Times New Roman" w:eastAsia="宋体" w:cs="Times New Roman"/>
                <w:color w:val="auto"/>
                <w:szCs w:val="24"/>
              </w:rPr>
              <w:t>处理</w:t>
            </w:r>
            <w:r>
              <w:rPr>
                <w:rFonts w:hint="eastAsia"/>
                <w:kern w:val="0"/>
                <w:sz w:val="24"/>
                <w:lang w:val="en-US" w:eastAsia="zh-CN"/>
              </w:rPr>
              <w:t>。</w:t>
            </w:r>
          </w:p>
          <w:p w14:paraId="1949BDB4">
            <w:pPr>
              <w:numPr>
                <w:ilvl w:val="0"/>
                <w:numId w:val="6"/>
              </w:numPr>
              <w:autoSpaceDE w:val="0"/>
              <w:autoSpaceDN w:val="0"/>
              <w:adjustRightInd w:val="0"/>
              <w:spacing w:line="360" w:lineRule="auto"/>
              <w:ind w:firstLine="480" w:firstLineChars="200"/>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水箱用水</w:t>
            </w:r>
          </w:p>
          <w:p w14:paraId="30F352E3">
            <w:pPr>
              <w:pStyle w:val="23"/>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喷砂后的材料</w:t>
            </w:r>
            <w:r>
              <w:rPr>
                <w:rFonts w:hint="eastAsia" w:ascii="Times New Roman" w:hAnsi="Times New Roman" w:eastAsia="宋体" w:cs="Times New Roman"/>
                <w:color w:val="auto"/>
                <w:kern w:val="2"/>
                <w:sz w:val="24"/>
                <w:szCs w:val="24"/>
                <w:lang w:val="en-US" w:eastAsia="zh-CN" w:bidi="ar-SA"/>
              </w:rPr>
              <w:t>部件</w:t>
            </w:r>
            <w:r>
              <w:rPr>
                <w:rFonts w:hint="default" w:ascii="Times New Roman" w:hAnsi="Times New Roman" w:eastAsia="宋体" w:cs="Times New Roman"/>
                <w:color w:val="auto"/>
                <w:kern w:val="2"/>
                <w:sz w:val="24"/>
                <w:szCs w:val="24"/>
                <w:lang w:val="en-US" w:eastAsia="zh-CN" w:bidi="ar-SA"/>
              </w:rPr>
              <w:t>需放进水箱测试是否漏水</w:t>
            </w:r>
            <w:r>
              <w:rPr>
                <w:rFonts w:hint="eastAsia" w:ascii="Times New Roman" w:hAnsi="Times New Roman" w:eastAsia="宋体" w:cs="Times New Roman"/>
                <w:color w:val="auto"/>
                <w:kern w:val="2"/>
                <w:sz w:val="24"/>
                <w:szCs w:val="24"/>
                <w:lang w:val="en-US" w:eastAsia="zh-CN" w:bidi="ar-SA"/>
              </w:rPr>
              <w:t>，根据企业提供资料，</w:t>
            </w:r>
            <w:r>
              <w:rPr>
                <w:rFonts w:hint="default" w:ascii="Times New Roman" w:hAnsi="Times New Roman" w:eastAsia="宋体" w:cs="Times New Roman"/>
                <w:color w:val="auto"/>
                <w:kern w:val="2"/>
                <w:sz w:val="24"/>
                <w:szCs w:val="24"/>
                <w:lang w:val="en-US" w:eastAsia="zh-CN" w:bidi="ar-SA"/>
              </w:rPr>
              <w:t>此过程水箱内需保持约1.5吨水量，水循环使用不外排。若水量不够则不定期补充新鲜水</w:t>
            </w:r>
            <w:r>
              <w:rPr>
                <w:rFonts w:hint="eastAsia" w:ascii="Times New Roman" w:hAnsi="Times New Roman" w:eastAsia="宋体" w:cs="Times New Roman"/>
                <w:color w:val="auto"/>
                <w:kern w:val="2"/>
                <w:sz w:val="24"/>
                <w:szCs w:val="24"/>
                <w:lang w:val="en-US" w:eastAsia="zh-CN" w:bidi="ar-SA"/>
              </w:rPr>
              <w:t>，水箱用水量约2t/a。</w:t>
            </w:r>
          </w:p>
          <w:p w14:paraId="3055C4F4">
            <w:pPr>
              <w:autoSpaceDE w:val="0"/>
              <w:autoSpaceDN w:val="0"/>
              <w:adjustRightInd w:val="0"/>
              <w:spacing w:line="360" w:lineRule="auto"/>
              <w:ind w:firstLine="480" w:firstLineChars="200"/>
              <w:rPr>
                <w:rFonts w:hint="default"/>
                <w:bCs/>
                <w:sz w:val="24"/>
                <w:szCs w:val="24"/>
                <w:lang w:val="en-US" w:eastAsia="zh-CN"/>
              </w:rPr>
            </w:pPr>
            <w:r>
              <w:rPr>
                <w:rFonts w:hint="eastAsia"/>
                <w:kern w:val="0"/>
                <w:sz w:val="24"/>
                <w:lang w:val="en-US" w:eastAsia="zh-CN"/>
              </w:rPr>
              <w:t>具体情况见下图</w:t>
            </w:r>
            <w:r>
              <w:rPr>
                <w:rFonts w:hint="eastAsia"/>
                <w:bCs/>
                <w:sz w:val="24"/>
                <w:szCs w:val="24"/>
                <w:lang w:val="en-US" w:eastAsia="zh-CN"/>
              </w:rPr>
              <w:t>。</w:t>
            </w:r>
          </w:p>
          <w:p w14:paraId="7CAAA547">
            <w:pPr>
              <w:keepNext w:val="0"/>
              <w:keepLines w:val="0"/>
              <w:widowControl/>
              <w:suppressLineNumbers w:val="0"/>
              <w:jc w:val="left"/>
              <w:rPr>
                <w:rFonts w:hint="eastAsia"/>
                <w:bCs/>
                <w:sz w:val="24"/>
                <w:szCs w:val="24"/>
                <w:lang w:val="en-US" w:eastAsia="zh-CN"/>
              </w:rPr>
            </w:pPr>
            <w:r>
              <w:rPr>
                <w:rFonts w:ascii="宋体" w:hAnsi="宋体" w:eastAsia="宋体" w:cs="宋体"/>
                <w:kern w:val="0"/>
                <w:sz w:val="24"/>
                <w:szCs w:val="24"/>
                <w:lang w:val="en-US" w:eastAsia="zh-CN" w:bidi="ar"/>
              </w:rPr>
              <w:drawing>
                <wp:inline distT="0" distB="0" distL="114300" distR="114300">
                  <wp:extent cx="4867275" cy="952500"/>
                  <wp:effectExtent l="0" t="0" r="9525" b="0"/>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18"/>
                          <a:stretch>
                            <a:fillRect/>
                          </a:stretch>
                        </pic:blipFill>
                        <pic:spPr>
                          <a:xfrm>
                            <a:off x="0" y="0"/>
                            <a:ext cx="4867275" cy="952500"/>
                          </a:xfrm>
                          <a:prstGeom prst="rect">
                            <a:avLst/>
                          </a:prstGeom>
                          <a:noFill/>
                          <a:ln w="9525">
                            <a:noFill/>
                          </a:ln>
                        </pic:spPr>
                      </pic:pic>
                    </a:graphicData>
                  </a:graphic>
                </wp:inline>
              </w:drawing>
            </w:r>
          </w:p>
          <w:p w14:paraId="11A9C83D">
            <w:pPr>
              <w:keepNext w:val="0"/>
              <w:keepLines w:val="0"/>
              <w:pageBreakBefore w:val="0"/>
              <w:widowControl/>
              <w:kinsoku/>
              <w:wordWrap/>
              <w:overflowPunct/>
              <w:topLinePunct w:val="0"/>
              <w:autoSpaceDE/>
              <w:autoSpaceDN/>
              <w:bidi w:val="0"/>
              <w:adjustRightInd/>
              <w:snapToGrid/>
              <w:spacing w:after="157" w:afterLines="50"/>
              <w:jc w:val="center"/>
              <w:textAlignment w:val="auto"/>
              <w:rPr>
                <w:rFonts w:hint="eastAsia" w:ascii="Times New Roman" w:hAnsi="Times New Roman" w:eastAsia="宋体"/>
                <w:b/>
                <w:kern w:val="0"/>
                <w:sz w:val="22"/>
                <w:szCs w:val="22"/>
                <w:highlight w:val="none"/>
                <w:lang w:val="en-US" w:eastAsia="zh-CN"/>
              </w:rPr>
            </w:pPr>
            <w:r>
              <w:rPr>
                <w:rFonts w:hint="eastAsia" w:ascii="Times New Roman" w:hAnsi="Times New Roman" w:eastAsia="宋体"/>
                <w:b/>
                <w:kern w:val="0"/>
                <w:sz w:val="22"/>
                <w:szCs w:val="22"/>
                <w:highlight w:val="none"/>
                <w:lang w:val="en-US" w:eastAsia="zh-CN"/>
              </w:rPr>
              <w:t>图2-</w:t>
            </w:r>
            <w:r>
              <w:rPr>
                <w:rFonts w:hint="eastAsia"/>
                <w:b/>
                <w:kern w:val="0"/>
                <w:sz w:val="22"/>
                <w:szCs w:val="22"/>
                <w:highlight w:val="none"/>
                <w:lang w:val="en-US" w:eastAsia="zh-CN"/>
              </w:rPr>
              <w:t>5</w:t>
            </w:r>
            <w:r>
              <w:rPr>
                <w:rFonts w:hint="eastAsia" w:ascii="Times New Roman" w:hAnsi="Times New Roman" w:eastAsia="宋体"/>
                <w:b/>
                <w:kern w:val="0"/>
                <w:sz w:val="22"/>
                <w:szCs w:val="22"/>
                <w:highlight w:val="none"/>
                <w:lang w:val="en-US" w:eastAsia="zh-CN"/>
              </w:rPr>
              <w:t xml:space="preserve"> </w:t>
            </w:r>
            <w:r>
              <w:rPr>
                <w:rFonts w:hint="eastAsia"/>
                <w:b/>
                <w:kern w:val="0"/>
                <w:sz w:val="22"/>
                <w:szCs w:val="22"/>
                <w:highlight w:val="none"/>
                <w:lang w:val="en-US" w:eastAsia="zh-CN"/>
              </w:rPr>
              <w:t>技改前项目</w:t>
            </w:r>
            <w:r>
              <w:rPr>
                <w:rFonts w:hint="eastAsia" w:ascii="Times New Roman" w:hAnsi="Times New Roman" w:eastAsia="宋体"/>
                <w:b/>
                <w:kern w:val="0"/>
                <w:sz w:val="22"/>
                <w:szCs w:val="22"/>
                <w:highlight w:val="none"/>
                <w:lang w:val="en-US" w:eastAsia="zh-CN"/>
              </w:rPr>
              <w:t>水平衡图</w:t>
            </w:r>
          </w:p>
          <w:p w14:paraId="15A03775">
            <w:pPr>
              <w:bidi w:val="0"/>
              <w:rPr>
                <w:rFonts w:hint="eastAsia"/>
                <w:lang w:val="en-US" w:eastAsia="zh-CN"/>
              </w:rPr>
            </w:pPr>
          </w:p>
          <w:p w14:paraId="08882279">
            <w:pPr>
              <w:bidi w:val="0"/>
              <w:rPr>
                <w:rFonts w:hint="eastAsia"/>
                <w:lang w:val="en-US" w:eastAsia="zh-CN"/>
              </w:rPr>
            </w:pPr>
          </w:p>
          <w:p w14:paraId="36E8885B">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5163820" cy="2228850"/>
                  <wp:effectExtent l="0" t="0" r="0" b="0"/>
                  <wp:docPr id="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6"/>
                          <pic:cNvPicPr>
                            <a:picLocks noChangeAspect="1"/>
                          </pic:cNvPicPr>
                        </pic:nvPicPr>
                        <pic:blipFill>
                          <a:blip r:embed="rId19"/>
                          <a:srcRect l="4217"/>
                          <a:stretch>
                            <a:fillRect/>
                          </a:stretch>
                        </pic:blipFill>
                        <pic:spPr>
                          <a:xfrm>
                            <a:off x="0" y="0"/>
                            <a:ext cx="5163820" cy="2228850"/>
                          </a:xfrm>
                          <a:prstGeom prst="rect">
                            <a:avLst/>
                          </a:prstGeom>
                          <a:noFill/>
                          <a:ln w="9525">
                            <a:noFill/>
                          </a:ln>
                        </pic:spPr>
                      </pic:pic>
                    </a:graphicData>
                  </a:graphic>
                </wp:inline>
              </w:drawing>
            </w:r>
          </w:p>
          <w:p w14:paraId="343EA0D8">
            <w:pPr>
              <w:pStyle w:val="2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lang w:val="en-US" w:eastAsia="zh-CN"/>
              </w:rPr>
            </w:pPr>
            <w:r>
              <w:rPr>
                <w:rFonts w:hint="default" w:ascii="Times New Roman" w:hAnsi="Times New Roman" w:eastAsia="宋体" w:cs="Times New Roman"/>
                <w:b/>
                <w:kern w:val="0"/>
                <w:sz w:val="22"/>
                <w:szCs w:val="22"/>
                <w:lang w:val="en-US" w:eastAsia="zh-CN"/>
              </w:rPr>
              <w:t>图2-</w:t>
            </w:r>
            <w:r>
              <w:rPr>
                <w:rFonts w:hint="eastAsia" w:ascii="Times New Roman" w:hAnsi="Times New Roman" w:cs="Times New Roman"/>
                <w:b/>
                <w:kern w:val="0"/>
                <w:sz w:val="22"/>
                <w:szCs w:val="22"/>
                <w:lang w:val="en-US" w:eastAsia="zh-CN"/>
              </w:rPr>
              <w:t>6</w:t>
            </w:r>
            <w:r>
              <w:rPr>
                <w:rFonts w:hint="default" w:ascii="Times New Roman" w:hAnsi="Times New Roman" w:eastAsia="宋体" w:cs="Times New Roman"/>
                <w:b/>
                <w:kern w:val="0"/>
                <w:sz w:val="22"/>
                <w:szCs w:val="22"/>
                <w:lang w:val="en-US" w:eastAsia="zh-CN"/>
              </w:rPr>
              <w:t xml:space="preserve"> </w:t>
            </w:r>
            <w:r>
              <w:rPr>
                <w:rFonts w:hint="eastAsia" w:ascii="Times New Roman" w:hAnsi="Times New Roman" w:cs="Times New Roman"/>
                <w:b/>
                <w:kern w:val="0"/>
                <w:sz w:val="22"/>
                <w:szCs w:val="22"/>
                <w:lang w:val="en-US" w:eastAsia="zh-CN"/>
              </w:rPr>
              <w:t>技改</w:t>
            </w:r>
            <w:r>
              <w:rPr>
                <w:rFonts w:hint="eastAsia"/>
                <w:b/>
                <w:kern w:val="0"/>
                <w:sz w:val="22"/>
                <w:szCs w:val="22"/>
                <w:lang w:val="en-US" w:eastAsia="zh-CN"/>
              </w:rPr>
              <w:t>后项目</w:t>
            </w:r>
            <w:r>
              <w:rPr>
                <w:rFonts w:hint="eastAsia" w:ascii="Times New Roman" w:hAnsi="Times New Roman" w:eastAsia="宋体"/>
                <w:b/>
                <w:kern w:val="0"/>
                <w:sz w:val="22"/>
                <w:szCs w:val="22"/>
                <w:lang w:val="en-US" w:eastAsia="zh-CN"/>
              </w:rPr>
              <w:t>水平衡图</w:t>
            </w:r>
          </w:p>
          <w:p w14:paraId="089DD47B">
            <w:pPr>
              <w:spacing w:line="360" w:lineRule="auto"/>
              <w:jc w:val="left"/>
              <w:rPr>
                <w:rFonts w:hint="eastAsia" w:eastAsia="宋体"/>
                <w:b/>
                <w:bCs/>
                <w:sz w:val="24"/>
                <w:lang w:eastAsia="zh-CN"/>
              </w:rPr>
            </w:pPr>
            <w:r>
              <w:rPr>
                <w:rFonts w:hint="eastAsia"/>
                <w:b/>
                <w:bCs/>
                <w:sz w:val="24"/>
                <w:lang w:val="en-US" w:eastAsia="zh-CN"/>
              </w:rPr>
              <w:t>8</w:t>
            </w:r>
            <w:r>
              <w:rPr>
                <w:b/>
                <w:bCs/>
                <w:sz w:val="24"/>
              </w:rPr>
              <w:t>、</w:t>
            </w:r>
            <w:r>
              <w:rPr>
                <w:rFonts w:hint="eastAsia"/>
                <w:b/>
                <w:sz w:val="24"/>
                <w:lang w:val="en-US" w:eastAsia="zh-CN"/>
              </w:rPr>
              <w:t>劳动定员及工作制度</w:t>
            </w:r>
          </w:p>
          <w:p w14:paraId="16FA9AE4">
            <w:pPr>
              <w:autoSpaceDE w:val="0"/>
              <w:autoSpaceDN w:val="0"/>
              <w:adjustRightInd w:val="0"/>
              <w:spacing w:line="360" w:lineRule="auto"/>
              <w:ind w:firstLine="480" w:firstLineChars="200"/>
              <w:rPr>
                <w:rFonts w:hint="eastAsia"/>
                <w:lang w:val="en-US" w:eastAsia="zh-CN"/>
              </w:rPr>
            </w:pPr>
            <w:r>
              <w:rPr>
                <w:rFonts w:ascii="宋体" w:hAnsi="宋体" w:cs="宋体"/>
                <w:color w:val="auto"/>
                <w:sz w:val="24"/>
              </w:rPr>
              <w:t>项目</w:t>
            </w:r>
            <w:r>
              <w:rPr>
                <w:rFonts w:hint="eastAsia" w:ascii="宋体" w:hAnsi="宋体" w:cs="宋体"/>
                <w:color w:val="auto"/>
                <w:sz w:val="24"/>
                <w:lang w:val="en-US" w:eastAsia="zh-CN"/>
              </w:rPr>
              <w:t>技改后</w:t>
            </w:r>
            <w:r>
              <w:rPr>
                <w:rFonts w:hint="default" w:ascii="Times New Roman" w:hAnsi="Times New Roman" w:cs="Times New Roman"/>
                <w:color w:val="auto"/>
                <w:sz w:val="24"/>
              </w:rPr>
              <w:t>劳动定员</w:t>
            </w:r>
            <w:r>
              <w:rPr>
                <w:rFonts w:hint="eastAsia" w:cs="Times New Roman"/>
                <w:color w:val="auto"/>
                <w:sz w:val="24"/>
                <w:lang w:val="en-US" w:eastAsia="zh-CN"/>
              </w:rPr>
              <w:t>预计增加10人，共5</w:t>
            </w:r>
            <w:r>
              <w:rPr>
                <w:rFonts w:hint="default" w:ascii="Times New Roman" w:hAnsi="Times New Roman" w:cs="Times New Roman"/>
                <w:color w:val="auto"/>
                <w:sz w:val="24"/>
                <w:lang w:val="en-US" w:eastAsia="zh-CN"/>
              </w:rPr>
              <w:t>0人</w:t>
            </w:r>
            <w:r>
              <w:rPr>
                <w:rFonts w:hint="default" w:ascii="Times New Roman" w:hAnsi="Times New Roman" w:cs="Times New Roman"/>
                <w:bCs/>
                <w:sz w:val="24"/>
                <w:szCs w:val="24"/>
                <w:lang w:val="en-US" w:eastAsia="zh-CN"/>
              </w:rPr>
              <w:t>，</w:t>
            </w:r>
            <w:r>
              <w:rPr>
                <w:rFonts w:hint="default" w:ascii="Times New Roman" w:hAnsi="Times New Roman" w:cs="Times New Roman"/>
                <w:color w:val="auto"/>
                <w:sz w:val="24"/>
              </w:rPr>
              <w:t>年工作日为</w:t>
            </w:r>
            <w:r>
              <w:rPr>
                <w:rFonts w:hint="default" w:ascii="Times New Roman" w:hAnsi="Times New Roman" w:cs="Times New Roman"/>
                <w:color w:val="auto"/>
                <w:sz w:val="24"/>
                <w:lang w:val="en-US" w:eastAsia="zh-CN"/>
              </w:rPr>
              <w:t>30</w:t>
            </w:r>
            <w:r>
              <w:rPr>
                <w:rFonts w:hint="default" w:ascii="Times New Roman" w:hAnsi="Times New Roman" w:eastAsia="TimesNewRomanPSMT" w:cs="Times New Roman"/>
                <w:color w:val="auto"/>
                <w:sz w:val="24"/>
              </w:rPr>
              <w:t>0</w:t>
            </w:r>
            <w:r>
              <w:rPr>
                <w:rFonts w:hint="default" w:ascii="Times New Roman" w:hAnsi="Times New Roman" w:cs="Times New Roman"/>
                <w:color w:val="auto"/>
                <w:sz w:val="24"/>
              </w:rPr>
              <w:t>天，项目</w:t>
            </w:r>
            <w:r>
              <w:rPr>
                <w:rFonts w:hint="eastAsia" w:cs="Times New Roman"/>
                <w:color w:val="auto"/>
                <w:sz w:val="24"/>
                <w:lang w:val="en-US" w:eastAsia="zh-CN"/>
              </w:rPr>
              <w:t>均在昼间</w:t>
            </w:r>
            <w:r>
              <w:rPr>
                <w:rFonts w:hint="default" w:ascii="Times New Roman" w:hAnsi="Times New Roman" w:cs="Times New Roman"/>
                <w:color w:val="auto"/>
                <w:sz w:val="24"/>
              </w:rPr>
              <w:t>生产</w:t>
            </w:r>
            <w:r>
              <w:rPr>
                <w:rFonts w:hint="eastAsia" w:cs="Times New Roman"/>
                <w:color w:val="auto"/>
                <w:sz w:val="24"/>
                <w:lang w:eastAsia="zh-CN"/>
              </w:rPr>
              <w:t>，</w:t>
            </w:r>
            <w:r>
              <w:rPr>
                <w:rFonts w:hint="default" w:ascii="Times New Roman" w:hAnsi="Times New Roman" w:cs="Times New Roman"/>
                <w:color w:val="auto"/>
                <w:sz w:val="24"/>
                <w:lang w:val="en-US" w:eastAsia="zh-CN"/>
              </w:rPr>
              <w:t>无夜班</w:t>
            </w:r>
            <w:r>
              <w:rPr>
                <w:rFonts w:hint="default" w:ascii="Times New Roman" w:hAnsi="Times New Roman" w:cs="Times New Roman"/>
                <w:color w:val="auto"/>
                <w:sz w:val="24"/>
              </w:rPr>
              <w:t>，工作</w:t>
            </w:r>
            <w:r>
              <w:rPr>
                <w:rFonts w:hint="default" w:ascii="Times New Roman" w:hAnsi="Times New Roman" w:cs="Times New Roman"/>
                <w:color w:val="auto"/>
                <w:sz w:val="24"/>
                <w:lang w:val="en-US" w:eastAsia="zh-CN"/>
              </w:rPr>
              <w:t>时间</w:t>
            </w:r>
            <w:r>
              <w:rPr>
                <w:rFonts w:hint="default" w:ascii="Times New Roman" w:hAnsi="Times New Roman" w:cs="Times New Roman"/>
                <w:color w:val="auto"/>
                <w:sz w:val="24"/>
              </w:rPr>
              <w:t>8小时</w:t>
            </w:r>
            <w:r>
              <w:rPr>
                <w:rFonts w:hint="default" w:ascii="Times New Roman" w:hAnsi="Times New Roman" w:cs="Times New Roman"/>
                <w:color w:val="auto"/>
                <w:sz w:val="24"/>
                <w:lang w:val="en-US" w:eastAsia="zh-CN"/>
              </w:rPr>
              <w:t>/</w:t>
            </w:r>
            <w:r>
              <w:rPr>
                <w:rFonts w:hint="eastAsia" w:ascii="宋体" w:hAnsi="宋体" w:cs="宋体"/>
                <w:color w:val="auto"/>
                <w:sz w:val="24"/>
                <w:lang w:val="en-US" w:eastAsia="zh-CN"/>
              </w:rPr>
              <w:t>天</w:t>
            </w:r>
            <w:r>
              <w:rPr>
                <w:rFonts w:hint="eastAsia" w:ascii="宋体" w:hAnsi="宋体" w:cs="宋体"/>
                <w:color w:val="auto"/>
                <w:sz w:val="24"/>
                <w:lang w:eastAsia="zh-CN"/>
              </w:rPr>
              <w:t>，</w:t>
            </w:r>
            <w:r>
              <w:rPr>
                <w:rFonts w:hint="eastAsia" w:ascii="宋体" w:hAnsi="宋体" w:cs="宋体"/>
                <w:color w:val="auto"/>
                <w:sz w:val="24"/>
                <w:lang w:val="en-US" w:eastAsia="zh-CN"/>
              </w:rPr>
              <w:t>劳动人员多为厂区附近居民，故</w:t>
            </w:r>
            <w:r>
              <w:rPr>
                <w:rFonts w:ascii="宋体" w:hAnsi="宋体" w:cs="宋体"/>
                <w:color w:val="auto"/>
                <w:sz w:val="24"/>
              </w:rPr>
              <w:t>厂区不提供食宿</w:t>
            </w:r>
            <w:r>
              <w:rPr>
                <w:rFonts w:hint="eastAsia"/>
                <w:bCs/>
                <w:sz w:val="24"/>
                <w:szCs w:val="24"/>
                <w:lang w:val="en-US" w:eastAsia="zh-CN"/>
              </w:rPr>
              <w:t>。</w:t>
            </w:r>
          </w:p>
          <w:p w14:paraId="5D2CFC6A">
            <w:pPr>
              <w:spacing w:line="360" w:lineRule="auto"/>
              <w:jc w:val="left"/>
              <w:rPr>
                <w:rFonts w:hint="default" w:eastAsia="宋体"/>
                <w:b/>
                <w:bCs/>
                <w:sz w:val="24"/>
                <w:lang w:val="en-US" w:eastAsia="zh-CN"/>
              </w:rPr>
            </w:pPr>
            <w:r>
              <w:rPr>
                <w:rFonts w:hint="eastAsia"/>
                <w:b/>
                <w:bCs/>
                <w:sz w:val="24"/>
                <w:lang w:val="en-US" w:eastAsia="zh-CN"/>
              </w:rPr>
              <w:t>9</w:t>
            </w:r>
            <w:r>
              <w:rPr>
                <w:b/>
                <w:bCs/>
                <w:sz w:val="24"/>
              </w:rPr>
              <w:t>、</w:t>
            </w:r>
            <w:r>
              <w:rPr>
                <w:rFonts w:hint="eastAsia"/>
                <w:b/>
                <w:sz w:val="24"/>
                <w:lang w:val="en-US" w:eastAsia="zh-CN"/>
              </w:rPr>
              <w:t>平面布置情况</w:t>
            </w:r>
          </w:p>
          <w:p w14:paraId="78037E0E">
            <w:pPr>
              <w:autoSpaceDE w:val="0"/>
              <w:autoSpaceDN w:val="0"/>
              <w:adjustRightInd w:val="0"/>
              <w:spacing w:line="360" w:lineRule="auto"/>
              <w:ind w:firstLine="480" w:firstLineChars="200"/>
              <w:rPr>
                <w:rFonts w:hint="default" w:ascii="宋体" w:hAnsi="宋体" w:eastAsia="宋体" w:cs="宋体"/>
                <w:kern w:val="0"/>
                <w:sz w:val="24"/>
                <w:szCs w:val="24"/>
                <w:lang w:val="en-US" w:eastAsia="zh-CN"/>
              </w:rPr>
            </w:pP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本项目位于</w:t>
            </w:r>
            <w:r>
              <w:rPr>
                <w:rFonts w:hint="eastAsia" w:hAnsi="宋体" w:cs="Times New Roman"/>
                <w:b w:val="0"/>
                <w:bCs w:val="0"/>
                <w:color w:val="000000" w:themeColor="text1"/>
                <w:kern w:val="2"/>
                <w:sz w:val="24"/>
                <w:szCs w:val="24"/>
                <w:lang w:val="en-US" w:eastAsia="zh-CN" w:bidi="ar-SA"/>
                <w14:textFill>
                  <w14:solidFill>
                    <w14:schemeClr w14:val="tx1"/>
                  </w14:solidFill>
                </w14:textFill>
              </w:rPr>
              <w:t>安徽省淮北市杜集区杜集经济开发区萧淮路16号淮北市平祥感应炉有限公司内</w:t>
            </w:r>
            <w:r>
              <w:rPr>
                <w:rFonts w:hint="eastAsia"/>
                <w:bCs/>
                <w:sz w:val="24"/>
                <w:szCs w:val="24"/>
                <w:lang w:val="en-US" w:eastAsia="zh-CN"/>
              </w:rPr>
              <w:t>，不新增用地。依托原有生产车间，优化布局，在C车间内北侧设置喷漆房、喷砂房和粉末房等，车间南侧设置精加工区，A、B车间</w:t>
            </w:r>
            <w:r>
              <w:rPr>
                <w:rFonts w:hint="eastAsia"/>
                <w:bCs/>
                <w:sz w:val="24"/>
                <w:lang w:val="en-US" w:eastAsia="zh-CN"/>
              </w:rPr>
              <w:t>主要用于装配和储存原材料、成品，生产工序主要集中于C车间，</w:t>
            </w:r>
            <w:r>
              <w:rPr>
                <w:rFonts w:hint="eastAsia"/>
                <w:bCs/>
                <w:sz w:val="24"/>
                <w:szCs w:val="24"/>
                <w:lang w:val="en-US" w:eastAsia="zh-CN"/>
              </w:rPr>
              <w:t>中间西侧部分从北到南依次为</w:t>
            </w:r>
            <w:r>
              <w:rPr>
                <w:rFonts w:hint="eastAsia"/>
                <w:lang w:val="en-US" w:eastAsia="zh-CN"/>
              </w:rPr>
              <w:t>炉体存放区、拼装区和原材料区，</w:t>
            </w:r>
            <w:r>
              <w:rPr>
                <w:rFonts w:hint="eastAsia"/>
                <w:bCs/>
                <w:sz w:val="24"/>
                <w:szCs w:val="24"/>
                <w:lang w:val="en-US" w:eastAsia="zh-CN"/>
              </w:rPr>
              <w:t>中间东侧部分从北到南依次为</w:t>
            </w:r>
            <w:r>
              <w:rPr>
                <w:rFonts w:hint="eastAsia"/>
                <w:lang w:val="en-US" w:eastAsia="zh-CN"/>
              </w:rPr>
              <w:t>炉体存放区、铆焊区和成品存放区</w:t>
            </w:r>
            <w:r>
              <w:rPr>
                <w:rFonts w:hint="eastAsia"/>
                <w:bCs/>
                <w:sz w:val="24"/>
                <w:szCs w:val="24"/>
                <w:lang w:val="en-US" w:eastAsia="zh-CN"/>
              </w:rPr>
              <w:t>。办公楼位于厂区西北处，北侧两间厂房及其南侧两间厂房均用于出租。生产车间A车间位于厂区中间位置，生产车间B车间位于厂区南侧。</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本项目遵循紧凑布局、节约用地的原则，在满足生产工艺和结合公用设施的前提下进行厂区总平面布置，项目布局较为简单，整个厂区功能分区明确，布局合理，满足生产与办公的要求</w:t>
            </w:r>
            <w:r>
              <w:rPr>
                <w:rFonts w:hint="eastAsia" w:hAnsi="宋体" w:cs="Times New Roman"/>
                <w:b w:val="0"/>
                <w:bCs w:val="0"/>
                <w:color w:val="000000" w:themeColor="text1"/>
                <w:kern w:val="2"/>
                <w:sz w:val="24"/>
                <w:szCs w:val="24"/>
                <w:lang w:val="en-US" w:eastAsia="zh-CN" w:bidi="ar-SA"/>
                <w14:textFill>
                  <w14:solidFill>
                    <w14:schemeClr w14:val="tx1"/>
                  </w14:solidFill>
                </w14:textFill>
              </w:rPr>
              <w:t>。</w:t>
            </w:r>
          </w:p>
        </w:tc>
      </w:tr>
      <w:tr w14:paraId="1BB44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330" w:hRule="atLeast"/>
          <w:jc w:val="center"/>
        </w:trPr>
        <w:tc>
          <w:tcPr>
            <w:tcW w:w="526" w:type="dxa"/>
            <w:noWrap w:val="0"/>
            <w:vAlign w:val="center"/>
          </w:tcPr>
          <w:p w14:paraId="55A416C4">
            <w:pPr>
              <w:autoSpaceDE w:val="0"/>
              <w:autoSpaceDN w:val="0"/>
              <w:adjustRightInd w:val="0"/>
              <w:snapToGrid w:val="0"/>
              <w:jc w:val="center"/>
              <w:rPr>
                <w:rFonts w:hint="eastAsia" w:ascii="宋体" w:hAnsi="宋体" w:eastAsia="宋体" w:cs="宋体"/>
                <w:kern w:val="0"/>
                <w:sz w:val="24"/>
                <w:szCs w:val="24"/>
                <w:lang w:eastAsia="zh-CN"/>
              </w:rPr>
            </w:pPr>
          </w:p>
        </w:tc>
        <w:tc>
          <w:tcPr>
            <w:tcW w:w="8272" w:type="dxa"/>
            <w:noWrap w:val="0"/>
            <w:vAlign w:val="top"/>
          </w:tcPr>
          <w:p w14:paraId="1D6134B4">
            <w:pPr>
              <w:spacing w:line="360" w:lineRule="auto"/>
              <w:jc w:val="left"/>
              <w:rPr>
                <w:rFonts w:hint="eastAsia"/>
                <w:b w:val="0"/>
                <w:bCs w:val="0"/>
                <w:sz w:val="24"/>
                <w:lang w:val="en-US" w:eastAsia="zh-CN"/>
              </w:rPr>
            </w:pPr>
            <w:r>
              <w:rPr>
                <w:rFonts w:hint="eastAsia"/>
                <w:b/>
                <w:bCs/>
                <w:sz w:val="24"/>
                <w:lang w:val="en-US" w:eastAsia="zh-CN"/>
              </w:rPr>
              <w:t>1</w:t>
            </w:r>
            <w:r>
              <w:rPr>
                <w:b/>
                <w:bCs/>
                <w:sz w:val="24"/>
              </w:rPr>
              <w:t>、</w:t>
            </w:r>
            <w:r>
              <w:rPr>
                <w:rFonts w:hint="eastAsia"/>
                <w:b/>
                <w:bCs/>
                <w:color w:val="auto"/>
                <w:sz w:val="24"/>
              </w:rPr>
              <w:t>项目施工期</w:t>
            </w:r>
            <w:r>
              <w:rPr>
                <w:b/>
                <w:bCs/>
                <w:color w:val="auto"/>
                <w:sz w:val="24"/>
              </w:rPr>
              <w:t>工艺流程及</w:t>
            </w:r>
            <w:r>
              <w:rPr>
                <w:rFonts w:hint="eastAsia"/>
                <w:b/>
                <w:bCs/>
                <w:color w:val="auto"/>
                <w:sz w:val="24"/>
              </w:rPr>
              <w:t>产排污环节</w:t>
            </w:r>
          </w:p>
          <w:p w14:paraId="036947BC">
            <w:pPr>
              <w:spacing w:line="360" w:lineRule="auto"/>
              <w:ind w:firstLine="480" w:firstLineChars="200"/>
              <w:jc w:val="left"/>
              <w:rPr>
                <w:rFonts w:hint="eastAsia"/>
                <w:b w:val="0"/>
                <w:bCs w:val="0"/>
                <w:sz w:val="24"/>
                <w:lang w:val="en-US" w:eastAsia="zh-CN"/>
              </w:rPr>
            </w:pPr>
            <w:r>
              <w:rPr>
                <w:rFonts w:hint="eastAsia"/>
                <w:b w:val="0"/>
                <w:bCs w:val="0"/>
                <w:sz w:val="24"/>
                <w:lang w:val="en-US" w:eastAsia="zh-CN"/>
              </w:rPr>
              <w:t>（1）工艺流程</w:t>
            </w:r>
          </w:p>
          <w:p w14:paraId="3A84D1B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color w:val="auto"/>
                <w:sz w:val="24"/>
                <w:szCs w:val="24"/>
              </w:rPr>
            </w:pPr>
            <w:r>
              <w:rPr>
                <w:color w:val="auto"/>
              </w:rPr>
              <w:drawing>
                <wp:inline distT="0" distB="0" distL="114300" distR="114300">
                  <wp:extent cx="5180965" cy="1638300"/>
                  <wp:effectExtent l="0" t="0" r="635" b="0"/>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20"/>
                          <a:stretch>
                            <a:fillRect/>
                          </a:stretch>
                        </pic:blipFill>
                        <pic:spPr>
                          <a:xfrm>
                            <a:off x="0" y="0"/>
                            <a:ext cx="5180965" cy="1638300"/>
                          </a:xfrm>
                          <a:prstGeom prst="rect">
                            <a:avLst/>
                          </a:prstGeom>
                          <a:noFill/>
                          <a:ln w="9525">
                            <a:noFill/>
                          </a:ln>
                        </pic:spPr>
                      </pic:pic>
                    </a:graphicData>
                  </a:graphic>
                </wp:inline>
              </w:drawing>
            </w:r>
          </w:p>
          <w:p w14:paraId="59CAF7DE">
            <w:pPr>
              <w:autoSpaceDE w:val="0"/>
              <w:autoSpaceDN w:val="0"/>
              <w:adjustRightInd w:val="0"/>
              <w:spacing w:line="360" w:lineRule="auto"/>
              <w:jc w:val="center"/>
              <w:rPr>
                <w:rFonts w:hint="eastAsia"/>
                <w:b w:val="0"/>
                <w:bCs w:val="0"/>
                <w:sz w:val="24"/>
                <w:lang w:val="en-US" w:eastAsia="zh-CN"/>
              </w:rPr>
            </w:pPr>
            <w:r>
              <w:rPr>
                <w:rFonts w:hint="eastAsia" w:ascii="Times New Roman" w:hAnsi="Times New Roman" w:eastAsia="宋体"/>
                <w:b/>
                <w:kern w:val="0"/>
                <w:sz w:val="22"/>
                <w:szCs w:val="22"/>
                <w:lang w:val="en-US" w:eastAsia="zh-CN"/>
              </w:rPr>
              <w:t>图 2-</w:t>
            </w:r>
            <w:r>
              <w:rPr>
                <w:rFonts w:hint="eastAsia"/>
                <w:b/>
                <w:kern w:val="0"/>
                <w:sz w:val="22"/>
                <w:szCs w:val="22"/>
                <w:lang w:val="en-US" w:eastAsia="zh-CN"/>
              </w:rPr>
              <w:t>7</w:t>
            </w:r>
            <w:r>
              <w:rPr>
                <w:rFonts w:hint="eastAsia" w:ascii="Times New Roman" w:hAnsi="Times New Roman" w:eastAsia="宋体"/>
                <w:b/>
                <w:kern w:val="0"/>
                <w:sz w:val="22"/>
                <w:szCs w:val="22"/>
                <w:lang w:val="en-US" w:eastAsia="zh-CN"/>
              </w:rPr>
              <w:t xml:space="preserve"> 施工期工艺流程及产污节点图</w:t>
            </w:r>
          </w:p>
          <w:p w14:paraId="201D4806">
            <w:pPr>
              <w:spacing w:line="360" w:lineRule="auto"/>
              <w:ind w:firstLine="442" w:firstLineChars="200"/>
              <w:jc w:val="left"/>
              <w:rPr>
                <w:rFonts w:hint="eastAsia"/>
                <w:b/>
                <w:bCs/>
                <w:sz w:val="22"/>
                <w:szCs w:val="22"/>
                <w:lang w:val="en-US" w:eastAsia="zh-CN"/>
              </w:rPr>
            </w:pPr>
            <w:r>
              <w:rPr>
                <w:rFonts w:hint="eastAsia"/>
                <w:b/>
                <w:bCs/>
                <w:sz w:val="22"/>
                <w:szCs w:val="22"/>
                <w:lang w:val="en-US" w:eastAsia="zh-CN"/>
              </w:rPr>
              <w:t>注：G—粉尘/扬尘；W—施工废水；N—噪声；S—土方、建筑垃圾。</w:t>
            </w:r>
          </w:p>
          <w:p w14:paraId="7CE04F37">
            <w:pPr>
              <w:spacing w:line="360" w:lineRule="auto"/>
              <w:ind w:firstLine="480" w:firstLineChars="200"/>
              <w:jc w:val="left"/>
              <w:rPr>
                <w:rFonts w:hint="eastAsia"/>
                <w:b w:val="0"/>
                <w:bCs w:val="0"/>
                <w:sz w:val="24"/>
                <w:lang w:val="en-US" w:eastAsia="zh-CN"/>
              </w:rPr>
            </w:pPr>
            <w:r>
              <w:rPr>
                <w:rFonts w:hint="eastAsia"/>
                <w:b w:val="0"/>
                <w:bCs w:val="0"/>
                <w:sz w:val="24"/>
                <w:lang w:val="en-US" w:eastAsia="zh-CN"/>
              </w:rPr>
              <w:t>（2）产排污情况</w:t>
            </w:r>
          </w:p>
          <w:p w14:paraId="61484B49">
            <w:pPr>
              <w:spacing w:line="360" w:lineRule="auto"/>
              <w:ind w:firstLine="480" w:firstLineChars="200"/>
              <w:jc w:val="left"/>
              <w:rPr>
                <w:rFonts w:hint="eastAsia" w:ascii="Times New Roman" w:hAnsi="Times New Roman" w:eastAsia="宋体"/>
                <w:b w:val="0"/>
                <w:bCs w:val="0"/>
                <w:sz w:val="24"/>
                <w:lang w:val="en-US" w:eastAsia="zh-CN"/>
              </w:rPr>
            </w:pPr>
            <w:r>
              <w:rPr>
                <w:color w:val="auto"/>
                <w:sz w:val="24"/>
                <w:szCs w:val="24"/>
              </w:rPr>
              <w:t>本项目施工期间主要是场地清理、厂房建设、设备安装等，项目施工建设会产生噪声、扬尘、固体废物、废水和废气等污染物，</w:t>
            </w:r>
            <w:r>
              <w:rPr>
                <w:rFonts w:hint="eastAsia" w:ascii="Times New Roman" w:hAnsi="Times New Roman" w:eastAsia="宋体"/>
                <w:b w:val="0"/>
                <w:bCs w:val="0"/>
                <w:sz w:val="24"/>
                <w:lang w:val="en-US" w:eastAsia="zh-CN"/>
              </w:rPr>
              <w:t>其过程将产生废气、废水、噪声、固废。</w:t>
            </w:r>
          </w:p>
          <w:p w14:paraId="08CC9FE7">
            <w:pPr>
              <w:spacing w:line="360" w:lineRule="auto"/>
              <w:ind w:firstLine="480" w:firstLineChars="200"/>
              <w:jc w:val="left"/>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①施工废气</w:t>
            </w:r>
          </w:p>
          <w:p w14:paraId="61618A4B">
            <w:pPr>
              <w:spacing w:line="360" w:lineRule="auto"/>
              <w:ind w:firstLine="480" w:firstLineChars="200"/>
              <w:jc w:val="left"/>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施工期间对环境空气质量的影响主要来源于各类燃油机械车辆行驶排放的尾气、运输车辆在运输物料过程中的扬尘、开挖过程及泥土临时堆放过程中产生的扬尘等。各种粉尘和扬尘在晴朗、干燥和有风的情况下将会对周围环境空气产生影响。运输车辆排放的废气和扬尘可能造成局部和暂时的大气污染，运输线路两侧居民将</w:t>
            </w:r>
            <w:r>
              <w:rPr>
                <w:rFonts w:hint="eastAsia"/>
                <w:b w:val="0"/>
                <w:bCs w:val="0"/>
                <w:sz w:val="24"/>
                <w:lang w:val="en-US" w:eastAsia="zh-CN"/>
              </w:rPr>
              <w:t>受到</w:t>
            </w:r>
            <w:r>
              <w:rPr>
                <w:rFonts w:hint="eastAsia" w:ascii="Times New Roman" w:hAnsi="Times New Roman" w:eastAsia="宋体"/>
                <w:b w:val="0"/>
                <w:bCs w:val="0"/>
                <w:sz w:val="24"/>
                <w:lang w:val="en-US" w:eastAsia="zh-CN"/>
              </w:rPr>
              <w:t>灰尘和汽车尾气的影响。</w:t>
            </w:r>
          </w:p>
          <w:p w14:paraId="12B1C153">
            <w:pPr>
              <w:spacing w:line="360" w:lineRule="auto"/>
              <w:ind w:firstLine="480" w:firstLineChars="200"/>
              <w:jc w:val="left"/>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②施工</w:t>
            </w:r>
            <w:r>
              <w:rPr>
                <w:rFonts w:hint="eastAsia"/>
                <w:b w:val="0"/>
                <w:bCs w:val="0"/>
                <w:sz w:val="24"/>
                <w:lang w:val="en-US" w:eastAsia="zh-CN"/>
              </w:rPr>
              <w:t>废</w:t>
            </w:r>
            <w:r>
              <w:rPr>
                <w:rFonts w:hint="eastAsia" w:ascii="Times New Roman" w:hAnsi="Times New Roman" w:eastAsia="宋体"/>
                <w:b w:val="0"/>
                <w:bCs w:val="0"/>
                <w:sz w:val="24"/>
                <w:lang w:val="en-US" w:eastAsia="zh-CN"/>
              </w:rPr>
              <w:t>水</w:t>
            </w:r>
          </w:p>
          <w:p w14:paraId="07CA73B5">
            <w:pPr>
              <w:spacing w:line="360" w:lineRule="auto"/>
              <w:ind w:firstLine="480" w:firstLineChars="200"/>
              <w:jc w:val="left"/>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施工过程废水主要来自：基础施工中泥浆水、雨水冲刷开挖土方水、建材冲洗水等生产污水。主要污染物为SS、石油类污染物。施工人员的生活污水，主要污染物为BOD</w:t>
            </w:r>
            <w:r>
              <w:rPr>
                <w:rFonts w:hint="eastAsia" w:ascii="Times New Roman" w:hAnsi="Times New Roman" w:eastAsia="宋体"/>
                <w:b w:val="0"/>
                <w:bCs w:val="0"/>
                <w:sz w:val="24"/>
                <w:vertAlign w:val="subscript"/>
                <w:lang w:val="en-US" w:eastAsia="zh-CN"/>
              </w:rPr>
              <w:t>5</w:t>
            </w:r>
            <w:r>
              <w:rPr>
                <w:rFonts w:hint="eastAsia" w:ascii="Times New Roman" w:hAnsi="Times New Roman" w:eastAsia="宋体"/>
                <w:b w:val="0"/>
                <w:bCs w:val="0"/>
                <w:sz w:val="24"/>
                <w:lang w:val="en-US" w:eastAsia="zh-CN"/>
              </w:rPr>
              <w:t>、CO</w:t>
            </w:r>
            <w:r>
              <w:rPr>
                <w:rFonts w:hint="eastAsia"/>
                <w:b w:val="0"/>
                <w:bCs w:val="0"/>
                <w:sz w:val="24"/>
                <w:lang w:val="en-US" w:eastAsia="zh-CN"/>
              </w:rPr>
              <w:t>D等</w:t>
            </w:r>
            <w:r>
              <w:rPr>
                <w:rFonts w:hint="eastAsia" w:ascii="Times New Roman" w:hAnsi="Times New Roman" w:eastAsia="宋体"/>
                <w:b w:val="0"/>
                <w:bCs w:val="0"/>
                <w:sz w:val="24"/>
                <w:lang w:val="en-US" w:eastAsia="zh-CN"/>
              </w:rPr>
              <w:t>。</w:t>
            </w:r>
          </w:p>
          <w:p w14:paraId="6421CDA7">
            <w:pPr>
              <w:spacing w:line="360" w:lineRule="auto"/>
              <w:ind w:firstLine="480" w:firstLineChars="200"/>
              <w:jc w:val="left"/>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③施工噪声</w:t>
            </w:r>
          </w:p>
          <w:p w14:paraId="2A4ED95C">
            <w:pPr>
              <w:spacing w:line="360" w:lineRule="auto"/>
              <w:ind w:firstLine="480" w:firstLineChars="200"/>
              <w:jc w:val="left"/>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施工期噪声主要是土建工程噪声和设备安装噪声以及运输汽车交通噪声。其中土建噪声主要是挖掘机、推土机等；设备安装噪声主要是机械撞击噪声；汽车运输噪声主要是土建工程原材料运输和设备运输噪声。</w:t>
            </w:r>
          </w:p>
          <w:p w14:paraId="5968C896">
            <w:pPr>
              <w:spacing w:line="360" w:lineRule="auto"/>
              <w:ind w:firstLine="480" w:firstLineChars="200"/>
              <w:jc w:val="left"/>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④施工垃圾</w:t>
            </w:r>
          </w:p>
          <w:p w14:paraId="0C6DD092">
            <w:pPr>
              <w:spacing w:line="360" w:lineRule="auto"/>
              <w:ind w:firstLine="480" w:firstLineChars="200"/>
              <w:jc w:val="left"/>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项目施工期固废主要有建筑施工和装修过程中产生的建筑垃圾</w:t>
            </w:r>
            <w:r>
              <w:rPr>
                <w:rFonts w:hint="eastAsia"/>
                <w:b w:val="0"/>
                <w:bCs w:val="0"/>
                <w:sz w:val="24"/>
                <w:lang w:val="en-US" w:eastAsia="zh-CN"/>
              </w:rPr>
              <w:t>和</w:t>
            </w:r>
            <w:r>
              <w:rPr>
                <w:rFonts w:hint="eastAsia" w:ascii="Times New Roman" w:hAnsi="Times New Roman" w:eastAsia="宋体"/>
                <w:b w:val="0"/>
                <w:bCs w:val="0"/>
                <w:sz w:val="24"/>
                <w:lang w:val="en-US" w:eastAsia="zh-CN"/>
              </w:rPr>
              <w:t>施工人员的生活垃圾</w:t>
            </w:r>
            <w:r>
              <w:rPr>
                <w:rFonts w:hint="eastAsia"/>
                <w:b w:val="0"/>
                <w:bCs w:val="0"/>
                <w:sz w:val="24"/>
                <w:lang w:val="en-US" w:eastAsia="zh-CN"/>
              </w:rPr>
              <w:t>。</w:t>
            </w:r>
          </w:p>
          <w:p w14:paraId="6DD9F5C3">
            <w:pPr>
              <w:spacing w:line="360" w:lineRule="auto"/>
              <w:jc w:val="left"/>
              <w:rPr>
                <w:rFonts w:hint="default"/>
                <w:lang w:val="en-US" w:eastAsia="zh-CN"/>
              </w:rPr>
            </w:pPr>
            <w:r>
              <w:rPr>
                <w:rFonts w:hint="eastAsia"/>
                <w:b/>
                <w:bCs/>
                <w:sz w:val="24"/>
                <w:lang w:val="en-US" w:eastAsia="zh-CN"/>
              </w:rPr>
              <w:t>2</w:t>
            </w:r>
            <w:r>
              <w:rPr>
                <w:b/>
                <w:bCs/>
                <w:sz w:val="24"/>
              </w:rPr>
              <w:t>、</w:t>
            </w:r>
            <w:r>
              <w:rPr>
                <w:b/>
                <w:bCs/>
                <w:color w:val="auto"/>
                <w:sz w:val="24"/>
              </w:rPr>
              <w:t>项目运营期工艺流程及</w:t>
            </w:r>
            <w:r>
              <w:rPr>
                <w:rFonts w:hint="eastAsia"/>
                <w:b/>
                <w:bCs/>
                <w:color w:val="auto"/>
                <w:sz w:val="24"/>
              </w:rPr>
              <w:t>产排污环节</w:t>
            </w:r>
          </w:p>
          <w:p w14:paraId="03FC32C2">
            <w:pPr>
              <w:autoSpaceDE w:val="0"/>
              <w:autoSpaceDN w:val="0"/>
              <w:adjustRightInd w:val="0"/>
              <w:snapToGrid w:val="0"/>
              <w:spacing w:line="360" w:lineRule="auto"/>
              <w:ind w:firstLine="480" w:firstLineChars="200"/>
              <w:jc w:val="left"/>
              <w:rPr>
                <w:rFonts w:hint="eastAsia"/>
                <w:b w:val="0"/>
                <w:bCs w:val="0"/>
                <w:sz w:val="24"/>
                <w:lang w:val="en-US" w:eastAsia="zh-CN"/>
              </w:rPr>
            </w:pPr>
            <w:r>
              <w:rPr>
                <w:rFonts w:hint="eastAsia"/>
                <w:b w:val="0"/>
                <w:bCs w:val="0"/>
                <w:sz w:val="24"/>
                <w:lang w:val="en-US" w:eastAsia="zh-CN"/>
              </w:rPr>
              <w:t>本项目成品为工业电炉（包含变频感应炉、真空炉、保护气氛电渣炉），电炉由炉体和电源柜两大部分组成。本次技改通过自制炉壳和感应线圈，配合外购的配件总装得到炉体；自制电源柜体和电感，配和外购的配件总装得到电源柜；最终再把炉体和电源柜及配件一起装配得到成套工业电炉成品。</w:t>
            </w:r>
          </w:p>
          <w:p w14:paraId="0BCD0D6C">
            <w:pPr>
              <w:autoSpaceDE w:val="0"/>
              <w:autoSpaceDN w:val="0"/>
              <w:adjustRightInd w:val="0"/>
              <w:snapToGrid w:val="0"/>
              <w:spacing w:line="360" w:lineRule="auto"/>
              <w:ind w:firstLine="480" w:firstLineChars="200"/>
              <w:jc w:val="left"/>
              <w:rPr>
                <w:rFonts w:hint="eastAsia"/>
                <w:b w:val="0"/>
                <w:bCs w:val="0"/>
                <w:sz w:val="24"/>
                <w:lang w:val="en-US" w:eastAsia="zh-CN"/>
              </w:rPr>
            </w:pPr>
            <w:r>
              <w:rPr>
                <w:rFonts w:hint="eastAsia"/>
                <w:b w:val="0"/>
                <w:bCs w:val="0"/>
                <w:sz w:val="24"/>
                <w:lang w:val="en-US" w:eastAsia="zh-CN"/>
              </w:rPr>
              <w:t>（1）工业电炉炉体生产工艺流程及产排污节点如下图。</w:t>
            </w:r>
          </w:p>
          <w:p w14:paraId="704B8CD4">
            <w:pPr>
              <w:spacing w:line="360" w:lineRule="auto"/>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705225" cy="4152900"/>
                  <wp:effectExtent l="0" t="0" r="13335" b="0"/>
                  <wp:docPr id="7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descr="IMG_256"/>
                          <pic:cNvPicPr>
                            <a:picLocks noChangeAspect="1"/>
                          </pic:cNvPicPr>
                        </pic:nvPicPr>
                        <pic:blipFill>
                          <a:blip r:embed="rId21"/>
                          <a:stretch>
                            <a:fillRect/>
                          </a:stretch>
                        </pic:blipFill>
                        <pic:spPr>
                          <a:xfrm>
                            <a:off x="0" y="0"/>
                            <a:ext cx="3705225" cy="4152900"/>
                          </a:xfrm>
                          <a:prstGeom prst="rect">
                            <a:avLst/>
                          </a:prstGeom>
                          <a:noFill/>
                          <a:ln w="9525">
                            <a:noFill/>
                          </a:ln>
                        </pic:spPr>
                      </pic:pic>
                    </a:graphicData>
                  </a:graphic>
                </wp:inline>
              </w:drawing>
            </w:r>
          </w:p>
          <w:p w14:paraId="61AE8964">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rFonts w:hint="eastAsia"/>
                <w:vertAlign w:val="baseline"/>
                <w:lang w:val="en-US" w:eastAsia="zh-CN"/>
              </w:rPr>
            </w:pPr>
            <w:r>
              <w:rPr>
                <w:rFonts w:hint="eastAsia" w:ascii="Times New Roman" w:hAnsi="Times New Roman" w:eastAsia="宋体"/>
                <w:b/>
                <w:kern w:val="0"/>
                <w:sz w:val="22"/>
                <w:szCs w:val="22"/>
                <w:lang w:val="en-US" w:eastAsia="zh-CN"/>
              </w:rPr>
              <w:t>图 2-</w:t>
            </w:r>
            <w:r>
              <w:rPr>
                <w:rFonts w:hint="eastAsia"/>
                <w:b/>
                <w:kern w:val="0"/>
                <w:sz w:val="22"/>
                <w:szCs w:val="22"/>
                <w:lang w:val="en-US" w:eastAsia="zh-CN"/>
              </w:rPr>
              <w:t>8</w:t>
            </w:r>
            <w:r>
              <w:rPr>
                <w:rFonts w:hint="eastAsia" w:ascii="Times New Roman" w:hAnsi="Times New Roman" w:eastAsia="宋体"/>
                <w:b/>
                <w:kern w:val="0"/>
                <w:sz w:val="22"/>
                <w:szCs w:val="22"/>
                <w:lang w:val="en-US" w:eastAsia="zh-CN"/>
              </w:rPr>
              <w:t xml:space="preserve"> </w:t>
            </w:r>
            <w:r>
              <w:rPr>
                <w:rFonts w:hint="eastAsia"/>
                <w:b/>
                <w:kern w:val="0"/>
                <w:sz w:val="22"/>
                <w:szCs w:val="22"/>
                <w:lang w:val="en-US" w:eastAsia="zh-CN"/>
              </w:rPr>
              <w:t>工业电炉炉体</w:t>
            </w:r>
            <w:r>
              <w:rPr>
                <w:rFonts w:hint="eastAsia" w:ascii="Times New Roman" w:hAnsi="Times New Roman" w:eastAsia="宋体"/>
                <w:b/>
                <w:kern w:val="0"/>
                <w:sz w:val="22"/>
                <w:szCs w:val="22"/>
                <w:lang w:val="en-US" w:eastAsia="zh-CN"/>
              </w:rPr>
              <w:t>工艺流程及产污节点图</w:t>
            </w:r>
          </w:p>
          <w:p w14:paraId="7A9B01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val="0"/>
                <w:bCs w:val="0"/>
                <w:sz w:val="24"/>
                <w:lang w:val="en-US" w:eastAsia="zh-CN"/>
              </w:rPr>
            </w:pPr>
            <w:r>
              <w:rPr>
                <w:rFonts w:hint="eastAsia"/>
                <w:b w:val="0"/>
                <w:bCs w:val="0"/>
                <w:sz w:val="24"/>
                <w:lang w:val="en-US" w:eastAsia="zh-CN"/>
              </w:rPr>
              <w:t>工业电炉炉体工艺流程简述：</w:t>
            </w:r>
          </w:p>
          <w:p w14:paraId="71D5B08A">
            <w:pPr>
              <w:numPr>
                <w:ilvl w:val="0"/>
                <w:numId w:val="0"/>
              </w:numPr>
              <w:spacing w:line="360" w:lineRule="auto"/>
              <w:ind w:firstLine="480" w:firstLineChars="200"/>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w:t>
            </w:r>
            <w:r>
              <w:rPr>
                <w:rFonts w:hint="eastAsia" w:ascii="Times New Roman" w:hAnsi="Times New Roman" w:eastAsia="宋体" w:cs="Times New Roman"/>
                <w:color w:val="000000" w:themeColor="text1"/>
                <w:lang w:val="en-US" w:eastAsia="zh-CN"/>
                <w14:textFill>
                  <w14:solidFill>
                    <w14:schemeClr w14:val="tx1"/>
                  </w14:solidFill>
                </w14:textFill>
              </w:rPr>
              <w:t>炉壳生产</w:t>
            </w:r>
          </w:p>
          <w:p w14:paraId="4FDEE1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8"/>
                <w:lang w:val="en-US" w:eastAsia="zh-CN"/>
              </w:rPr>
            </w:pPr>
            <w:r>
              <w:rPr>
                <w:rFonts w:hint="eastAsia" w:ascii="Times New Roman" w:hAnsi="Times New Roman" w:eastAsia="宋体" w:cs="Times New Roman"/>
                <w:color w:val="000000" w:themeColor="text1"/>
                <w:lang w:val="en-US" w:eastAsia="zh-CN"/>
                <w14:textFill>
                  <w14:solidFill>
                    <w14:schemeClr w14:val="tx1"/>
                  </w14:solidFill>
                </w14:textFill>
              </w:rPr>
              <w:t>a.</w:t>
            </w:r>
            <w:r>
              <w:rPr>
                <w:rFonts w:hint="default" w:ascii="Times New Roman" w:hAnsi="Times New Roman" w:cs="Times New Roman"/>
                <w:color w:val="auto"/>
                <w:sz w:val="24"/>
                <w:szCs w:val="28"/>
              </w:rPr>
              <w:t>根据设计图纸，</w:t>
            </w:r>
            <w:r>
              <w:rPr>
                <w:rFonts w:ascii="宋体" w:hAnsi="宋体" w:eastAsia="宋体" w:cs="宋体"/>
                <w:sz w:val="24"/>
                <w:szCs w:val="24"/>
              </w:rPr>
              <w:t>对</w:t>
            </w:r>
            <w:r>
              <w:rPr>
                <w:rFonts w:hint="eastAsia" w:ascii="宋体" w:hAnsi="宋体" w:eastAsia="宋体" w:cs="宋体"/>
                <w:sz w:val="24"/>
                <w:szCs w:val="24"/>
                <w:lang w:val="en-US" w:eastAsia="zh-CN"/>
              </w:rPr>
              <w:t>原材料钢材</w:t>
            </w:r>
            <w:r>
              <w:rPr>
                <w:rFonts w:ascii="宋体" w:hAnsi="宋体" w:eastAsia="宋体" w:cs="宋体"/>
                <w:sz w:val="24"/>
                <w:szCs w:val="24"/>
              </w:rPr>
              <w:t>进行切割、剪切、折弯等加工处理，制成符合设计要求的工件雏形</w:t>
            </w:r>
            <w:r>
              <w:rPr>
                <w:rFonts w:hint="eastAsia" w:cs="Times New Roman"/>
                <w:color w:val="auto"/>
                <w:sz w:val="24"/>
                <w:szCs w:val="28"/>
                <w:lang w:val="en-US" w:eastAsia="zh-CN"/>
              </w:rPr>
              <w:t>。</w:t>
            </w:r>
          </w:p>
          <w:p w14:paraId="040BEF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8"/>
                <w:lang w:val="en-US" w:eastAsia="zh-CN"/>
              </w:rPr>
            </w:pPr>
            <w:r>
              <w:rPr>
                <w:rFonts w:hint="eastAsia" w:cs="Times New Roman"/>
                <w:color w:val="auto"/>
                <w:sz w:val="24"/>
                <w:szCs w:val="28"/>
                <w:lang w:val="en-US" w:eastAsia="zh-CN"/>
              </w:rPr>
              <w:t>此过程产生</w:t>
            </w:r>
            <w:r>
              <w:rPr>
                <w:rFonts w:hint="eastAsia" w:cs="Times New Roman"/>
                <w:color w:val="auto"/>
                <w:sz w:val="24"/>
                <w:szCs w:val="24"/>
                <w:highlight w:val="none"/>
                <w:lang w:val="en-US" w:eastAsia="zh-CN"/>
              </w:rPr>
              <w:t>固废</w:t>
            </w:r>
            <w:r>
              <w:rPr>
                <w:rFonts w:hint="eastAsia" w:cs="Times New Roman"/>
                <w:color w:val="auto"/>
                <w:sz w:val="24"/>
                <w:szCs w:val="28"/>
                <w:lang w:val="en-US" w:eastAsia="zh-CN"/>
              </w:rPr>
              <w:t>边角料、废液压油（桶）和废切削液S</w:t>
            </w:r>
            <w:r>
              <w:rPr>
                <w:rFonts w:hint="eastAsia" w:cs="Times New Roman"/>
                <w:color w:val="auto"/>
                <w:sz w:val="24"/>
                <w:szCs w:val="28"/>
                <w:vertAlign w:val="subscript"/>
                <w:lang w:val="en-US" w:eastAsia="zh-CN"/>
              </w:rPr>
              <w:t>1-1</w:t>
            </w:r>
            <w:r>
              <w:rPr>
                <w:rFonts w:hint="eastAsia" w:cs="Times New Roman"/>
                <w:color w:val="auto"/>
                <w:sz w:val="24"/>
                <w:szCs w:val="28"/>
                <w:lang w:val="en-US" w:eastAsia="zh-CN"/>
              </w:rPr>
              <w:t>、噪声N。</w:t>
            </w:r>
          </w:p>
          <w:p w14:paraId="4DDB5C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ascii="Times New Roman" w:hAnsi="Times New Roman" w:eastAsia="微软雅黑" w:cs="Times New Roman"/>
                <w:color w:val="000000" w:themeColor="text1"/>
                <w:lang w:val="en-US" w:eastAsia="zh-CN"/>
                <w14:textFill>
                  <w14:solidFill>
                    <w14:schemeClr w14:val="tx1"/>
                  </w14:solidFill>
                </w14:textFill>
              </w:rPr>
              <w:t>b.</w:t>
            </w:r>
            <w:r>
              <w:rPr>
                <w:rFonts w:ascii="宋体" w:hAnsi="宋体" w:eastAsia="宋体" w:cs="宋体"/>
                <w:sz w:val="24"/>
                <w:szCs w:val="24"/>
              </w:rPr>
              <w:t>将下料后的工件进行组对，采用</w:t>
            </w:r>
            <w:r>
              <w:rPr>
                <w:rFonts w:hint="default" w:ascii="Times New Roman" w:hAnsi="Times New Roman" w:cs="Times New Roman"/>
                <w:sz w:val="24"/>
                <w:lang w:val="en-US" w:eastAsia="zh-CN"/>
              </w:rPr>
              <w:t>氩弧焊、气体保护焊、电焊、氧气焊等方式</w:t>
            </w:r>
            <w:r>
              <w:rPr>
                <w:rFonts w:hint="eastAsia" w:cs="Times New Roman"/>
                <w:sz w:val="24"/>
                <w:lang w:val="en-US" w:eastAsia="zh-CN"/>
              </w:rPr>
              <w:t>进行</w:t>
            </w:r>
            <w:r>
              <w:rPr>
                <w:rFonts w:ascii="宋体" w:hAnsi="宋体" w:eastAsia="宋体" w:cs="宋体"/>
                <w:sz w:val="24"/>
                <w:szCs w:val="24"/>
              </w:rPr>
              <w:t>焊接加工，形成焊接结构件</w:t>
            </w:r>
            <w:r>
              <w:rPr>
                <w:rFonts w:hint="eastAsia" w:cs="Times New Roman"/>
                <w:sz w:val="24"/>
                <w:lang w:val="en-US" w:eastAsia="zh-CN"/>
              </w:rPr>
              <w:t>。</w:t>
            </w:r>
          </w:p>
          <w:p w14:paraId="49FE32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cs="Times New Roman"/>
                <w:color w:val="auto"/>
                <w:sz w:val="24"/>
                <w:szCs w:val="28"/>
                <w:lang w:val="en-US" w:eastAsia="zh-CN"/>
              </w:rPr>
              <w:t>此过程产生焊接废气G</w:t>
            </w:r>
            <w:r>
              <w:rPr>
                <w:rFonts w:hint="eastAsia" w:cs="Times New Roman"/>
                <w:color w:val="auto"/>
                <w:sz w:val="24"/>
                <w:szCs w:val="28"/>
                <w:vertAlign w:val="subscript"/>
                <w:lang w:val="en-US" w:eastAsia="zh-CN"/>
              </w:rPr>
              <w:t>1-1</w:t>
            </w:r>
            <w:r>
              <w:rPr>
                <w:rFonts w:hint="eastAsia" w:cs="Times New Roman"/>
                <w:color w:val="auto"/>
                <w:sz w:val="24"/>
                <w:szCs w:val="28"/>
                <w:lang w:val="en-US" w:eastAsia="zh-CN"/>
              </w:rPr>
              <w:t>、噪声N。</w:t>
            </w:r>
          </w:p>
          <w:p w14:paraId="0C13A7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ascii="Times New Roman" w:hAnsi="Times New Roman" w:eastAsia="微软雅黑" w:cs="Times New Roman"/>
                <w:b w:val="0"/>
                <w:bCs w:val="0"/>
                <w:sz w:val="24"/>
                <w:lang w:val="en-US" w:eastAsia="zh-CN"/>
              </w:rPr>
              <w:t>c.</w:t>
            </w:r>
            <w:r>
              <w:rPr>
                <w:rFonts w:ascii="宋体" w:hAnsi="宋体" w:eastAsia="宋体" w:cs="宋体"/>
                <w:sz w:val="24"/>
                <w:szCs w:val="24"/>
              </w:rPr>
              <w:t>焊接完成的工件转运至喷砂房</w:t>
            </w:r>
            <w:r>
              <w:rPr>
                <w:rFonts w:hint="eastAsia" w:eastAsia="微软雅黑" w:cs="Times New Roman"/>
                <w:b w:val="0"/>
                <w:bCs w:val="0"/>
                <w:sz w:val="24"/>
                <w:lang w:val="en-US" w:eastAsia="zh-CN"/>
              </w:rPr>
              <w:t>，</w:t>
            </w:r>
            <w:r>
              <w:rPr>
                <w:rFonts w:ascii="宋体" w:hAnsi="宋体" w:eastAsia="宋体" w:cs="宋体"/>
                <w:sz w:val="24"/>
                <w:szCs w:val="24"/>
              </w:rPr>
              <w:t>通过喷枪将砂子高速喷射至工件焊接表面，利用磨料冲击、摩擦作用进行喷砂打磨处理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去除表面</w:t>
            </w:r>
            <w:r>
              <w:rPr>
                <w:rFonts w:ascii="宋体" w:hAnsi="宋体" w:eastAsia="宋体" w:cs="宋体"/>
                <w:sz w:val="24"/>
                <w:szCs w:val="24"/>
              </w:rPr>
              <w:t>氧化皮及杂质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使工件表面更加光滑，保证产品质量</w:t>
            </w:r>
            <w:r>
              <w:rPr>
                <w:rFonts w:hint="eastAsia" w:cs="Times New Roman"/>
                <w:sz w:val="24"/>
                <w:lang w:val="en-US" w:eastAsia="zh-CN"/>
              </w:rPr>
              <w:t>。</w:t>
            </w:r>
          </w:p>
          <w:p w14:paraId="7A31CC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cs="Times New Roman"/>
                <w:color w:val="auto"/>
                <w:sz w:val="24"/>
                <w:szCs w:val="28"/>
                <w:lang w:val="en-US" w:eastAsia="zh-CN"/>
              </w:rPr>
              <w:t>此过程产生喷砂废气G</w:t>
            </w:r>
            <w:r>
              <w:rPr>
                <w:rFonts w:hint="eastAsia" w:cs="Times New Roman"/>
                <w:color w:val="auto"/>
                <w:sz w:val="24"/>
                <w:szCs w:val="28"/>
                <w:vertAlign w:val="subscript"/>
                <w:lang w:val="en-US" w:eastAsia="zh-CN"/>
              </w:rPr>
              <w:t>1-2</w:t>
            </w:r>
            <w:r>
              <w:rPr>
                <w:rFonts w:hint="eastAsia" w:cs="Times New Roman"/>
                <w:color w:val="auto"/>
                <w:sz w:val="24"/>
                <w:szCs w:val="28"/>
                <w:lang w:val="en-US" w:eastAsia="zh-CN"/>
              </w:rPr>
              <w:t>、噪声N。</w:t>
            </w:r>
          </w:p>
          <w:p w14:paraId="5D98C2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highlight w:val="none"/>
                <w:lang w:eastAsia="zh-CN"/>
              </w:rPr>
            </w:pPr>
            <w:r>
              <w:rPr>
                <w:rFonts w:hint="eastAsia" w:ascii="Times New Roman" w:hAnsi="Times New Roman" w:eastAsia="微软雅黑" w:cs="Times New Roman"/>
                <w:color w:val="000000" w:themeColor="text1"/>
                <w:lang w:val="en-US" w:eastAsia="zh-CN"/>
                <w14:textFill>
                  <w14:solidFill>
                    <w14:schemeClr w14:val="tx1"/>
                  </w14:solidFill>
                </w14:textFill>
              </w:rPr>
              <w:t>d.</w:t>
            </w:r>
            <w:r>
              <w:rPr>
                <w:rFonts w:hint="eastAsia" w:cs="Times New Roman"/>
                <w:sz w:val="24"/>
                <w:lang w:val="en-US" w:eastAsia="zh-CN"/>
              </w:rPr>
              <w:t>将喷砂后的工料转运至喷漆房内，工人在喷漆房内先使用稀释剂对喷枪进行清洗（稀释剂可回用），再将底漆A与底漆B按照10:1的方式进行调配后对材料进行喷涂底漆，而后放置在喷漆房里设置的晾干区进行晾干，时间约2-4小时；待底漆晾干后，根据当天生产计划，将喷涂炉体所用的醇酸面漆、稀释剂和固化剂按4:1:1的比例调配，对工件进行喷涂；喷涂面漆后的材料放置在喷漆房里设置的晾干区进行晾干，时间约12-24小时，确保产品达到标准要求。面漆喷涂前确保底漆已经完全晾干，防止出现</w:t>
            </w:r>
            <w:r>
              <w:rPr>
                <w:rFonts w:ascii="宋体" w:hAnsi="宋体" w:eastAsia="宋体" w:cs="宋体"/>
                <w:sz w:val="24"/>
                <w:szCs w:val="24"/>
              </w:rPr>
              <w:t>附着力差、起泡、流挂、鼓包、开裂等质量问题</w:t>
            </w:r>
            <w:r>
              <w:rPr>
                <w:rFonts w:hint="eastAsia" w:ascii="宋体" w:hAnsi="宋体" w:cs="宋体"/>
                <w:sz w:val="24"/>
                <w:szCs w:val="24"/>
                <w:lang w:eastAsia="zh-CN"/>
              </w:rPr>
              <w:t>。</w:t>
            </w:r>
            <w:r>
              <w:rPr>
                <w:rFonts w:hint="eastAsia" w:ascii="Times New Roman" w:hAnsi="Times New Roman" w:eastAsia="宋体" w:cs="Times New Roman"/>
                <w:color w:val="auto"/>
                <w:sz w:val="24"/>
                <w:szCs w:val="24"/>
                <w:highlight w:val="none"/>
                <w:lang w:eastAsia="zh-CN"/>
              </w:rPr>
              <w:t>喷</w:t>
            </w:r>
            <w:r>
              <w:rPr>
                <w:rFonts w:hint="eastAsia" w:ascii="Times New Roman" w:hAnsi="Times New Roman" w:eastAsia="宋体" w:cs="Times New Roman"/>
                <w:color w:val="auto"/>
                <w:sz w:val="24"/>
                <w:szCs w:val="24"/>
                <w:highlight w:val="none"/>
                <w:lang w:val="en-US" w:eastAsia="zh-CN"/>
              </w:rPr>
              <w:t>漆</w:t>
            </w:r>
            <w:r>
              <w:rPr>
                <w:rFonts w:hint="eastAsia" w:ascii="Times New Roman" w:hAnsi="Times New Roman" w:eastAsia="宋体" w:cs="Times New Roman"/>
                <w:color w:val="auto"/>
                <w:sz w:val="24"/>
                <w:szCs w:val="24"/>
                <w:highlight w:val="none"/>
                <w:lang w:eastAsia="zh-CN"/>
              </w:rPr>
              <w:t>期间操作工人必须做好个人劳动防护，喷</w:t>
            </w:r>
            <w:r>
              <w:rPr>
                <w:rFonts w:hint="eastAsia" w:ascii="Times New Roman" w:hAnsi="Times New Roman" w:eastAsia="宋体" w:cs="Times New Roman"/>
                <w:color w:val="auto"/>
                <w:sz w:val="24"/>
                <w:szCs w:val="24"/>
                <w:highlight w:val="none"/>
                <w:lang w:val="en-US" w:eastAsia="zh-CN"/>
              </w:rPr>
              <w:t>漆</w:t>
            </w:r>
            <w:r>
              <w:rPr>
                <w:rFonts w:hint="eastAsia" w:cs="Times New Roman"/>
                <w:color w:val="auto"/>
                <w:sz w:val="24"/>
                <w:szCs w:val="24"/>
                <w:highlight w:val="none"/>
                <w:lang w:val="en-US" w:eastAsia="zh-CN"/>
              </w:rPr>
              <w:t>房</w:t>
            </w:r>
            <w:r>
              <w:rPr>
                <w:rFonts w:hint="eastAsia" w:ascii="Times New Roman" w:hAnsi="Times New Roman" w:eastAsia="宋体" w:cs="Times New Roman"/>
                <w:color w:val="auto"/>
                <w:sz w:val="24"/>
                <w:szCs w:val="24"/>
                <w:highlight w:val="none"/>
                <w:lang w:eastAsia="zh-CN"/>
              </w:rPr>
              <w:t>门窗关闭，废气处理</w:t>
            </w:r>
            <w:r>
              <w:rPr>
                <w:rFonts w:hint="eastAsia" w:cs="Times New Roman"/>
                <w:color w:val="auto"/>
                <w:sz w:val="24"/>
                <w:szCs w:val="24"/>
                <w:highlight w:val="none"/>
                <w:lang w:val="en-US" w:eastAsia="zh-CN"/>
              </w:rPr>
              <w:t>设施</w:t>
            </w:r>
            <w:r>
              <w:rPr>
                <w:rFonts w:hint="eastAsia" w:ascii="Times New Roman" w:hAnsi="Times New Roman" w:eastAsia="宋体" w:cs="Times New Roman"/>
                <w:color w:val="auto"/>
                <w:sz w:val="24"/>
                <w:szCs w:val="24"/>
                <w:highlight w:val="none"/>
                <w:lang w:eastAsia="zh-CN"/>
              </w:rPr>
              <w:t>正常</w:t>
            </w:r>
            <w:r>
              <w:rPr>
                <w:rFonts w:hint="eastAsia" w:cs="Times New Roman"/>
                <w:color w:val="auto"/>
                <w:sz w:val="24"/>
                <w:szCs w:val="24"/>
                <w:highlight w:val="none"/>
                <w:lang w:val="en-US" w:eastAsia="zh-CN"/>
              </w:rPr>
              <w:t>运</w:t>
            </w:r>
            <w:r>
              <w:rPr>
                <w:rFonts w:hint="eastAsia" w:ascii="Times New Roman" w:hAnsi="Times New Roman" w:eastAsia="宋体" w:cs="Times New Roman"/>
                <w:color w:val="auto"/>
                <w:sz w:val="24"/>
                <w:szCs w:val="24"/>
                <w:highlight w:val="none"/>
                <w:lang w:eastAsia="zh-CN"/>
              </w:rPr>
              <w:t>行</w:t>
            </w:r>
            <w:r>
              <w:rPr>
                <w:rFonts w:hint="eastAsia" w:cs="Times New Roman"/>
                <w:color w:val="auto"/>
                <w:sz w:val="24"/>
                <w:szCs w:val="24"/>
                <w:highlight w:val="none"/>
                <w:lang w:eastAsia="zh-CN"/>
              </w:rPr>
              <w:t>。</w:t>
            </w:r>
          </w:p>
          <w:p w14:paraId="15B4B5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eastAsia" w:cs="Times New Roman"/>
                <w:color w:val="auto"/>
                <w:sz w:val="24"/>
                <w:szCs w:val="24"/>
                <w:highlight w:val="none"/>
                <w:lang w:val="en-US" w:eastAsia="zh-CN"/>
              </w:rPr>
              <w:t>此过程产生喷枪清洗、调漆、喷漆和晾干废气G</w:t>
            </w:r>
            <w:r>
              <w:rPr>
                <w:rFonts w:hint="eastAsia" w:cs="Times New Roman"/>
                <w:color w:val="auto"/>
                <w:sz w:val="24"/>
                <w:szCs w:val="24"/>
                <w:highlight w:val="none"/>
                <w:vertAlign w:val="subscript"/>
                <w:lang w:val="en-US" w:eastAsia="zh-CN"/>
              </w:rPr>
              <w:t>1-3</w:t>
            </w:r>
            <w:r>
              <w:rPr>
                <w:rFonts w:hint="eastAsia" w:cs="Times New Roman"/>
                <w:color w:val="auto"/>
                <w:sz w:val="24"/>
                <w:szCs w:val="24"/>
                <w:highlight w:val="none"/>
                <w:lang w:val="en-US" w:eastAsia="zh-CN"/>
              </w:rPr>
              <w:t>、固废漆渣和废漆桶S</w:t>
            </w:r>
            <w:r>
              <w:rPr>
                <w:rFonts w:hint="eastAsia" w:cs="Times New Roman"/>
                <w:color w:val="auto"/>
                <w:sz w:val="24"/>
                <w:szCs w:val="24"/>
                <w:highlight w:val="none"/>
                <w:vertAlign w:val="subscript"/>
                <w:lang w:val="en-US" w:eastAsia="zh-CN"/>
              </w:rPr>
              <w:t>1-2</w:t>
            </w:r>
            <w:r>
              <w:rPr>
                <w:rFonts w:hint="eastAsia" w:cs="Times New Roman"/>
                <w:color w:val="auto"/>
                <w:sz w:val="24"/>
                <w:szCs w:val="24"/>
                <w:highlight w:val="none"/>
                <w:lang w:val="en-US" w:eastAsia="zh-CN"/>
              </w:rPr>
              <w:t>、噪声</w:t>
            </w:r>
            <w:r>
              <w:rPr>
                <w:rFonts w:hint="eastAsia" w:cs="Times New Roman"/>
                <w:color w:val="auto"/>
                <w:sz w:val="24"/>
                <w:szCs w:val="28"/>
                <w:lang w:val="en-US" w:eastAsia="zh-CN"/>
              </w:rPr>
              <w:t>N</w:t>
            </w:r>
            <w:r>
              <w:rPr>
                <w:rFonts w:hint="eastAsia" w:ascii="Times New Roman" w:hAnsi="Times New Roman" w:eastAsia="宋体" w:cs="Times New Roman"/>
                <w:color w:val="auto"/>
                <w:sz w:val="24"/>
                <w:szCs w:val="24"/>
                <w:highlight w:val="none"/>
                <w:lang w:eastAsia="zh-CN"/>
              </w:rPr>
              <w:t>。</w:t>
            </w:r>
          </w:p>
          <w:p w14:paraId="257E0D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lang w:val="en-US" w:eastAsia="zh-CN"/>
                <w14:textFill>
                  <w14:solidFill>
                    <w14:schemeClr w14:val="tx1"/>
                  </w14:solidFill>
                </w14:textFill>
              </w:rPr>
            </w:pPr>
            <w:r>
              <w:rPr>
                <w:rFonts w:hint="eastAsia" w:ascii="Times New Roman" w:hAnsi="Times New Roman" w:eastAsia="微软雅黑" w:cs="Times New Roman"/>
                <w:color w:val="000000" w:themeColor="text1"/>
                <w:lang w:val="en-US" w:eastAsia="zh-CN"/>
                <w14:textFill>
                  <w14:solidFill>
                    <w14:schemeClr w14:val="tx1"/>
                  </w14:solidFill>
                </w14:textFill>
              </w:rPr>
              <w:t>e.</w:t>
            </w:r>
            <w:r>
              <w:rPr>
                <w:rFonts w:hint="default" w:ascii="Times New Roman" w:hAnsi="Times New Roman" w:cs="Times New Roman"/>
                <w:sz w:val="24"/>
                <w:lang w:val="en-US" w:eastAsia="zh-CN"/>
              </w:rPr>
              <w:t>按</w:t>
            </w:r>
            <w:r>
              <w:rPr>
                <w:rFonts w:hint="default" w:ascii="Times New Roman" w:hAnsi="Times New Roman" w:eastAsia="宋体" w:cs="Times New Roman"/>
                <w:color w:val="000000" w:themeColor="text1"/>
                <w:lang w:val="en-US" w:eastAsia="zh-CN"/>
                <w14:textFill>
                  <w14:solidFill>
                    <w14:schemeClr w14:val="tx1"/>
                  </w14:solidFill>
                </w14:textFill>
              </w:rPr>
              <w:t>设计图纸</w:t>
            </w:r>
            <w:r>
              <w:rPr>
                <w:rFonts w:hint="eastAsia" w:ascii="Times New Roman" w:hAnsi="Times New Roman" w:eastAsia="宋体" w:cs="Times New Roman"/>
                <w:color w:val="000000" w:themeColor="text1"/>
                <w:lang w:val="en-US" w:eastAsia="zh-CN"/>
                <w14:textFill>
                  <w14:solidFill>
                    <w14:schemeClr w14:val="tx1"/>
                  </w14:solidFill>
                </w14:textFill>
              </w:rPr>
              <w:t>将</w:t>
            </w:r>
            <w:r>
              <w:rPr>
                <w:rFonts w:hint="eastAsia" w:cs="Times New Roman"/>
                <w:color w:val="000000" w:themeColor="text1"/>
                <w:lang w:val="en-US" w:eastAsia="zh-CN"/>
                <w14:textFill>
                  <w14:solidFill>
                    <w14:schemeClr w14:val="tx1"/>
                  </w14:solidFill>
                </w14:textFill>
              </w:rPr>
              <w:t>工料进一步</w:t>
            </w:r>
            <w:r>
              <w:rPr>
                <w:rFonts w:ascii="宋体" w:hAnsi="宋体" w:eastAsia="宋体" w:cs="宋体"/>
                <w:sz w:val="24"/>
                <w:szCs w:val="24"/>
              </w:rPr>
              <w:t>连接与固定</w:t>
            </w:r>
            <w:r>
              <w:rPr>
                <w:rFonts w:hint="eastAsia" w:ascii="宋体" w:hAnsi="宋体" w:cs="宋体"/>
                <w:sz w:val="24"/>
                <w:szCs w:val="24"/>
                <w:lang w:eastAsia="zh-CN"/>
              </w:rPr>
              <w:t>，</w:t>
            </w:r>
            <w:r>
              <w:rPr>
                <w:rFonts w:hint="eastAsia" w:ascii="Times New Roman" w:hAnsi="Times New Roman" w:eastAsia="宋体" w:cs="Times New Roman"/>
                <w:color w:val="000000" w:themeColor="text1"/>
                <w:lang w:val="en-US" w:eastAsia="zh-CN"/>
                <w14:textFill>
                  <w14:solidFill>
                    <w14:schemeClr w14:val="tx1"/>
                  </w14:solidFill>
                </w14:textFill>
              </w:rPr>
              <w:t>组装得到炉壳</w:t>
            </w:r>
            <w:r>
              <w:rPr>
                <w:rFonts w:hint="eastAsia" w:cs="Times New Roman"/>
                <w:color w:val="000000" w:themeColor="text1"/>
                <w:lang w:val="en-US" w:eastAsia="zh-CN"/>
                <w14:textFill>
                  <w14:solidFill>
                    <w14:schemeClr w14:val="tx1"/>
                  </w14:solidFill>
                </w14:textFill>
              </w:rPr>
              <w:t>。</w:t>
            </w:r>
          </w:p>
          <w:p w14:paraId="729F05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auto"/>
                <w:sz w:val="24"/>
                <w:szCs w:val="28"/>
                <w:lang w:val="en-US" w:eastAsia="zh-CN"/>
              </w:rPr>
              <w:t>此过程产生噪声N</w:t>
            </w:r>
            <w:r>
              <w:rPr>
                <w:rFonts w:hint="eastAsia" w:ascii="Times New Roman" w:hAnsi="Times New Roman" w:eastAsia="宋体" w:cs="Times New Roman"/>
                <w:color w:val="000000" w:themeColor="text1"/>
                <w:lang w:val="en-US" w:eastAsia="zh-CN"/>
                <w14:textFill>
                  <w14:solidFill>
                    <w14:schemeClr w14:val="tx1"/>
                  </w14:solidFill>
                </w14:textFill>
              </w:rPr>
              <w:t>。</w:t>
            </w:r>
          </w:p>
          <w:p w14:paraId="1A1EBCF7">
            <w:pPr>
              <w:numPr>
                <w:ilvl w:val="0"/>
                <w:numId w:val="0"/>
              </w:numPr>
              <w:spacing w:line="360" w:lineRule="auto"/>
              <w:ind w:left="0" w:leftChars="0" w:firstLine="480" w:firstLineChars="200"/>
              <w:jc w:val="left"/>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微软雅黑" w:cs="Times New Roman"/>
                <w:color w:val="000000" w:themeColor="text1"/>
                <w:lang w:val="en-US" w:eastAsia="zh-CN"/>
                <w14:textFill>
                  <w14:solidFill>
                    <w14:schemeClr w14:val="tx1"/>
                  </w14:solidFill>
                </w14:textFill>
              </w:rPr>
              <w:t>②</w:t>
            </w:r>
            <w:r>
              <w:rPr>
                <w:rFonts w:hint="eastAsia" w:ascii="Times New Roman" w:hAnsi="Times New Roman" w:eastAsia="宋体" w:cs="Times New Roman"/>
                <w:color w:val="000000" w:themeColor="text1"/>
                <w:lang w:val="en-US" w:eastAsia="zh-CN"/>
                <w14:textFill>
                  <w14:solidFill>
                    <w14:schemeClr w14:val="tx1"/>
                  </w14:solidFill>
                </w14:textFill>
              </w:rPr>
              <w:t>感应线圈生产：</w:t>
            </w:r>
          </w:p>
          <w:p w14:paraId="3BD7B3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a.</w:t>
            </w:r>
            <w:r>
              <w:rPr>
                <w:rFonts w:hint="default" w:ascii="Times New Roman" w:hAnsi="Times New Roman" w:cs="Times New Roman"/>
                <w:color w:val="auto"/>
                <w:sz w:val="24"/>
                <w:szCs w:val="28"/>
              </w:rPr>
              <w:t>根据设计图纸，</w:t>
            </w:r>
            <w:r>
              <w:rPr>
                <w:rFonts w:ascii="宋体" w:hAnsi="宋体" w:eastAsia="宋体" w:cs="宋体"/>
                <w:sz w:val="24"/>
                <w:szCs w:val="24"/>
              </w:rPr>
              <w:t>对原材料</w:t>
            </w:r>
            <w:r>
              <w:rPr>
                <w:rFonts w:hint="eastAsia" w:ascii="宋体" w:hAnsi="宋体" w:cs="宋体"/>
                <w:sz w:val="24"/>
                <w:szCs w:val="24"/>
                <w:lang w:val="en-US" w:eastAsia="zh-CN"/>
              </w:rPr>
              <w:t>铜材</w:t>
            </w:r>
            <w:r>
              <w:rPr>
                <w:rFonts w:ascii="宋体" w:hAnsi="宋体" w:eastAsia="宋体" w:cs="宋体"/>
                <w:sz w:val="24"/>
                <w:szCs w:val="24"/>
              </w:rPr>
              <w:t>进行切割、剪切、折弯等加工处理，制成符合设计要求的工件雏形</w:t>
            </w:r>
            <w:r>
              <w:rPr>
                <w:rFonts w:hint="eastAsia" w:cs="Times New Roman"/>
                <w:color w:val="000000" w:themeColor="text1"/>
                <w:lang w:val="en-US" w:eastAsia="zh-CN"/>
                <w14:textFill>
                  <w14:solidFill>
                    <w14:schemeClr w14:val="tx1"/>
                  </w14:solidFill>
                </w14:textFill>
              </w:rPr>
              <w:t>。</w:t>
            </w:r>
          </w:p>
          <w:p w14:paraId="569CB1AA">
            <w:pPr>
              <w:numPr>
                <w:ilvl w:val="0"/>
                <w:numId w:val="0"/>
              </w:numPr>
              <w:spacing w:line="360" w:lineRule="auto"/>
              <w:ind w:left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auto"/>
                <w:sz w:val="24"/>
                <w:szCs w:val="28"/>
                <w:lang w:val="en-US" w:eastAsia="zh-CN"/>
              </w:rPr>
              <w:t>此过程产生</w:t>
            </w:r>
            <w:r>
              <w:rPr>
                <w:rFonts w:hint="eastAsia" w:cs="Times New Roman"/>
                <w:color w:val="auto"/>
                <w:sz w:val="24"/>
                <w:szCs w:val="24"/>
                <w:highlight w:val="none"/>
                <w:lang w:val="en-US" w:eastAsia="zh-CN"/>
              </w:rPr>
              <w:t>固废</w:t>
            </w:r>
            <w:r>
              <w:rPr>
                <w:rFonts w:hint="eastAsia" w:cs="Times New Roman"/>
                <w:color w:val="auto"/>
                <w:sz w:val="24"/>
                <w:szCs w:val="28"/>
                <w:lang w:val="en-US" w:eastAsia="zh-CN"/>
              </w:rPr>
              <w:t>边角料、废液压油（桶）和废切削液S</w:t>
            </w:r>
            <w:r>
              <w:rPr>
                <w:rFonts w:hint="eastAsia" w:cs="Times New Roman"/>
                <w:color w:val="auto"/>
                <w:sz w:val="24"/>
                <w:szCs w:val="28"/>
                <w:vertAlign w:val="subscript"/>
                <w:lang w:val="en-US" w:eastAsia="zh-CN"/>
              </w:rPr>
              <w:t>1-1</w:t>
            </w:r>
            <w:r>
              <w:rPr>
                <w:rFonts w:hint="eastAsia" w:cs="Times New Roman"/>
                <w:color w:val="auto"/>
                <w:sz w:val="24"/>
                <w:szCs w:val="28"/>
                <w:lang w:val="en-US" w:eastAsia="zh-CN"/>
              </w:rPr>
              <w:t>、噪声N</w:t>
            </w:r>
            <w:r>
              <w:rPr>
                <w:rFonts w:hint="eastAsia" w:ascii="Times New Roman" w:hAnsi="Times New Roman" w:eastAsia="宋体" w:cs="Times New Roman"/>
                <w:color w:val="000000" w:themeColor="text1"/>
                <w:lang w:val="en-US" w:eastAsia="zh-CN"/>
                <w14:textFill>
                  <w14:solidFill>
                    <w14:schemeClr w14:val="tx1"/>
                  </w14:solidFill>
                </w14:textFill>
              </w:rPr>
              <w:t>。</w:t>
            </w:r>
          </w:p>
          <w:p w14:paraId="6A027C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ascii="Times New Roman" w:hAnsi="Times New Roman" w:eastAsia="微软雅黑" w:cs="Times New Roman"/>
                <w:color w:val="000000" w:themeColor="text1"/>
                <w:lang w:val="en-US" w:eastAsia="zh-CN"/>
                <w14:textFill>
                  <w14:solidFill>
                    <w14:schemeClr w14:val="tx1"/>
                  </w14:solidFill>
                </w14:textFill>
              </w:rPr>
              <w:t>b.</w:t>
            </w:r>
            <w:r>
              <w:rPr>
                <w:rFonts w:ascii="宋体" w:hAnsi="宋体" w:eastAsia="宋体" w:cs="宋体"/>
                <w:sz w:val="24"/>
                <w:szCs w:val="24"/>
              </w:rPr>
              <w:t>将下料后的工件进行组对，采用焊接设备完成焊接加工，形成焊接结构件</w:t>
            </w:r>
            <w:r>
              <w:rPr>
                <w:rFonts w:hint="eastAsia" w:cs="Times New Roman"/>
                <w:sz w:val="24"/>
                <w:lang w:val="en-US" w:eastAsia="zh-CN"/>
              </w:rPr>
              <w:t>。</w:t>
            </w:r>
          </w:p>
          <w:p w14:paraId="78D1E6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cs="Times New Roman"/>
                <w:color w:val="auto"/>
                <w:sz w:val="24"/>
                <w:szCs w:val="28"/>
                <w:lang w:val="en-US" w:eastAsia="zh-CN"/>
              </w:rPr>
              <w:t>此过程产生焊接废气G</w:t>
            </w:r>
            <w:r>
              <w:rPr>
                <w:rFonts w:hint="eastAsia" w:cs="Times New Roman"/>
                <w:color w:val="auto"/>
                <w:sz w:val="24"/>
                <w:szCs w:val="28"/>
                <w:vertAlign w:val="subscript"/>
                <w:lang w:val="en-US" w:eastAsia="zh-CN"/>
              </w:rPr>
              <w:t>1-1</w:t>
            </w:r>
            <w:r>
              <w:rPr>
                <w:rFonts w:hint="eastAsia" w:cs="Times New Roman"/>
                <w:color w:val="auto"/>
                <w:sz w:val="24"/>
                <w:szCs w:val="28"/>
                <w:lang w:val="en-US" w:eastAsia="zh-CN"/>
              </w:rPr>
              <w:t>、噪声N。</w:t>
            </w:r>
          </w:p>
          <w:p w14:paraId="2F4E74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c.焊接完成的工件转运至喷砂房，通过喷枪将砂子高速喷射至工件焊接表面，利用磨料冲击、摩擦作用进行喷砂打磨处理，去除表面氧化皮及杂质，使工件表面更加光滑，保证产品质量。</w:t>
            </w:r>
          </w:p>
          <w:p w14:paraId="29F9E17D">
            <w:pPr>
              <w:numPr>
                <w:ilvl w:val="0"/>
                <w:numId w:val="0"/>
              </w:numPr>
              <w:spacing w:line="360" w:lineRule="auto"/>
              <w:ind w:left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auto"/>
                <w:sz w:val="24"/>
                <w:szCs w:val="28"/>
                <w:lang w:val="en-US" w:eastAsia="zh-CN"/>
              </w:rPr>
              <w:t>此过程产生喷砂废气G</w:t>
            </w:r>
            <w:r>
              <w:rPr>
                <w:rFonts w:hint="eastAsia" w:cs="Times New Roman"/>
                <w:color w:val="auto"/>
                <w:sz w:val="24"/>
                <w:szCs w:val="28"/>
                <w:vertAlign w:val="subscript"/>
                <w:lang w:val="en-US" w:eastAsia="zh-CN"/>
              </w:rPr>
              <w:t>1-2</w:t>
            </w:r>
            <w:r>
              <w:rPr>
                <w:rFonts w:hint="eastAsia" w:cs="Times New Roman"/>
                <w:color w:val="auto"/>
                <w:sz w:val="24"/>
                <w:szCs w:val="28"/>
                <w:lang w:val="en-US" w:eastAsia="zh-CN"/>
              </w:rPr>
              <w:t>、噪声N。</w:t>
            </w:r>
          </w:p>
          <w:p w14:paraId="2B2049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微软雅黑" w:cs="Times New Roman"/>
                <w:color w:val="000000" w:themeColor="text1"/>
                <w:lang w:val="en-US" w:eastAsia="zh-CN"/>
                <w14:textFill>
                  <w14:solidFill>
                    <w14:schemeClr w14:val="tx1"/>
                  </w14:solidFill>
                </w14:textFill>
              </w:rPr>
              <w:t>d.</w:t>
            </w:r>
            <w:r>
              <w:rPr>
                <w:rFonts w:ascii="宋体" w:hAnsi="宋体" w:eastAsia="宋体" w:cs="宋体"/>
                <w:sz w:val="24"/>
                <w:szCs w:val="24"/>
              </w:rPr>
              <w:t>对喷砂处理后的工件</w:t>
            </w:r>
            <w:r>
              <w:rPr>
                <w:rFonts w:hint="eastAsia" w:ascii="宋体" w:hAnsi="宋体" w:eastAsia="宋体" w:cs="宋体"/>
                <w:sz w:val="24"/>
                <w:szCs w:val="24"/>
                <w:lang w:val="en-US" w:eastAsia="zh-CN"/>
              </w:rPr>
              <w:t>放置于</w:t>
            </w:r>
            <w:r>
              <w:rPr>
                <w:rFonts w:hint="eastAsia" w:ascii="Times New Roman" w:hAnsi="Times New Roman" w:eastAsia="宋体" w:cs="Times New Roman"/>
                <w:color w:val="000000" w:themeColor="text1"/>
                <w:lang w:val="en-US" w:eastAsia="zh-CN"/>
                <w14:textFill>
                  <w14:solidFill>
                    <w14:schemeClr w14:val="tx1"/>
                  </w14:solidFill>
                </w14:textFill>
              </w:rPr>
              <w:t>水箱</w:t>
            </w:r>
            <w:r>
              <w:rPr>
                <w:rFonts w:hint="eastAsia" w:cs="Times New Roman"/>
                <w:color w:val="000000" w:themeColor="text1"/>
                <w:lang w:val="en-US" w:eastAsia="zh-CN"/>
                <w14:textFill>
                  <w14:solidFill>
                    <w14:schemeClr w14:val="tx1"/>
                  </w14:solidFill>
                </w14:textFill>
              </w:rPr>
              <w:t>内</w:t>
            </w:r>
            <w:r>
              <w:rPr>
                <w:rFonts w:hint="eastAsia" w:ascii="Times New Roman" w:hAnsi="Times New Roman" w:eastAsia="宋体" w:cs="Times New Roman"/>
                <w:color w:val="000000" w:themeColor="text1"/>
                <w:lang w:val="en-US" w:eastAsia="zh-CN"/>
                <w14:textFill>
                  <w14:solidFill>
                    <w14:schemeClr w14:val="tx1"/>
                  </w14:solidFill>
                </w14:textFill>
              </w:rPr>
              <w:t>测试是否漏水</w:t>
            </w:r>
            <w:r>
              <w:rPr>
                <w:rFonts w:hint="eastAsia" w:ascii="宋体" w:hAnsi="宋体" w:eastAsia="宋体" w:cs="宋体"/>
                <w:sz w:val="24"/>
                <w:szCs w:val="24"/>
                <w:lang w:eastAsia="zh-CN"/>
              </w:rPr>
              <w:t>。</w:t>
            </w:r>
            <w:r>
              <w:rPr>
                <w:rFonts w:hint="eastAsia" w:ascii="Times New Roman" w:hAnsi="Times New Roman" w:eastAsia="宋体" w:cs="Times New Roman"/>
                <w:color w:val="000000" w:themeColor="text1"/>
                <w:lang w:val="en-US" w:eastAsia="zh-CN"/>
                <w14:textFill>
                  <w14:solidFill>
                    <w14:schemeClr w14:val="tx1"/>
                  </w14:solidFill>
                </w14:textFill>
              </w:rPr>
              <w:t>水箱内需保持约1.5吨水量，水循环使用不外排。若水量不够则不定期补充新鲜水</w:t>
            </w:r>
            <w:r>
              <w:rPr>
                <w:rFonts w:hint="eastAsia" w:cs="Times New Roman"/>
                <w:color w:val="000000" w:themeColor="text1"/>
                <w:lang w:val="en-US" w:eastAsia="zh-CN"/>
                <w14:textFill>
                  <w14:solidFill>
                    <w14:schemeClr w14:val="tx1"/>
                  </w14:solidFill>
                </w14:textFill>
              </w:rPr>
              <w:t>。</w:t>
            </w:r>
          </w:p>
          <w:p w14:paraId="02393E6F">
            <w:pPr>
              <w:numPr>
                <w:ilvl w:val="0"/>
                <w:numId w:val="0"/>
              </w:numPr>
              <w:spacing w:line="360" w:lineRule="auto"/>
              <w:ind w:left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auto"/>
                <w:sz w:val="24"/>
                <w:szCs w:val="28"/>
                <w:lang w:val="en-US" w:eastAsia="zh-CN"/>
              </w:rPr>
              <w:t>此过程产生</w:t>
            </w:r>
            <w:r>
              <w:rPr>
                <w:rFonts w:hint="eastAsia" w:cs="Times New Roman"/>
                <w:color w:val="000000" w:themeColor="text1"/>
                <w:lang w:val="en-US" w:eastAsia="zh-CN"/>
                <w14:textFill>
                  <w14:solidFill>
                    <w14:schemeClr w14:val="tx1"/>
                  </w14:solidFill>
                </w14:textFill>
              </w:rPr>
              <w:t>废水W、噪声</w:t>
            </w:r>
            <w:r>
              <w:rPr>
                <w:rFonts w:hint="eastAsia" w:cs="Times New Roman"/>
                <w:color w:val="auto"/>
                <w:sz w:val="24"/>
                <w:szCs w:val="28"/>
                <w:lang w:val="en-US" w:eastAsia="zh-CN"/>
              </w:rPr>
              <w:t>N。</w:t>
            </w:r>
          </w:p>
          <w:p w14:paraId="5E60C1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e.试水后的</w:t>
            </w:r>
            <w:r>
              <w:rPr>
                <w:rFonts w:hint="eastAsia" w:cs="Times New Roman"/>
                <w:color w:val="000000" w:themeColor="text1"/>
                <w:lang w:val="en-US" w:eastAsia="zh-CN"/>
                <w14:textFill>
                  <w14:solidFill>
                    <w14:schemeClr w14:val="tx1"/>
                  </w14:solidFill>
                </w14:textFill>
              </w:rPr>
              <w:t>工件转移至喷塑房内，</w:t>
            </w:r>
            <w:r>
              <w:rPr>
                <w:rFonts w:ascii="宋体" w:hAnsi="宋体" w:eastAsia="宋体" w:cs="宋体"/>
                <w:sz w:val="24"/>
                <w:szCs w:val="24"/>
              </w:rPr>
              <w:t>采用静电喷塑工艺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使</w:t>
            </w:r>
            <w:r>
              <w:rPr>
                <w:rFonts w:hint="eastAsia" w:cs="Times New Roman"/>
                <w:color w:val="auto"/>
                <w:sz w:val="24"/>
                <w:szCs w:val="24"/>
                <w:highlight w:val="none"/>
                <w:lang w:val="en-US" w:eastAsia="zh-CN"/>
              </w:rPr>
              <w:t>粉末涂料喷涂后吸附于工件表面，形成图层。</w:t>
            </w:r>
          </w:p>
          <w:p w14:paraId="4CD64C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8"/>
                <w:lang w:val="en-US" w:eastAsia="zh-CN"/>
              </w:rPr>
              <w:t>此过程</w:t>
            </w:r>
            <w:r>
              <w:rPr>
                <w:rFonts w:hint="eastAsia" w:cs="Times New Roman"/>
                <w:color w:val="auto"/>
                <w:sz w:val="24"/>
                <w:szCs w:val="24"/>
                <w:highlight w:val="none"/>
                <w:lang w:val="en-US" w:eastAsia="zh-CN"/>
              </w:rPr>
              <w:t>产生喷塑废气G</w:t>
            </w:r>
            <w:r>
              <w:rPr>
                <w:rFonts w:hint="eastAsia" w:cs="Times New Roman"/>
                <w:color w:val="auto"/>
                <w:sz w:val="24"/>
                <w:szCs w:val="24"/>
                <w:highlight w:val="none"/>
                <w:vertAlign w:val="subscript"/>
                <w:lang w:val="en-US" w:eastAsia="zh-CN"/>
              </w:rPr>
              <w:t>1-4</w:t>
            </w:r>
            <w:r>
              <w:rPr>
                <w:rFonts w:hint="eastAsia" w:cs="Times New Roman"/>
                <w:color w:val="auto"/>
                <w:sz w:val="24"/>
                <w:szCs w:val="24"/>
                <w:highlight w:val="none"/>
                <w:lang w:val="en-US" w:eastAsia="zh-CN"/>
              </w:rPr>
              <w:t>、固废塑粉包装袋S</w:t>
            </w:r>
            <w:r>
              <w:rPr>
                <w:rFonts w:hint="eastAsia" w:cs="Times New Roman"/>
                <w:color w:val="auto"/>
                <w:sz w:val="24"/>
                <w:szCs w:val="24"/>
                <w:highlight w:val="none"/>
                <w:vertAlign w:val="subscript"/>
                <w:lang w:val="en-US" w:eastAsia="zh-CN"/>
              </w:rPr>
              <w:t>1-3</w:t>
            </w:r>
            <w:r>
              <w:rPr>
                <w:rFonts w:hint="eastAsia" w:cs="Times New Roman"/>
                <w:color w:val="auto"/>
                <w:sz w:val="24"/>
                <w:szCs w:val="24"/>
                <w:highlight w:val="none"/>
                <w:lang w:val="en-US" w:eastAsia="zh-CN"/>
              </w:rPr>
              <w:t>、噪声N。</w:t>
            </w:r>
          </w:p>
          <w:p w14:paraId="4273B5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highlight w:val="none"/>
                <w:lang w:eastAsia="zh-CN"/>
              </w:rPr>
            </w:pPr>
            <w:r>
              <w:rPr>
                <w:rFonts w:hint="eastAsia" w:ascii="Times New Roman" w:hAnsi="Times New Roman" w:eastAsia="微软雅黑" w:cs="Times New Roman"/>
                <w:color w:val="auto"/>
                <w:sz w:val="24"/>
                <w:szCs w:val="24"/>
                <w:highlight w:val="none"/>
                <w:lang w:val="en-US" w:eastAsia="zh-CN"/>
              </w:rPr>
              <w:t>d.</w:t>
            </w:r>
            <w:r>
              <w:rPr>
                <w:rFonts w:hint="default" w:ascii="Times New Roman" w:hAnsi="Times New Roman" w:eastAsia="宋体" w:cs="Times New Roman"/>
                <w:sz w:val="24"/>
                <w:szCs w:val="24"/>
              </w:rPr>
              <w:t>将</w:t>
            </w:r>
            <w:r>
              <w:rPr>
                <w:rFonts w:ascii="宋体" w:hAnsi="宋体" w:eastAsia="宋体" w:cs="宋体"/>
                <w:sz w:val="24"/>
                <w:szCs w:val="24"/>
              </w:rPr>
              <w:t>喷塑后的工件送入烘干设备，通过高温烘烤使粉末涂料固化成膜，实现涂层稳定附着</w:t>
            </w:r>
            <w:r>
              <w:rPr>
                <w:rFonts w:hint="eastAsia" w:ascii="宋体" w:hAnsi="宋体" w:cs="宋体"/>
                <w:sz w:val="24"/>
                <w:szCs w:val="24"/>
                <w:lang w:eastAsia="zh-CN"/>
              </w:rPr>
              <w:t>，</w:t>
            </w:r>
            <w:r>
              <w:rPr>
                <w:rFonts w:hint="eastAsia" w:ascii="宋体" w:hAnsi="宋体" w:cs="宋体"/>
                <w:sz w:val="24"/>
                <w:szCs w:val="24"/>
                <w:lang w:val="en-US" w:eastAsia="zh-CN"/>
              </w:rPr>
              <w:t>保证产品质量</w:t>
            </w:r>
            <w:r>
              <w:rPr>
                <w:rFonts w:hint="eastAsia" w:ascii="宋体" w:hAnsi="宋体" w:eastAsia="宋体" w:cs="宋体"/>
                <w:sz w:val="24"/>
                <w:szCs w:val="24"/>
                <w:lang w:eastAsia="zh-CN"/>
              </w:rPr>
              <w:t>。</w:t>
            </w:r>
            <w:r>
              <w:rPr>
                <w:rFonts w:hint="eastAsia" w:cs="Times New Roman"/>
                <w:color w:val="auto"/>
                <w:sz w:val="24"/>
                <w:szCs w:val="24"/>
                <w:highlight w:val="none"/>
                <w:lang w:val="en-US" w:eastAsia="zh-CN"/>
              </w:rPr>
              <w:t>烘干温度约为130℃，烘干时间为10h</w:t>
            </w:r>
            <w:r>
              <w:rPr>
                <w:rFonts w:hint="eastAsia" w:cs="Times New Roman"/>
                <w:color w:val="auto"/>
                <w:sz w:val="24"/>
                <w:szCs w:val="24"/>
                <w:highlight w:val="none"/>
                <w:lang w:eastAsia="zh-CN"/>
              </w:rPr>
              <w:t>。</w:t>
            </w:r>
          </w:p>
          <w:p w14:paraId="27D2E7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8"/>
                <w:lang w:val="en-US" w:eastAsia="zh-CN"/>
              </w:rPr>
              <w:t>此过程</w:t>
            </w:r>
            <w:r>
              <w:rPr>
                <w:rFonts w:hint="eastAsia" w:cs="Times New Roman"/>
                <w:color w:val="auto"/>
                <w:sz w:val="24"/>
                <w:szCs w:val="24"/>
                <w:highlight w:val="none"/>
                <w:lang w:val="en-US" w:eastAsia="zh-CN"/>
              </w:rPr>
              <w:t>产生烘干废气G</w:t>
            </w:r>
            <w:r>
              <w:rPr>
                <w:rFonts w:hint="eastAsia" w:cs="Times New Roman"/>
                <w:color w:val="auto"/>
                <w:sz w:val="24"/>
                <w:szCs w:val="24"/>
                <w:highlight w:val="none"/>
                <w:vertAlign w:val="subscript"/>
                <w:lang w:val="en-US" w:eastAsia="zh-CN"/>
              </w:rPr>
              <w:t>1-5</w:t>
            </w:r>
            <w:r>
              <w:rPr>
                <w:rFonts w:hint="eastAsia" w:cs="Times New Roman"/>
                <w:color w:val="auto"/>
                <w:sz w:val="24"/>
                <w:szCs w:val="24"/>
                <w:highlight w:val="none"/>
                <w:lang w:val="en-US" w:eastAsia="zh-CN"/>
              </w:rPr>
              <w:t>、噪声N。</w:t>
            </w:r>
          </w:p>
          <w:p w14:paraId="3D468C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color w:val="auto"/>
                <w:sz w:val="24"/>
                <w:szCs w:val="28"/>
                <w:lang w:val="en-US" w:eastAsia="zh-CN"/>
              </w:rPr>
            </w:pPr>
            <w:r>
              <w:rPr>
                <w:rFonts w:hint="default" w:cs="Times New Roman"/>
                <w:sz w:val="24"/>
                <w:lang w:val="en-US" w:eastAsia="zh-CN"/>
              </w:rPr>
              <w:t>③</w:t>
            </w:r>
            <w:r>
              <w:rPr>
                <w:rFonts w:hint="eastAsia" w:cs="Times New Roman"/>
                <w:color w:val="auto"/>
                <w:kern w:val="2"/>
                <w:sz w:val="24"/>
                <w:szCs w:val="28"/>
                <w:lang w:val="en-US" w:eastAsia="zh-CN" w:bidi="ar-SA"/>
              </w:rPr>
              <w:t>对</w:t>
            </w:r>
            <w:r>
              <w:rPr>
                <w:rFonts w:ascii="宋体" w:hAnsi="宋体" w:eastAsia="宋体" w:cs="宋体"/>
                <w:sz w:val="24"/>
                <w:szCs w:val="24"/>
              </w:rPr>
              <w:t>炉壳、配件、感应线圈等进行外观、尺寸、完好性检查，核对零部件清单与图纸一致性</w:t>
            </w:r>
            <w:r>
              <w:rPr>
                <w:rFonts w:hint="eastAsia" w:ascii="宋体" w:hAnsi="宋体" w:cs="宋体"/>
                <w:sz w:val="24"/>
                <w:szCs w:val="24"/>
                <w:lang w:eastAsia="zh-CN"/>
              </w:rPr>
              <w:t>，</w:t>
            </w:r>
            <w:r>
              <w:rPr>
                <w:rFonts w:ascii="宋体" w:hAnsi="宋体" w:eastAsia="宋体" w:cs="宋体"/>
                <w:sz w:val="24"/>
                <w:szCs w:val="24"/>
              </w:rPr>
              <w:t>确保装配条件满足要求</w:t>
            </w:r>
            <w:r>
              <w:rPr>
                <w:rFonts w:hint="eastAsia" w:ascii="宋体" w:hAnsi="宋体" w:cs="宋体"/>
                <w:sz w:val="24"/>
                <w:szCs w:val="24"/>
                <w:lang w:eastAsia="zh-CN"/>
              </w:rPr>
              <w:t>。</w:t>
            </w:r>
            <w:r>
              <w:rPr>
                <w:rFonts w:hint="eastAsia" w:ascii="宋体" w:hAnsi="宋体" w:cs="宋体"/>
                <w:sz w:val="24"/>
                <w:szCs w:val="24"/>
                <w:lang w:val="en-US" w:eastAsia="zh-CN"/>
              </w:rPr>
              <w:t>再</w:t>
            </w:r>
            <w:r>
              <w:rPr>
                <w:rFonts w:ascii="宋体" w:hAnsi="宋体" w:eastAsia="宋体" w:cs="宋体"/>
                <w:sz w:val="24"/>
                <w:szCs w:val="24"/>
              </w:rPr>
              <w:t>按设计图纸及装配工艺要求，完成结构组装、部件连接等，最终</w:t>
            </w:r>
            <w:r>
              <w:rPr>
                <w:rFonts w:hint="eastAsia" w:ascii="宋体" w:hAnsi="宋体" w:eastAsia="宋体" w:cs="宋体"/>
                <w:sz w:val="24"/>
                <w:szCs w:val="24"/>
                <w:lang w:val="en-US" w:eastAsia="zh-CN"/>
              </w:rPr>
              <w:t>总装</w:t>
            </w:r>
            <w:r>
              <w:rPr>
                <w:rFonts w:ascii="宋体" w:hAnsi="宋体" w:eastAsia="宋体" w:cs="宋体"/>
                <w:sz w:val="24"/>
                <w:szCs w:val="24"/>
              </w:rPr>
              <w:t>形成完整</w:t>
            </w:r>
            <w:r>
              <w:rPr>
                <w:rFonts w:hint="eastAsia" w:ascii="宋体" w:hAnsi="宋体" w:eastAsia="宋体" w:cs="宋体"/>
                <w:sz w:val="24"/>
                <w:szCs w:val="24"/>
                <w:lang w:val="en-US" w:eastAsia="zh-CN"/>
              </w:rPr>
              <w:t>的工业电炉</w:t>
            </w:r>
            <w:r>
              <w:rPr>
                <w:rFonts w:ascii="宋体" w:hAnsi="宋体" w:eastAsia="宋体" w:cs="宋体"/>
                <w:sz w:val="24"/>
                <w:szCs w:val="24"/>
              </w:rPr>
              <w:t>炉体成品</w:t>
            </w:r>
            <w:r>
              <w:rPr>
                <w:rFonts w:hint="eastAsia" w:cs="Times New Roman"/>
                <w:color w:val="auto"/>
                <w:sz w:val="24"/>
                <w:szCs w:val="28"/>
                <w:lang w:val="en-US" w:eastAsia="zh-CN"/>
              </w:rPr>
              <w:t>。</w:t>
            </w:r>
          </w:p>
          <w:p w14:paraId="1B8528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color w:val="auto"/>
                <w:sz w:val="24"/>
                <w:szCs w:val="28"/>
                <w:lang w:val="en-US" w:eastAsia="zh-CN"/>
              </w:rPr>
            </w:pPr>
            <w:r>
              <w:rPr>
                <w:rFonts w:hint="eastAsia" w:cs="Times New Roman"/>
                <w:color w:val="auto"/>
                <w:sz w:val="24"/>
                <w:szCs w:val="28"/>
                <w:lang w:val="en-US" w:eastAsia="zh-CN"/>
              </w:rPr>
              <w:t>此过程</w:t>
            </w:r>
            <w:r>
              <w:rPr>
                <w:rFonts w:hint="eastAsia" w:cs="Times New Roman"/>
                <w:color w:val="auto"/>
                <w:sz w:val="24"/>
                <w:szCs w:val="24"/>
                <w:highlight w:val="none"/>
                <w:lang w:val="en-US" w:eastAsia="zh-CN"/>
              </w:rPr>
              <w:t>产生噪声N。</w:t>
            </w:r>
          </w:p>
          <w:p w14:paraId="6FBEF659">
            <w:pPr>
              <w:bidi w:val="0"/>
              <w:ind w:firstLine="480" w:firstLineChars="200"/>
              <w:jc w:val="left"/>
              <w:rPr>
                <w:rFonts w:hint="eastAsia"/>
                <w:b w:val="0"/>
                <w:bCs w:val="0"/>
                <w:sz w:val="24"/>
                <w:lang w:val="en-US" w:eastAsia="zh-CN"/>
              </w:rPr>
            </w:pPr>
            <w:r>
              <w:rPr>
                <w:rFonts w:hint="eastAsia"/>
                <w:b w:val="0"/>
                <w:bCs w:val="0"/>
                <w:sz w:val="24"/>
                <w:lang w:val="en-US" w:eastAsia="zh-CN"/>
              </w:rPr>
              <w:t>（2）工业电炉电源柜生产工艺流程及产排污节点如下图。</w:t>
            </w:r>
          </w:p>
          <w:p w14:paraId="5A4A9830">
            <w:pPr>
              <w:bidi w:val="0"/>
              <w:jc w:val="center"/>
              <w:rPr>
                <w:rFonts w:hint="eastAsia"/>
                <w:b w:val="0"/>
                <w:bCs w:val="0"/>
                <w:sz w:val="24"/>
                <w:lang w:val="en-US" w:eastAsia="zh-CN"/>
              </w:rPr>
            </w:pPr>
            <w:r>
              <w:rPr>
                <w:rFonts w:ascii="宋体" w:hAnsi="宋体" w:eastAsia="宋体" w:cs="宋体"/>
                <w:kern w:val="0"/>
                <w:sz w:val="24"/>
                <w:szCs w:val="24"/>
                <w:lang w:val="en-US" w:eastAsia="zh-CN" w:bidi="ar"/>
              </w:rPr>
              <w:drawing>
                <wp:inline distT="0" distB="0" distL="114300" distR="114300">
                  <wp:extent cx="4019550" cy="3543300"/>
                  <wp:effectExtent l="0" t="0" r="3810" b="7620"/>
                  <wp:docPr id="2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IMG_256"/>
                          <pic:cNvPicPr>
                            <a:picLocks noChangeAspect="1"/>
                          </pic:cNvPicPr>
                        </pic:nvPicPr>
                        <pic:blipFill>
                          <a:blip r:embed="rId22"/>
                          <a:stretch>
                            <a:fillRect/>
                          </a:stretch>
                        </pic:blipFill>
                        <pic:spPr>
                          <a:xfrm>
                            <a:off x="0" y="0"/>
                            <a:ext cx="4019550" cy="3543300"/>
                          </a:xfrm>
                          <a:prstGeom prst="rect">
                            <a:avLst/>
                          </a:prstGeom>
                          <a:noFill/>
                          <a:ln w="9525">
                            <a:noFill/>
                          </a:ln>
                        </pic:spPr>
                      </pic:pic>
                    </a:graphicData>
                  </a:graphic>
                </wp:inline>
              </w:drawing>
            </w:r>
          </w:p>
          <w:p w14:paraId="65582391">
            <w:pPr>
              <w:keepNext w:val="0"/>
              <w:keepLines w:val="0"/>
              <w:pageBreakBefore w:val="0"/>
              <w:widowControl/>
              <w:suppressLineNumbers w:val="0"/>
              <w:kinsoku/>
              <w:wordWrap/>
              <w:overflowPunct/>
              <w:topLinePunct w:val="0"/>
              <w:autoSpaceDE/>
              <w:autoSpaceDN/>
              <w:bidi w:val="0"/>
              <w:adjustRightInd/>
              <w:snapToGrid/>
              <w:spacing w:before="157" w:beforeLines="50"/>
              <w:ind w:left="0" w:leftChars="0"/>
              <w:jc w:val="center"/>
              <w:textAlignment w:val="auto"/>
              <w:rPr>
                <w:rFonts w:hint="eastAsia"/>
                <w:vertAlign w:val="baseline"/>
                <w:lang w:val="en-US" w:eastAsia="zh-CN"/>
              </w:rPr>
            </w:pPr>
            <w:r>
              <w:rPr>
                <w:rFonts w:hint="eastAsia" w:ascii="Times New Roman" w:hAnsi="Times New Roman" w:eastAsia="宋体"/>
                <w:b/>
                <w:kern w:val="0"/>
                <w:sz w:val="22"/>
                <w:szCs w:val="22"/>
                <w:lang w:val="en-US" w:eastAsia="zh-CN"/>
              </w:rPr>
              <w:t>图 2-</w:t>
            </w:r>
            <w:r>
              <w:rPr>
                <w:rFonts w:hint="eastAsia"/>
                <w:b/>
                <w:kern w:val="0"/>
                <w:sz w:val="22"/>
                <w:szCs w:val="22"/>
                <w:lang w:val="en-US" w:eastAsia="zh-CN"/>
              </w:rPr>
              <w:t>9</w:t>
            </w:r>
            <w:r>
              <w:rPr>
                <w:rFonts w:hint="eastAsia" w:ascii="Times New Roman" w:hAnsi="Times New Roman" w:eastAsia="宋体"/>
                <w:b/>
                <w:kern w:val="0"/>
                <w:sz w:val="22"/>
                <w:szCs w:val="22"/>
                <w:lang w:val="en-US" w:eastAsia="zh-CN"/>
              </w:rPr>
              <w:t xml:space="preserve"> </w:t>
            </w:r>
            <w:r>
              <w:rPr>
                <w:rFonts w:hint="eastAsia"/>
                <w:b/>
                <w:kern w:val="0"/>
                <w:sz w:val="22"/>
                <w:szCs w:val="22"/>
                <w:lang w:val="en-US" w:eastAsia="zh-CN"/>
              </w:rPr>
              <w:t>工业电炉电源柜</w:t>
            </w:r>
            <w:r>
              <w:rPr>
                <w:rFonts w:hint="eastAsia" w:ascii="Times New Roman" w:hAnsi="Times New Roman" w:eastAsia="宋体"/>
                <w:b/>
                <w:kern w:val="0"/>
                <w:sz w:val="22"/>
                <w:szCs w:val="22"/>
                <w:lang w:val="en-US" w:eastAsia="zh-CN"/>
              </w:rPr>
              <w:t>工艺流程及产污节点图</w:t>
            </w:r>
          </w:p>
          <w:p w14:paraId="5410F3D8">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b w:val="0"/>
                <w:bCs w:val="0"/>
                <w:sz w:val="24"/>
                <w:lang w:val="en-US" w:eastAsia="zh-CN"/>
              </w:rPr>
            </w:pPr>
            <w:r>
              <w:rPr>
                <w:rFonts w:hint="eastAsia"/>
                <w:b w:val="0"/>
                <w:bCs w:val="0"/>
                <w:sz w:val="24"/>
                <w:lang w:val="en-US" w:eastAsia="zh-CN"/>
              </w:rPr>
              <w:t>工业电炉电源柜工艺流程简述：</w:t>
            </w:r>
          </w:p>
          <w:p w14:paraId="6212E1CD">
            <w:pPr>
              <w:numPr>
                <w:ilvl w:val="0"/>
                <w:numId w:val="0"/>
              </w:numPr>
              <w:spacing w:line="360" w:lineRule="auto"/>
              <w:ind w:left="0" w:leftChars="0" w:firstLine="480" w:firstLineChars="200"/>
              <w:jc w:val="left"/>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w:t>
            </w:r>
            <w:r>
              <w:rPr>
                <w:rFonts w:hint="eastAsia" w:cs="Times New Roman"/>
                <w:color w:val="000000" w:themeColor="text1"/>
                <w:lang w:val="en-US" w:eastAsia="zh-CN"/>
                <w14:textFill>
                  <w14:solidFill>
                    <w14:schemeClr w14:val="tx1"/>
                  </w14:solidFill>
                </w14:textFill>
              </w:rPr>
              <w:t>电源柜体生产</w:t>
            </w:r>
          </w:p>
          <w:p w14:paraId="62A9A2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8"/>
                <w:lang w:val="en-US" w:eastAsia="zh-CN"/>
              </w:rPr>
            </w:pPr>
            <w:r>
              <w:rPr>
                <w:rFonts w:hint="eastAsia" w:ascii="Times New Roman" w:hAnsi="Times New Roman" w:eastAsia="宋体" w:cs="Times New Roman"/>
                <w:color w:val="000000" w:themeColor="text1"/>
                <w:lang w:val="en-US" w:eastAsia="zh-CN"/>
                <w14:textFill>
                  <w14:solidFill>
                    <w14:schemeClr w14:val="tx1"/>
                  </w14:solidFill>
                </w14:textFill>
              </w:rPr>
              <w:t>a.</w:t>
            </w:r>
            <w:r>
              <w:rPr>
                <w:rFonts w:hint="default" w:ascii="Times New Roman" w:hAnsi="Times New Roman" w:cs="Times New Roman"/>
                <w:color w:val="auto"/>
                <w:sz w:val="24"/>
                <w:szCs w:val="28"/>
              </w:rPr>
              <w:t>根据设计图纸，</w:t>
            </w:r>
            <w:r>
              <w:rPr>
                <w:rFonts w:ascii="宋体" w:hAnsi="宋体" w:eastAsia="宋体" w:cs="宋体"/>
                <w:sz w:val="24"/>
                <w:szCs w:val="24"/>
              </w:rPr>
              <w:t>对</w:t>
            </w:r>
            <w:r>
              <w:rPr>
                <w:rFonts w:hint="eastAsia" w:ascii="宋体" w:hAnsi="宋体" w:eastAsia="宋体" w:cs="宋体"/>
                <w:sz w:val="24"/>
                <w:szCs w:val="24"/>
                <w:lang w:val="en-US" w:eastAsia="zh-CN"/>
              </w:rPr>
              <w:t>原材料钢材</w:t>
            </w:r>
            <w:r>
              <w:rPr>
                <w:rFonts w:ascii="宋体" w:hAnsi="宋体" w:eastAsia="宋体" w:cs="宋体"/>
                <w:sz w:val="24"/>
                <w:szCs w:val="24"/>
              </w:rPr>
              <w:t>进行切割、剪切、折弯等加工处理，制成符合设计要求的工件雏形</w:t>
            </w:r>
            <w:r>
              <w:rPr>
                <w:rFonts w:hint="eastAsia" w:cs="Times New Roman"/>
                <w:color w:val="auto"/>
                <w:sz w:val="24"/>
                <w:szCs w:val="28"/>
                <w:lang w:val="en-US" w:eastAsia="zh-CN"/>
              </w:rPr>
              <w:t>。</w:t>
            </w:r>
          </w:p>
          <w:p w14:paraId="73E67A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8"/>
                <w:lang w:val="en-US" w:eastAsia="zh-CN"/>
              </w:rPr>
            </w:pPr>
            <w:r>
              <w:rPr>
                <w:rFonts w:hint="eastAsia" w:cs="Times New Roman"/>
                <w:color w:val="auto"/>
                <w:sz w:val="24"/>
                <w:szCs w:val="28"/>
                <w:lang w:val="en-US" w:eastAsia="zh-CN"/>
              </w:rPr>
              <w:t>此过程产生</w:t>
            </w:r>
            <w:r>
              <w:rPr>
                <w:rFonts w:hint="eastAsia" w:cs="Times New Roman"/>
                <w:color w:val="auto"/>
                <w:sz w:val="24"/>
                <w:szCs w:val="24"/>
                <w:highlight w:val="none"/>
                <w:lang w:val="en-US" w:eastAsia="zh-CN"/>
              </w:rPr>
              <w:t>固废</w:t>
            </w:r>
            <w:r>
              <w:rPr>
                <w:rFonts w:hint="eastAsia" w:cs="Times New Roman"/>
                <w:color w:val="auto"/>
                <w:sz w:val="24"/>
                <w:szCs w:val="28"/>
                <w:lang w:val="en-US" w:eastAsia="zh-CN"/>
              </w:rPr>
              <w:t>边角料、废液压油（桶）和废切削液S</w:t>
            </w:r>
            <w:r>
              <w:rPr>
                <w:rFonts w:hint="eastAsia" w:cs="Times New Roman"/>
                <w:color w:val="auto"/>
                <w:sz w:val="24"/>
                <w:szCs w:val="28"/>
                <w:vertAlign w:val="subscript"/>
                <w:lang w:val="en-US" w:eastAsia="zh-CN"/>
              </w:rPr>
              <w:t>2-1</w:t>
            </w:r>
            <w:r>
              <w:rPr>
                <w:rFonts w:hint="eastAsia" w:cs="Times New Roman"/>
                <w:color w:val="auto"/>
                <w:sz w:val="24"/>
                <w:szCs w:val="28"/>
                <w:lang w:val="en-US" w:eastAsia="zh-CN"/>
              </w:rPr>
              <w:t>、噪声N。</w:t>
            </w:r>
          </w:p>
          <w:p w14:paraId="4B3AFD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ascii="Times New Roman" w:hAnsi="Times New Roman" w:eastAsia="微软雅黑" w:cs="Times New Roman"/>
                <w:color w:val="000000" w:themeColor="text1"/>
                <w:lang w:val="en-US" w:eastAsia="zh-CN"/>
                <w14:textFill>
                  <w14:solidFill>
                    <w14:schemeClr w14:val="tx1"/>
                  </w14:solidFill>
                </w14:textFill>
              </w:rPr>
              <w:t>b.</w:t>
            </w:r>
            <w:r>
              <w:rPr>
                <w:rFonts w:ascii="宋体" w:hAnsi="宋体" w:eastAsia="宋体" w:cs="宋体"/>
                <w:sz w:val="24"/>
                <w:szCs w:val="24"/>
              </w:rPr>
              <w:t>将下料后的工件进行组对，采用</w:t>
            </w:r>
            <w:r>
              <w:rPr>
                <w:rFonts w:hint="default" w:ascii="Times New Roman" w:hAnsi="Times New Roman" w:cs="Times New Roman"/>
                <w:sz w:val="24"/>
                <w:lang w:val="en-US" w:eastAsia="zh-CN"/>
              </w:rPr>
              <w:t>氩弧焊、气体保护焊、电焊、氧气焊等方式</w:t>
            </w:r>
            <w:r>
              <w:rPr>
                <w:rFonts w:hint="eastAsia" w:cs="Times New Roman"/>
                <w:sz w:val="24"/>
                <w:lang w:val="en-US" w:eastAsia="zh-CN"/>
              </w:rPr>
              <w:t>进行</w:t>
            </w:r>
            <w:r>
              <w:rPr>
                <w:rFonts w:ascii="宋体" w:hAnsi="宋体" w:eastAsia="宋体" w:cs="宋体"/>
                <w:sz w:val="24"/>
                <w:szCs w:val="24"/>
              </w:rPr>
              <w:t>焊接加工，形成焊接结构件</w:t>
            </w:r>
            <w:r>
              <w:rPr>
                <w:rFonts w:hint="eastAsia" w:cs="Times New Roman"/>
                <w:sz w:val="24"/>
                <w:lang w:val="en-US" w:eastAsia="zh-CN"/>
              </w:rPr>
              <w:t>。</w:t>
            </w:r>
          </w:p>
          <w:p w14:paraId="0A1019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cs="Times New Roman"/>
                <w:color w:val="auto"/>
                <w:sz w:val="24"/>
                <w:szCs w:val="28"/>
                <w:lang w:val="en-US" w:eastAsia="zh-CN"/>
              </w:rPr>
              <w:t>此过程产生焊接废气G1、噪声N。</w:t>
            </w:r>
          </w:p>
          <w:p w14:paraId="3500E4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cs="Times New Roman"/>
                <w:sz w:val="24"/>
                <w:lang w:val="en-US" w:eastAsia="zh-CN"/>
              </w:rPr>
              <w:t>c.焊接完成的工件转运至喷砂房，通过喷枪将砂子高速喷射至工件焊接表面，利用磨料冲击、摩擦作用进行喷砂打磨处理，去除表面氧化皮及杂质，使工件表面更加光滑，保证产品质量。</w:t>
            </w:r>
          </w:p>
          <w:p w14:paraId="7B307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sz w:val="24"/>
                <w:lang w:val="en-US" w:eastAsia="zh-CN"/>
              </w:rPr>
            </w:pPr>
            <w:r>
              <w:rPr>
                <w:rFonts w:hint="eastAsia" w:cs="Times New Roman"/>
                <w:color w:val="auto"/>
                <w:sz w:val="24"/>
                <w:szCs w:val="28"/>
                <w:lang w:val="en-US" w:eastAsia="zh-CN"/>
              </w:rPr>
              <w:t>此过程产生喷砂废气G</w:t>
            </w:r>
            <w:r>
              <w:rPr>
                <w:rFonts w:hint="eastAsia" w:cs="Times New Roman"/>
                <w:color w:val="auto"/>
                <w:sz w:val="24"/>
                <w:szCs w:val="28"/>
                <w:vertAlign w:val="subscript"/>
                <w:lang w:val="en-US" w:eastAsia="zh-CN"/>
              </w:rPr>
              <w:t>2-2</w:t>
            </w:r>
            <w:r>
              <w:rPr>
                <w:rFonts w:hint="eastAsia" w:cs="Times New Roman"/>
                <w:color w:val="auto"/>
                <w:sz w:val="24"/>
                <w:szCs w:val="28"/>
                <w:lang w:val="en-US" w:eastAsia="zh-CN"/>
              </w:rPr>
              <w:t>、噪声N。</w:t>
            </w:r>
          </w:p>
          <w:p w14:paraId="658D04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highlight w:val="none"/>
                <w:lang w:eastAsia="zh-CN"/>
              </w:rPr>
            </w:pPr>
            <w:r>
              <w:rPr>
                <w:rFonts w:hint="eastAsia" w:ascii="Times New Roman" w:hAnsi="Times New Roman" w:eastAsia="微软雅黑" w:cs="Times New Roman"/>
                <w:color w:val="000000" w:themeColor="text1"/>
                <w:lang w:val="en-US" w:eastAsia="zh-CN"/>
                <w14:textFill>
                  <w14:solidFill>
                    <w14:schemeClr w14:val="tx1"/>
                  </w14:solidFill>
                </w14:textFill>
              </w:rPr>
              <w:t>d.</w:t>
            </w:r>
            <w:r>
              <w:rPr>
                <w:rFonts w:hint="eastAsia" w:cs="Times New Roman"/>
                <w:sz w:val="24"/>
                <w:lang w:val="en-US" w:eastAsia="zh-CN"/>
              </w:rPr>
              <w:t>将喷砂后的工料转运至喷漆房内，工人在喷漆房内先使用稀释剂对喷枪进行清洗（稀释剂可回用），再将底漆A与底漆B按照10:1的方式进行调配后对材料进行喷底漆；而后根据当天生产计划，将喷涂电源柜所用的丙烯酸聚氨酯树脂涂料、稀释剂和固化剂按4:1:1的比例调配，对工件进行喷涂；喷漆后的材料放置在喷漆房里设置的晾干区进行晾干，时间约12-24小时，确保产品达到标准要求。</w:t>
            </w:r>
            <w:r>
              <w:rPr>
                <w:rFonts w:hint="eastAsia" w:ascii="Times New Roman" w:hAnsi="Times New Roman" w:eastAsia="宋体" w:cs="Times New Roman"/>
                <w:color w:val="auto"/>
                <w:sz w:val="24"/>
                <w:szCs w:val="24"/>
                <w:highlight w:val="none"/>
                <w:lang w:eastAsia="zh-CN"/>
              </w:rPr>
              <w:t>喷</w:t>
            </w:r>
            <w:r>
              <w:rPr>
                <w:rFonts w:hint="eastAsia" w:ascii="Times New Roman" w:hAnsi="Times New Roman" w:eastAsia="宋体" w:cs="Times New Roman"/>
                <w:color w:val="auto"/>
                <w:sz w:val="24"/>
                <w:szCs w:val="24"/>
                <w:highlight w:val="none"/>
                <w:lang w:val="en-US" w:eastAsia="zh-CN"/>
              </w:rPr>
              <w:t>漆</w:t>
            </w:r>
            <w:r>
              <w:rPr>
                <w:rFonts w:hint="eastAsia" w:ascii="Times New Roman" w:hAnsi="Times New Roman" w:eastAsia="宋体" w:cs="Times New Roman"/>
                <w:color w:val="auto"/>
                <w:sz w:val="24"/>
                <w:szCs w:val="24"/>
                <w:highlight w:val="none"/>
                <w:lang w:eastAsia="zh-CN"/>
              </w:rPr>
              <w:t>期间操作工人必须做好个人劳动防护，喷</w:t>
            </w:r>
            <w:r>
              <w:rPr>
                <w:rFonts w:hint="eastAsia" w:ascii="Times New Roman" w:hAnsi="Times New Roman" w:eastAsia="宋体" w:cs="Times New Roman"/>
                <w:color w:val="auto"/>
                <w:sz w:val="24"/>
                <w:szCs w:val="24"/>
                <w:highlight w:val="none"/>
                <w:lang w:val="en-US" w:eastAsia="zh-CN"/>
              </w:rPr>
              <w:t>漆</w:t>
            </w:r>
            <w:r>
              <w:rPr>
                <w:rFonts w:hint="eastAsia" w:cs="Times New Roman"/>
                <w:color w:val="auto"/>
                <w:sz w:val="24"/>
                <w:szCs w:val="24"/>
                <w:highlight w:val="none"/>
                <w:lang w:val="en-US" w:eastAsia="zh-CN"/>
              </w:rPr>
              <w:t>房</w:t>
            </w:r>
            <w:r>
              <w:rPr>
                <w:rFonts w:hint="eastAsia" w:ascii="Times New Roman" w:hAnsi="Times New Roman" w:eastAsia="宋体" w:cs="Times New Roman"/>
                <w:color w:val="auto"/>
                <w:sz w:val="24"/>
                <w:szCs w:val="24"/>
                <w:highlight w:val="none"/>
                <w:lang w:eastAsia="zh-CN"/>
              </w:rPr>
              <w:t>门窗关闭，废气处理</w:t>
            </w:r>
            <w:r>
              <w:rPr>
                <w:rFonts w:hint="eastAsia" w:cs="Times New Roman"/>
                <w:color w:val="auto"/>
                <w:sz w:val="24"/>
                <w:szCs w:val="24"/>
                <w:highlight w:val="none"/>
                <w:lang w:val="en-US" w:eastAsia="zh-CN"/>
              </w:rPr>
              <w:t>设施</w:t>
            </w:r>
            <w:r>
              <w:rPr>
                <w:rFonts w:hint="eastAsia" w:ascii="Times New Roman" w:hAnsi="Times New Roman" w:eastAsia="宋体" w:cs="Times New Roman"/>
                <w:color w:val="auto"/>
                <w:sz w:val="24"/>
                <w:szCs w:val="24"/>
                <w:highlight w:val="none"/>
                <w:lang w:eastAsia="zh-CN"/>
              </w:rPr>
              <w:t>正常</w:t>
            </w:r>
            <w:r>
              <w:rPr>
                <w:rFonts w:hint="eastAsia" w:cs="Times New Roman"/>
                <w:color w:val="auto"/>
                <w:sz w:val="24"/>
                <w:szCs w:val="24"/>
                <w:highlight w:val="none"/>
                <w:lang w:val="en-US" w:eastAsia="zh-CN"/>
              </w:rPr>
              <w:t>运</w:t>
            </w:r>
            <w:r>
              <w:rPr>
                <w:rFonts w:hint="eastAsia" w:ascii="Times New Roman" w:hAnsi="Times New Roman" w:eastAsia="宋体" w:cs="Times New Roman"/>
                <w:color w:val="auto"/>
                <w:sz w:val="24"/>
                <w:szCs w:val="24"/>
                <w:highlight w:val="none"/>
                <w:lang w:eastAsia="zh-CN"/>
              </w:rPr>
              <w:t>行</w:t>
            </w:r>
            <w:r>
              <w:rPr>
                <w:rFonts w:hint="eastAsia" w:cs="Times New Roman"/>
                <w:color w:val="auto"/>
                <w:sz w:val="24"/>
                <w:szCs w:val="24"/>
                <w:highlight w:val="none"/>
                <w:lang w:eastAsia="zh-CN"/>
              </w:rPr>
              <w:t>。</w:t>
            </w:r>
          </w:p>
          <w:p w14:paraId="607493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eastAsia" w:cs="Times New Roman"/>
                <w:color w:val="auto"/>
                <w:sz w:val="24"/>
                <w:szCs w:val="24"/>
                <w:highlight w:val="none"/>
                <w:lang w:val="en-US" w:eastAsia="zh-CN"/>
              </w:rPr>
              <w:t>此过程产生喷枪清洗、调漆、喷漆和晾干废气G</w:t>
            </w:r>
            <w:r>
              <w:rPr>
                <w:rFonts w:hint="eastAsia" w:cs="Times New Roman"/>
                <w:color w:val="auto"/>
                <w:sz w:val="24"/>
                <w:szCs w:val="24"/>
                <w:highlight w:val="none"/>
                <w:vertAlign w:val="subscript"/>
                <w:lang w:val="en-US" w:eastAsia="zh-CN"/>
              </w:rPr>
              <w:t>2-3</w:t>
            </w:r>
            <w:r>
              <w:rPr>
                <w:rFonts w:hint="eastAsia" w:cs="Times New Roman"/>
                <w:color w:val="auto"/>
                <w:sz w:val="24"/>
                <w:szCs w:val="24"/>
                <w:highlight w:val="none"/>
                <w:lang w:val="en-US" w:eastAsia="zh-CN"/>
              </w:rPr>
              <w:t>、固废漆渣和废漆桶S</w:t>
            </w:r>
            <w:r>
              <w:rPr>
                <w:rFonts w:hint="eastAsia" w:cs="Times New Roman"/>
                <w:color w:val="auto"/>
                <w:sz w:val="24"/>
                <w:szCs w:val="24"/>
                <w:highlight w:val="none"/>
                <w:vertAlign w:val="subscript"/>
                <w:lang w:val="en-US" w:eastAsia="zh-CN"/>
              </w:rPr>
              <w:t>2-2</w:t>
            </w:r>
            <w:r>
              <w:rPr>
                <w:rFonts w:hint="eastAsia" w:cs="Times New Roman"/>
                <w:color w:val="auto"/>
                <w:sz w:val="24"/>
                <w:szCs w:val="24"/>
                <w:highlight w:val="none"/>
                <w:lang w:val="en-US" w:eastAsia="zh-CN"/>
              </w:rPr>
              <w:t>、噪声</w:t>
            </w:r>
            <w:r>
              <w:rPr>
                <w:rFonts w:hint="eastAsia" w:cs="Times New Roman"/>
                <w:color w:val="auto"/>
                <w:sz w:val="24"/>
                <w:szCs w:val="28"/>
                <w:lang w:val="en-US" w:eastAsia="zh-CN"/>
              </w:rPr>
              <w:t>N</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w:t>
            </w:r>
          </w:p>
          <w:p w14:paraId="349943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themeColor="text1"/>
                <w:lang w:val="en-US" w:eastAsia="zh-CN"/>
                <w14:textFill>
                  <w14:solidFill>
                    <w14:schemeClr w14:val="tx1"/>
                  </w14:solidFill>
                </w14:textFill>
              </w:rPr>
            </w:pPr>
            <w:r>
              <w:rPr>
                <w:rFonts w:hint="eastAsia" w:ascii="Times New Roman" w:hAnsi="Times New Roman" w:eastAsia="微软雅黑" w:cs="Times New Roman"/>
                <w:color w:val="000000" w:themeColor="text1"/>
                <w:lang w:val="en-US" w:eastAsia="zh-CN"/>
                <w14:textFill>
                  <w14:solidFill>
                    <w14:schemeClr w14:val="tx1"/>
                  </w14:solidFill>
                </w14:textFill>
              </w:rPr>
              <w:t>e.</w:t>
            </w:r>
            <w:r>
              <w:rPr>
                <w:rFonts w:hint="default" w:ascii="Times New Roman" w:hAnsi="Times New Roman" w:cs="Times New Roman"/>
                <w:sz w:val="24"/>
                <w:lang w:val="en-US" w:eastAsia="zh-CN"/>
              </w:rPr>
              <w:t>按</w:t>
            </w:r>
            <w:r>
              <w:rPr>
                <w:rFonts w:hint="default" w:ascii="Times New Roman" w:hAnsi="Times New Roman" w:eastAsia="宋体" w:cs="Times New Roman"/>
                <w:color w:val="000000" w:themeColor="text1"/>
                <w:lang w:val="en-US" w:eastAsia="zh-CN"/>
                <w14:textFill>
                  <w14:solidFill>
                    <w14:schemeClr w14:val="tx1"/>
                  </w14:solidFill>
                </w14:textFill>
              </w:rPr>
              <w:t>设计图纸</w:t>
            </w:r>
            <w:r>
              <w:rPr>
                <w:rFonts w:hint="eastAsia" w:ascii="Times New Roman" w:hAnsi="Times New Roman" w:eastAsia="宋体" w:cs="Times New Roman"/>
                <w:color w:val="000000" w:themeColor="text1"/>
                <w:lang w:val="en-US" w:eastAsia="zh-CN"/>
                <w14:textFill>
                  <w14:solidFill>
                    <w14:schemeClr w14:val="tx1"/>
                  </w14:solidFill>
                </w14:textFill>
              </w:rPr>
              <w:t>将</w:t>
            </w:r>
            <w:r>
              <w:rPr>
                <w:rFonts w:hint="eastAsia" w:cs="Times New Roman"/>
                <w:color w:val="000000" w:themeColor="text1"/>
                <w:lang w:val="en-US" w:eastAsia="zh-CN"/>
                <w14:textFill>
                  <w14:solidFill>
                    <w14:schemeClr w14:val="tx1"/>
                  </w14:solidFill>
                </w14:textFill>
              </w:rPr>
              <w:t>工料进一步</w:t>
            </w:r>
            <w:r>
              <w:rPr>
                <w:rFonts w:ascii="宋体" w:hAnsi="宋体" w:eastAsia="宋体" w:cs="宋体"/>
                <w:sz w:val="24"/>
                <w:szCs w:val="24"/>
              </w:rPr>
              <w:t>连接与固定</w:t>
            </w:r>
            <w:r>
              <w:rPr>
                <w:rFonts w:hint="eastAsia" w:ascii="宋体" w:hAnsi="宋体" w:cs="宋体"/>
                <w:sz w:val="24"/>
                <w:szCs w:val="24"/>
                <w:lang w:eastAsia="zh-CN"/>
              </w:rPr>
              <w:t>，</w:t>
            </w:r>
            <w:r>
              <w:rPr>
                <w:rFonts w:hint="eastAsia" w:ascii="Times New Roman" w:hAnsi="Times New Roman" w:eastAsia="宋体" w:cs="Times New Roman"/>
                <w:color w:val="000000" w:themeColor="text1"/>
                <w:lang w:val="en-US" w:eastAsia="zh-CN"/>
                <w14:textFill>
                  <w14:solidFill>
                    <w14:schemeClr w14:val="tx1"/>
                  </w14:solidFill>
                </w14:textFill>
              </w:rPr>
              <w:t>组装得到</w:t>
            </w:r>
            <w:r>
              <w:rPr>
                <w:rFonts w:hint="eastAsia" w:cs="Times New Roman"/>
                <w:color w:val="000000" w:themeColor="text1"/>
                <w:lang w:val="en-US" w:eastAsia="zh-CN"/>
                <w14:textFill>
                  <w14:solidFill>
                    <w14:schemeClr w14:val="tx1"/>
                  </w14:solidFill>
                </w14:textFill>
              </w:rPr>
              <w:t>电源柜体。</w:t>
            </w:r>
          </w:p>
          <w:p w14:paraId="6E90BD35">
            <w:pPr>
              <w:numPr>
                <w:ilvl w:val="0"/>
                <w:numId w:val="0"/>
              </w:numPr>
              <w:spacing w:line="360" w:lineRule="auto"/>
              <w:ind w:leftChars="200"/>
              <w:jc w:val="left"/>
              <w:rPr>
                <w:rFonts w:hint="eastAsia" w:cs="Times New Roman"/>
                <w:color w:val="000000" w:themeColor="text1"/>
                <w:lang w:val="en-US" w:eastAsia="zh-CN"/>
                <w14:textFill>
                  <w14:solidFill>
                    <w14:schemeClr w14:val="tx1"/>
                  </w14:solidFill>
                </w14:textFill>
              </w:rPr>
            </w:pPr>
            <w:r>
              <w:rPr>
                <w:rFonts w:hint="eastAsia" w:cs="Times New Roman"/>
                <w:color w:val="auto"/>
                <w:sz w:val="24"/>
                <w:szCs w:val="28"/>
                <w:lang w:val="en-US" w:eastAsia="zh-CN"/>
              </w:rPr>
              <w:t>此过程产生噪声N</w:t>
            </w:r>
            <w:r>
              <w:rPr>
                <w:rFonts w:hint="eastAsia" w:ascii="Times New Roman" w:hAnsi="Times New Roman" w:eastAsia="宋体" w:cs="Times New Roman"/>
                <w:color w:val="000000" w:themeColor="text1"/>
                <w:lang w:val="en-US" w:eastAsia="zh-CN"/>
                <w14:textFill>
                  <w14:solidFill>
                    <w14:schemeClr w14:val="tx1"/>
                  </w14:solidFill>
                </w14:textFill>
              </w:rPr>
              <w:t>。</w:t>
            </w:r>
          </w:p>
          <w:p w14:paraId="53AD47C7">
            <w:pPr>
              <w:numPr>
                <w:ilvl w:val="0"/>
                <w:numId w:val="0"/>
              </w:numPr>
              <w:spacing w:line="360" w:lineRule="auto"/>
              <w:ind w:leftChars="20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②</w:t>
            </w:r>
            <w:r>
              <w:rPr>
                <w:rFonts w:hint="eastAsia" w:cs="Times New Roman"/>
                <w:color w:val="000000" w:themeColor="text1"/>
                <w:lang w:val="en-US" w:eastAsia="zh-CN"/>
                <w14:textFill>
                  <w14:solidFill>
                    <w14:schemeClr w14:val="tx1"/>
                  </w14:solidFill>
                </w14:textFill>
              </w:rPr>
              <w:t>电感生产</w:t>
            </w:r>
          </w:p>
          <w:p w14:paraId="0B17A5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a.</w:t>
            </w:r>
            <w:r>
              <w:rPr>
                <w:rFonts w:hint="eastAsia" w:cs="Times New Roman"/>
                <w:color w:val="000000" w:themeColor="text1"/>
                <w:lang w:val="en-US" w:eastAsia="zh-CN"/>
                <w14:textFill>
                  <w14:solidFill>
                    <w14:schemeClr w14:val="tx1"/>
                  </w14:solidFill>
                </w14:textFill>
              </w:rPr>
              <w:t>先</w:t>
            </w:r>
            <w:r>
              <w:rPr>
                <w:rFonts w:hint="default" w:ascii="Times New Roman" w:hAnsi="Times New Roman" w:eastAsia="宋体" w:cs="Times New Roman"/>
                <w:color w:val="000000" w:themeColor="text1"/>
                <w:lang w:val="en-US" w:eastAsia="zh-CN"/>
                <w14:textFill>
                  <w14:solidFill>
                    <w14:schemeClr w14:val="tx1"/>
                  </w14:solidFill>
                </w14:textFill>
              </w:rPr>
              <w:t>将绝缘布绕制在铜管上，再将铜管</w:t>
            </w:r>
            <w:r>
              <w:rPr>
                <w:rFonts w:hint="eastAsia" w:cs="Times New Roman"/>
                <w:color w:val="000000" w:themeColor="text1"/>
                <w:lang w:val="en-US" w:eastAsia="zh-CN"/>
                <w14:textFill>
                  <w14:solidFill>
                    <w14:schemeClr w14:val="tx1"/>
                  </w14:solidFill>
                </w14:textFill>
              </w:rPr>
              <w:t>置于缠绕机</w:t>
            </w:r>
            <w:r>
              <w:rPr>
                <w:rFonts w:ascii="宋体" w:hAnsi="宋体" w:eastAsia="宋体" w:cs="宋体"/>
                <w:sz w:val="24"/>
                <w:szCs w:val="24"/>
              </w:rPr>
              <w:t>按设计规格、匝数及形状进行精密绕制，形成电感线圈雏形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一般为弹簧状</w:t>
            </w:r>
            <w:r>
              <w:rPr>
                <w:rFonts w:hint="eastAsia" w:ascii="宋体" w:hAnsi="宋体" w:eastAsia="宋体" w:cs="宋体"/>
                <w:sz w:val="24"/>
                <w:szCs w:val="24"/>
                <w:lang w:eastAsia="zh-CN"/>
              </w:rPr>
              <w:t>。</w:t>
            </w:r>
          </w:p>
          <w:p w14:paraId="61BACB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此过程产生噪声N。</w:t>
            </w:r>
          </w:p>
          <w:p w14:paraId="5CAF14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b.</w:t>
            </w:r>
            <w:r>
              <w:rPr>
                <w:rFonts w:hint="eastAsia" w:cs="Times New Roman"/>
                <w:color w:val="000000" w:themeColor="text1"/>
                <w:lang w:val="en-US" w:eastAsia="zh-CN"/>
                <w14:textFill>
                  <w14:solidFill>
                    <w14:schemeClr w14:val="tx1"/>
                  </w14:solidFill>
                </w14:textFill>
              </w:rPr>
              <w:t>根据客户所需订单的要求，缠绕好的铜管先放置于模具中，先将封装料A与封装料B按照1:1的调配方式进行混合调制，再</w:t>
            </w:r>
            <w:r>
              <w:rPr>
                <w:rFonts w:ascii="宋体" w:hAnsi="宋体" w:eastAsia="宋体" w:cs="宋体"/>
                <w:sz w:val="24"/>
                <w:szCs w:val="24"/>
              </w:rPr>
              <w:t>注入</w:t>
            </w:r>
            <w:r>
              <w:rPr>
                <w:rFonts w:hint="eastAsia" w:ascii="宋体" w:hAnsi="宋体" w:eastAsia="宋体" w:cs="宋体"/>
                <w:sz w:val="24"/>
                <w:szCs w:val="24"/>
                <w:lang w:val="en-US" w:eastAsia="zh-CN"/>
              </w:rPr>
              <w:t>模具内</w:t>
            </w:r>
            <w:r>
              <w:rPr>
                <w:rFonts w:ascii="宋体" w:hAnsi="宋体" w:eastAsia="宋体" w:cs="宋体"/>
                <w:sz w:val="24"/>
                <w:szCs w:val="24"/>
              </w:rPr>
              <w:t>绕制完成的铜管线圈内部及间隙，使</w:t>
            </w:r>
            <w:r>
              <w:rPr>
                <w:rFonts w:hint="eastAsia" w:ascii="宋体" w:hAnsi="宋体" w:eastAsia="宋体" w:cs="宋体"/>
                <w:sz w:val="24"/>
                <w:szCs w:val="24"/>
                <w:lang w:val="en-US" w:eastAsia="zh-CN"/>
              </w:rPr>
              <w:t>封装料</w:t>
            </w:r>
            <w:r>
              <w:rPr>
                <w:rFonts w:ascii="宋体" w:hAnsi="宋体" w:eastAsia="宋体" w:cs="宋体"/>
                <w:sz w:val="24"/>
                <w:szCs w:val="24"/>
              </w:rPr>
              <w:t>充分浸润、填充线圈结构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完成后置于固化炉内</w:t>
            </w:r>
            <w:r>
              <w:rPr>
                <w:rFonts w:ascii="宋体" w:hAnsi="宋体" w:eastAsia="宋体" w:cs="宋体"/>
                <w:sz w:val="24"/>
                <w:szCs w:val="24"/>
              </w:rPr>
              <w:t>固化成型，实现线圈结构的固定、绝缘与防护</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得到电感。</w:t>
            </w:r>
            <w:r>
              <w:rPr>
                <w:rFonts w:hint="eastAsia" w:cs="Times New Roman"/>
                <w:color w:val="000000" w:themeColor="text1"/>
                <w:lang w:val="en-US" w:eastAsia="zh-CN"/>
                <w14:textFill>
                  <w14:solidFill>
                    <w14:schemeClr w14:val="tx1"/>
                  </w14:solidFill>
                </w14:textFill>
              </w:rPr>
              <w:t>该过程固化温度约180℃，时间2h。</w:t>
            </w:r>
          </w:p>
          <w:p w14:paraId="4EF213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此过程产生有机废气G</w:t>
            </w:r>
            <w:r>
              <w:rPr>
                <w:rFonts w:hint="eastAsia" w:cs="Times New Roman"/>
                <w:color w:val="000000" w:themeColor="text1"/>
                <w:vertAlign w:val="subscript"/>
                <w:lang w:val="en-US" w:eastAsia="zh-CN"/>
                <w14:textFill>
                  <w14:solidFill>
                    <w14:schemeClr w14:val="tx1"/>
                  </w14:solidFill>
                </w14:textFill>
              </w:rPr>
              <w:t>2-4</w:t>
            </w:r>
            <w:r>
              <w:rPr>
                <w:rFonts w:hint="eastAsia" w:cs="Times New Roman"/>
                <w:color w:val="000000" w:themeColor="text1"/>
                <w:lang w:val="en-US" w:eastAsia="zh-CN"/>
                <w14:textFill>
                  <w14:solidFill>
                    <w14:schemeClr w14:val="tx1"/>
                  </w14:solidFill>
                </w14:textFill>
              </w:rPr>
              <w:t>、固废废封装料桶S</w:t>
            </w:r>
            <w:r>
              <w:rPr>
                <w:rFonts w:hint="eastAsia" w:cs="Times New Roman"/>
                <w:color w:val="000000" w:themeColor="text1"/>
                <w:vertAlign w:val="subscript"/>
                <w:lang w:val="en-US" w:eastAsia="zh-CN"/>
                <w14:textFill>
                  <w14:solidFill>
                    <w14:schemeClr w14:val="tx1"/>
                  </w14:solidFill>
                </w14:textFill>
              </w:rPr>
              <w:t>2-3</w:t>
            </w:r>
            <w:r>
              <w:rPr>
                <w:rFonts w:hint="eastAsia" w:cs="Times New Roman"/>
                <w:color w:val="000000" w:themeColor="text1"/>
                <w:lang w:val="en-US" w:eastAsia="zh-CN"/>
                <w14:textFill>
                  <w14:solidFill>
                    <w14:schemeClr w14:val="tx1"/>
                  </w14:solidFill>
                </w14:textFill>
              </w:rPr>
              <w:t>、噪声N。</w:t>
            </w:r>
          </w:p>
          <w:p w14:paraId="68C36F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color w:val="auto"/>
                <w:sz w:val="24"/>
                <w:szCs w:val="28"/>
                <w:lang w:val="en-US" w:eastAsia="zh-CN"/>
              </w:rPr>
            </w:pPr>
            <w:r>
              <w:rPr>
                <w:rFonts w:hint="default" w:cs="Times New Roman"/>
                <w:sz w:val="24"/>
                <w:lang w:val="en-US" w:eastAsia="zh-CN"/>
              </w:rPr>
              <w:t>③</w:t>
            </w:r>
            <w:r>
              <w:rPr>
                <w:rFonts w:hint="eastAsia" w:cs="Times New Roman"/>
                <w:color w:val="000000" w:themeColor="text1"/>
                <w:kern w:val="2"/>
                <w:sz w:val="24"/>
                <w:szCs w:val="24"/>
                <w:lang w:val="en-US" w:eastAsia="zh-CN" w:bidi="ar-SA"/>
                <w14:textFill>
                  <w14:solidFill>
                    <w14:schemeClr w14:val="tx1"/>
                  </w14:solidFill>
                </w14:textFill>
              </w:rPr>
              <w:t>对</w:t>
            </w:r>
            <w:r>
              <w:rPr>
                <w:rFonts w:hint="eastAsia" w:cs="Times New Roman"/>
                <w:color w:val="auto"/>
                <w:sz w:val="24"/>
                <w:szCs w:val="24"/>
                <w:highlight w:val="none"/>
                <w:lang w:val="en-US" w:eastAsia="zh-CN"/>
              </w:rPr>
              <w:t>电源柜体</w:t>
            </w:r>
            <w:r>
              <w:rPr>
                <w:rFonts w:ascii="宋体" w:hAnsi="宋体" w:eastAsia="宋体" w:cs="宋体"/>
                <w:sz w:val="24"/>
                <w:szCs w:val="24"/>
              </w:rPr>
              <w:t>、配件、</w:t>
            </w:r>
            <w:r>
              <w:rPr>
                <w:rFonts w:hint="eastAsia" w:ascii="宋体" w:hAnsi="宋体" w:cs="宋体"/>
                <w:sz w:val="24"/>
                <w:szCs w:val="24"/>
                <w:lang w:val="en-US" w:eastAsia="zh-CN"/>
              </w:rPr>
              <w:t>电感</w:t>
            </w:r>
            <w:r>
              <w:rPr>
                <w:rFonts w:ascii="宋体" w:hAnsi="宋体" w:eastAsia="宋体" w:cs="宋体"/>
                <w:sz w:val="24"/>
                <w:szCs w:val="24"/>
              </w:rPr>
              <w:t>等进行外观、尺寸、完好性检查，核对零部件清单与图纸一致性</w:t>
            </w:r>
            <w:r>
              <w:rPr>
                <w:rFonts w:hint="eastAsia" w:ascii="宋体" w:hAnsi="宋体" w:cs="宋体"/>
                <w:sz w:val="24"/>
                <w:szCs w:val="24"/>
                <w:lang w:eastAsia="zh-CN"/>
              </w:rPr>
              <w:t>，</w:t>
            </w:r>
            <w:r>
              <w:rPr>
                <w:rFonts w:ascii="宋体" w:hAnsi="宋体" w:eastAsia="宋体" w:cs="宋体"/>
                <w:sz w:val="24"/>
                <w:szCs w:val="24"/>
              </w:rPr>
              <w:t>确保装配条件满足要求</w:t>
            </w:r>
            <w:r>
              <w:rPr>
                <w:rFonts w:hint="eastAsia" w:ascii="宋体" w:hAnsi="宋体" w:cs="宋体"/>
                <w:sz w:val="24"/>
                <w:szCs w:val="24"/>
                <w:lang w:eastAsia="zh-CN"/>
              </w:rPr>
              <w:t>。</w:t>
            </w:r>
            <w:r>
              <w:rPr>
                <w:rFonts w:hint="eastAsia" w:ascii="宋体" w:hAnsi="宋体" w:cs="宋体"/>
                <w:sz w:val="24"/>
                <w:szCs w:val="24"/>
                <w:lang w:val="en-US" w:eastAsia="zh-CN"/>
              </w:rPr>
              <w:t>再</w:t>
            </w:r>
            <w:r>
              <w:rPr>
                <w:rFonts w:ascii="宋体" w:hAnsi="宋体" w:eastAsia="宋体" w:cs="宋体"/>
                <w:sz w:val="24"/>
                <w:szCs w:val="24"/>
              </w:rPr>
              <w:t>按设计图纸及装配工艺要求，完成结构组装、部件连接等，最终</w:t>
            </w:r>
            <w:r>
              <w:rPr>
                <w:rFonts w:hint="eastAsia" w:ascii="宋体" w:hAnsi="宋体" w:eastAsia="宋体" w:cs="宋体"/>
                <w:sz w:val="24"/>
                <w:szCs w:val="24"/>
                <w:lang w:val="en-US" w:eastAsia="zh-CN"/>
              </w:rPr>
              <w:t>总装</w:t>
            </w:r>
            <w:r>
              <w:rPr>
                <w:rFonts w:ascii="宋体" w:hAnsi="宋体" w:eastAsia="宋体" w:cs="宋体"/>
                <w:sz w:val="24"/>
                <w:szCs w:val="24"/>
              </w:rPr>
              <w:t>形成完整</w:t>
            </w:r>
            <w:r>
              <w:rPr>
                <w:rFonts w:hint="eastAsia" w:cs="Times New Roman"/>
                <w:color w:val="auto"/>
                <w:sz w:val="24"/>
                <w:szCs w:val="24"/>
                <w:highlight w:val="none"/>
                <w:lang w:val="en-US" w:eastAsia="zh-CN"/>
              </w:rPr>
              <w:t>电源柜</w:t>
            </w:r>
            <w:r>
              <w:rPr>
                <w:rFonts w:ascii="宋体" w:hAnsi="宋体" w:eastAsia="宋体" w:cs="宋体"/>
                <w:sz w:val="24"/>
                <w:szCs w:val="24"/>
              </w:rPr>
              <w:t>成品</w:t>
            </w:r>
            <w:r>
              <w:rPr>
                <w:rFonts w:hint="eastAsia" w:cs="Times New Roman"/>
                <w:color w:val="auto"/>
                <w:sz w:val="24"/>
                <w:szCs w:val="28"/>
                <w:lang w:val="en-US" w:eastAsia="zh-CN"/>
              </w:rPr>
              <w:t>。</w:t>
            </w:r>
          </w:p>
          <w:p w14:paraId="2D9F845A">
            <w:pPr>
              <w:bidi w:val="0"/>
              <w:ind w:firstLine="480" w:firstLineChars="200"/>
              <w:jc w:val="left"/>
              <w:rPr>
                <w:rFonts w:hint="eastAsia"/>
                <w:b w:val="0"/>
                <w:bCs w:val="0"/>
                <w:sz w:val="24"/>
                <w:lang w:val="en-US" w:eastAsia="zh-CN"/>
              </w:rPr>
            </w:pPr>
            <w:r>
              <w:rPr>
                <w:rFonts w:hint="eastAsia" w:cs="Times New Roman"/>
                <w:color w:val="000000" w:themeColor="text1"/>
                <w:lang w:val="en-US" w:eastAsia="zh-CN"/>
                <w14:textFill>
                  <w14:solidFill>
                    <w14:schemeClr w14:val="tx1"/>
                  </w14:solidFill>
                </w14:textFill>
              </w:rPr>
              <w:t>此过程产生噪声N。</w:t>
            </w:r>
          </w:p>
          <w:p w14:paraId="02CBFD4C">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b w:val="0"/>
                <w:bCs w:val="0"/>
                <w:sz w:val="24"/>
                <w:lang w:val="en-US" w:eastAsia="zh-CN"/>
              </w:rPr>
            </w:pPr>
            <w:r>
              <w:rPr>
                <w:rFonts w:hint="eastAsia"/>
                <w:b w:val="0"/>
                <w:bCs w:val="0"/>
                <w:sz w:val="24"/>
                <w:lang w:val="en-US" w:eastAsia="zh-CN"/>
              </w:rPr>
              <w:t>（3）工业电炉装配工艺流程及产排污节点如下图。</w:t>
            </w:r>
          </w:p>
          <w:p w14:paraId="6C136CAD">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2733675" cy="1247775"/>
                  <wp:effectExtent l="0" t="0" r="9525" b="1905"/>
                  <wp:docPr id="2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IMG_256"/>
                          <pic:cNvPicPr>
                            <a:picLocks noChangeAspect="1"/>
                          </pic:cNvPicPr>
                        </pic:nvPicPr>
                        <pic:blipFill>
                          <a:blip r:embed="rId23"/>
                          <a:stretch>
                            <a:fillRect/>
                          </a:stretch>
                        </pic:blipFill>
                        <pic:spPr>
                          <a:xfrm>
                            <a:off x="0" y="0"/>
                            <a:ext cx="2733675" cy="1247775"/>
                          </a:xfrm>
                          <a:prstGeom prst="rect">
                            <a:avLst/>
                          </a:prstGeom>
                          <a:noFill/>
                          <a:ln w="9525">
                            <a:noFill/>
                          </a:ln>
                        </pic:spPr>
                      </pic:pic>
                    </a:graphicData>
                  </a:graphic>
                </wp:inline>
              </w:drawing>
            </w:r>
          </w:p>
          <w:p w14:paraId="7C193DA3">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b/>
                <w:kern w:val="0"/>
                <w:sz w:val="22"/>
                <w:szCs w:val="22"/>
                <w:lang w:val="en-US" w:eastAsia="zh-CN"/>
              </w:rPr>
            </w:pPr>
            <w:r>
              <w:rPr>
                <w:rFonts w:hint="eastAsia" w:ascii="Times New Roman" w:hAnsi="Times New Roman" w:eastAsia="宋体"/>
                <w:b/>
                <w:kern w:val="0"/>
                <w:sz w:val="22"/>
                <w:szCs w:val="22"/>
                <w:lang w:val="en-US" w:eastAsia="zh-CN"/>
              </w:rPr>
              <w:t>图 2-</w:t>
            </w:r>
            <w:r>
              <w:rPr>
                <w:rFonts w:hint="eastAsia"/>
                <w:b/>
                <w:kern w:val="0"/>
                <w:sz w:val="22"/>
                <w:szCs w:val="22"/>
                <w:lang w:val="en-US" w:eastAsia="zh-CN"/>
              </w:rPr>
              <w:t>10</w:t>
            </w:r>
            <w:r>
              <w:rPr>
                <w:rFonts w:hint="eastAsia" w:ascii="Times New Roman" w:hAnsi="Times New Roman" w:eastAsia="宋体"/>
                <w:b/>
                <w:kern w:val="0"/>
                <w:sz w:val="22"/>
                <w:szCs w:val="22"/>
                <w:lang w:val="en-US" w:eastAsia="zh-CN"/>
              </w:rPr>
              <w:t xml:space="preserve"> </w:t>
            </w:r>
            <w:r>
              <w:rPr>
                <w:rFonts w:hint="eastAsia"/>
                <w:b/>
                <w:kern w:val="0"/>
                <w:sz w:val="22"/>
                <w:szCs w:val="22"/>
                <w:lang w:val="en-US" w:eastAsia="zh-CN"/>
              </w:rPr>
              <w:t>工业电炉装配</w:t>
            </w:r>
            <w:r>
              <w:rPr>
                <w:rFonts w:hint="eastAsia" w:ascii="Times New Roman" w:hAnsi="Times New Roman" w:eastAsia="宋体"/>
                <w:b/>
                <w:kern w:val="0"/>
                <w:sz w:val="22"/>
                <w:szCs w:val="22"/>
                <w:lang w:val="en-US" w:eastAsia="zh-CN"/>
              </w:rPr>
              <w:t>工艺流程及产污节点图</w:t>
            </w:r>
          </w:p>
          <w:p w14:paraId="127D6C33">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b w:val="0"/>
                <w:bCs w:val="0"/>
                <w:sz w:val="24"/>
                <w:lang w:val="en-US" w:eastAsia="zh-CN"/>
              </w:rPr>
            </w:pPr>
            <w:r>
              <w:rPr>
                <w:rFonts w:hint="eastAsia"/>
                <w:b w:val="0"/>
                <w:bCs w:val="0"/>
                <w:sz w:val="24"/>
                <w:lang w:val="en-US" w:eastAsia="zh-CN"/>
              </w:rPr>
              <w:t>工业电炉装配工艺流程简述：</w:t>
            </w:r>
          </w:p>
          <w:p w14:paraId="51F443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ascii="宋体" w:hAnsi="宋体" w:eastAsia="宋体" w:cs="宋体"/>
                <w:sz w:val="24"/>
                <w:szCs w:val="24"/>
              </w:rPr>
              <w:t>核对零部件清单与图纸一致性</w:t>
            </w:r>
            <w:r>
              <w:rPr>
                <w:rFonts w:hint="eastAsia" w:ascii="宋体" w:hAnsi="宋体" w:eastAsia="宋体" w:cs="宋体"/>
                <w:sz w:val="24"/>
                <w:szCs w:val="24"/>
                <w:lang w:val="en-US" w:eastAsia="zh-CN"/>
              </w:rPr>
              <w:t>后</w:t>
            </w:r>
            <w:r>
              <w:rPr>
                <w:rFonts w:ascii="宋体" w:hAnsi="宋体" w:eastAsia="宋体" w:cs="宋体"/>
                <w:sz w:val="24"/>
                <w:szCs w:val="24"/>
              </w:rPr>
              <w:t>，调整</w:t>
            </w:r>
            <w:r>
              <w:rPr>
                <w:rFonts w:hint="eastAsia" w:ascii="宋体" w:hAnsi="宋体" w:cs="宋体"/>
                <w:sz w:val="24"/>
                <w:szCs w:val="24"/>
                <w:lang w:val="en-US" w:eastAsia="zh-CN"/>
              </w:rPr>
              <w:t>炉体和电源柜的</w:t>
            </w:r>
            <w:r>
              <w:rPr>
                <w:rFonts w:ascii="宋体" w:hAnsi="宋体" w:eastAsia="宋体" w:cs="宋体"/>
                <w:sz w:val="24"/>
                <w:szCs w:val="24"/>
              </w:rPr>
              <w:t>水平度与垂直度，确保安装精度及稳定性</w:t>
            </w:r>
            <w:r>
              <w:rPr>
                <w:rFonts w:hint="eastAsia" w:ascii="宋体" w:hAnsi="宋体" w:cs="宋体"/>
                <w:sz w:val="24"/>
                <w:szCs w:val="24"/>
                <w:lang w:eastAsia="zh-CN"/>
              </w:rPr>
              <w:t>，</w:t>
            </w:r>
            <w:r>
              <w:rPr>
                <w:rFonts w:hint="eastAsia" w:ascii="宋体" w:hAnsi="宋体" w:cs="宋体"/>
                <w:sz w:val="24"/>
                <w:szCs w:val="24"/>
                <w:lang w:val="en-US" w:eastAsia="zh-CN"/>
              </w:rPr>
              <w:t>再与配件一起</w:t>
            </w:r>
            <w:r>
              <w:rPr>
                <w:rFonts w:ascii="宋体" w:hAnsi="宋体" w:eastAsia="宋体" w:cs="宋体"/>
                <w:sz w:val="24"/>
                <w:szCs w:val="24"/>
              </w:rPr>
              <w:t>采用螺栓连接、固定等方式</w:t>
            </w:r>
            <w:r>
              <w:rPr>
                <w:rFonts w:hint="eastAsia" w:ascii="宋体" w:hAnsi="宋体" w:cs="宋体"/>
                <w:sz w:val="24"/>
                <w:szCs w:val="24"/>
                <w:lang w:val="en-US" w:eastAsia="zh-CN"/>
              </w:rPr>
              <w:t>装配得到成品工业电炉。</w:t>
            </w:r>
          </w:p>
          <w:p w14:paraId="029BF4A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val="0"/>
                <w:color w:val="auto"/>
                <w:sz w:val="24"/>
                <w:lang w:eastAsia="zh-CN"/>
              </w:rPr>
            </w:pPr>
            <w:r>
              <w:rPr>
                <w:rFonts w:hint="default" w:ascii="Times New Roman" w:hAnsi="Times New Roman" w:eastAsia="宋体" w:cs="Times New Roman"/>
                <w:b/>
                <w:bCs w:val="0"/>
                <w:color w:val="auto"/>
                <w:sz w:val="24"/>
                <w:lang w:eastAsia="zh-CN"/>
              </w:rPr>
              <w:t>项目</w:t>
            </w:r>
            <w:r>
              <w:rPr>
                <w:rFonts w:hint="default" w:ascii="Times New Roman" w:hAnsi="Times New Roman" w:eastAsia="宋体" w:cs="Times New Roman"/>
                <w:b/>
                <w:bCs w:val="0"/>
                <w:color w:val="auto"/>
                <w:sz w:val="24"/>
              </w:rPr>
              <w:t>主要污染工序</w:t>
            </w:r>
          </w:p>
          <w:p w14:paraId="7492DAB4">
            <w:pPr>
              <w:pStyle w:val="6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表</w:t>
            </w:r>
            <w:r>
              <w:rPr>
                <w:rFonts w:hint="default" w:ascii="Times New Roman" w:hAnsi="Times New Roman" w:eastAsia="宋体" w:cs="Times New Roman"/>
                <w:color w:val="auto"/>
                <w:sz w:val="22"/>
                <w:szCs w:val="22"/>
                <w:lang w:val="en-US" w:eastAsia="zh-CN"/>
              </w:rPr>
              <w:t>2</w:t>
            </w:r>
            <w:r>
              <w:rPr>
                <w:rFonts w:hint="eastAsia" w:cs="Times New Roman"/>
                <w:color w:val="auto"/>
                <w:sz w:val="22"/>
                <w:szCs w:val="22"/>
                <w:lang w:val="en-US" w:eastAsia="zh-CN"/>
              </w:rPr>
              <w:t>-13</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项</w:t>
            </w:r>
            <w:r>
              <w:rPr>
                <w:rFonts w:hint="default" w:ascii="Times New Roman" w:hAnsi="Times New Roman" w:eastAsia="宋体" w:cs="Times New Roman"/>
                <w:color w:val="auto"/>
                <w:sz w:val="22"/>
                <w:szCs w:val="22"/>
                <w:highlight w:val="none"/>
              </w:rPr>
              <w:t>目产污环节及治理措施一览</w:t>
            </w:r>
            <w:r>
              <w:rPr>
                <w:rFonts w:hint="default" w:ascii="Times New Roman" w:hAnsi="Times New Roman" w:eastAsia="宋体" w:cs="Times New Roman"/>
                <w:color w:val="auto"/>
                <w:sz w:val="22"/>
                <w:szCs w:val="22"/>
              </w:rPr>
              <w:t>表</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9"/>
              <w:gridCol w:w="798"/>
              <w:gridCol w:w="1283"/>
              <w:gridCol w:w="1961"/>
              <w:gridCol w:w="3647"/>
            </w:tblGrid>
            <w:tr w14:paraId="7C619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noWrap w:val="0"/>
                  <w:vAlign w:val="center"/>
                </w:tcPr>
                <w:p w14:paraId="547785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89" w:type="pct"/>
                  <w:noWrap w:val="0"/>
                  <w:vAlign w:val="center"/>
                </w:tcPr>
                <w:p w14:paraId="5A6AC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编号</w:t>
                  </w:r>
                </w:p>
              </w:tc>
              <w:tc>
                <w:tcPr>
                  <w:tcW w:w="787" w:type="pct"/>
                  <w:noWrap w:val="0"/>
                  <w:vAlign w:val="center"/>
                </w:tcPr>
                <w:p w14:paraId="3BE8BE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1203" w:type="pct"/>
                  <w:noWrap w:val="0"/>
                  <w:vAlign w:val="center"/>
                </w:tcPr>
                <w:p w14:paraId="5D1973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主要污染因子</w:t>
                  </w:r>
                </w:p>
              </w:tc>
              <w:tc>
                <w:tcPr>
                  <w:tcW w:w="2237" w:type="pct"/>
                  <w:noWrap w:val="0"/>
                  <w:vAlign w:val="center"/>
                </w:tcPr>
                <w:p w14:paraId="60D91F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w:t>
                  </w:r>
                </w:p>
              </w:tc>
            </w:tr>
            <w:tr w14:paraId="6F67D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restart"/>
                  <w:noWrap w:val="0"/>
                  <w:vAlign w:val="center"/>
                </w:tcPr>
                <w:p w14:paraId="1BD7E2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489" w:type="pct"/>
                  <w:noWrap w:val="0"/>
                  <w:vAlign w:val="center"/>
                </w:tcPr>
                <w:p w14:paraId="48FE13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vertAlign w:val="subscript"/>
                      <w:lang w:val="en-US" w:eastAsia="zh-CN" w:bidi="ar-SA"/>
                    </w:rPr>
                  </w:pPr>
                  <w:r>
                    <w:rPr>
                      <w:rFonts w:hint="eastAsia" w:cs="Times New Roman"/>
                      <w:color w:val="auto"/>
                      <w:kern w:val="2"/>
                      <w:sz w:val="21"/>
                      <w:szCs w:val="21"/>
                      <w:lang w:val="en-US" w:eastAsia="zh-CN" w:bidi="ar-SA"/>
                    </w:rPr>
                    <w:t>G</w:t>
                  </w:r>
                  <w:r>
                    <w:rPr>
                      <w:rFonts w:hint="eastAsia" w:cs="Times New Roman"/>
                      <w:color w:val="auto"/>
                      <w:kern w:val="2"/>
                      <w:sz w:val="21"/>
                      <w:szCs w:val="21"/>
                      <w:vertAlign w:val="subscript"/>
                      <w:lang w:val="en-US" w:eastAsia="zh-CN" w:bidi="ar-SA"/>
                    </w:rPr>
                    <w:t>1-1</w:t>
                  </w:r>
                </w:p>
                <w:p w14:paraId="708ABF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G</w:t>
                  </w:r>
                  <w:r>
                    <w:rPr>
                      <w:rFonts w:hint="eastAsia" w:cs="Times New Roman"/>
                      <w:color w:val="auto"/>
                      <w:kern w:val="2"/>
                      <w:sz w:val="21"/>
                      <w:szCs w:val="21"/>
                      <w:vertAlign w:val="subscript"/>
                      <w:lang w:val="en-US" w:eastAsia="zh-CN" w:bidi="ar-SA"/>
                    </w:rPr>
                    <w:t>2-1</w:t>
                  </w:r>
                </w:p>
              </w:tc>
              <w:tc>
                <w:tcPr>
                  <w:tcW w:w="787" w:type="pct"/>
                  <w:noWrap w:val="0"/>
                  <w:vAlign w:val="center"/>
                </w:tcPr>
                <w:p w14:paraId="2A47F55B">
                  <w:pPr>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焊接</w:t>
                  </w:r>
                </w:p>
              </w:tc>
              <w:tc>
                <w:tcPr>
                  <w:tcW w:w="1203" w:type="pct"/>
                  <w:vMerge w:val="restart"/>
                  <w:noWrap w:val="0"/>
                  <w:vAlign w:val="center"/>
                </w:tcPr>
                <w:p w14:paraId="0CFE6B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w:t>
                  </w:r>
                </w:p>
              </w:tc>
              <w:tc>
                <w:tcPr>
                  <w:tcW w:w="2237" w:type="pct"/>
                  <w:vMerge w:val="restart"/>
                  <w:noWrap w:val="0"/>
                  <w:vAlign w:val="center"/>
                </w:tcPr>
                <w:p w14:paraId="0E4565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布袋</w:t>
                  </w:r>
                  <w:r>
                    <w:rPr>
                      <w:rFonts w:hint="default" w:ascii="Times New Roman" w:hAnsi="Times New Roman" w:eastAsia="宋体" w:cs="Times New Roman"/>
                      <w:color w:val="auto"/>
                      <w:sz w:val="21"/>
                      <w:szCs w:val="21"/>
                    </w:rPr>
                    <w:t>除尘器处理后</w:t>
                  </w:r>
                  <w:r>
                    <w:rPr>
                      <w:rFonts w:hint="eastAsia" w:cs="Times New Roman"/>
                      <w:color w:val="auto"/>
                      <w:sz w:val="21"/>
                      <w:szCs w:val="21"/>
                      <w:lang w:eastAsia="zh-CN"/>
                    </w:rPr>
                    <w:t>通过</w:t>
                  </w:r>
                  <w:r>
                    <w:rPr>
                      <w:rFonts w:hint="eastAsia" w:cs="Times New Roman"/>
                      <w:color w:val="auto"/>
                      <w:sz w:val="21"/>
                      <w:szCs w:val="21"/>
                      <w:lang w:val="en-US" w:eastAsia="zh-CN"/>
                    </w:rPr>
                    <w:t>24m高排气筒</w:t>
                  </w:r>
                  <w:r>
                    <w:rPr>
                      <w:rFonts w:hint="default" w:ascii="Times New Roman" w:hAnsi="Times New Roman" w:eastAsia="宋体" w:cs="Times New Roman"/>
                      <w:color w:val="auto"/>
                      <w:sz w:val="21"/>
                      <w:szCs w:val="21"/>
                    </w:rPr>
                    <w:t>（DA00</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）排放</w:t>
                  </w:r>
                </w:p>
              </w:tc>
            </w:tr>
            <w:tr w14:paraId="7B611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4B50C9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noWrap w:val="0"/>
                  <w:vAlign w:val="center"/>
                </w:tcPr>
                <w:p w14:paraId="732FF3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vertAlign w:val="subscript"/>
                      <w:lang w:val="en-US" w:eastAsia="zh-CN" w:bidi="ar-SA"/>
                    </w:rPr>
                  </w:pPr>
                  <w:r>
                    <w:rPr>
                      <w:rFonts w:hint="eastAsia" w:cs="Times New Roman"/>
                      <w:color w:val="auto"/>
                      <w:kern w:val="2"/>
                      <w:sz w:val="21"/>
                      <w:szCs w:val="21"/>
                      <w:lang w:val="en-US" w:eastAsia="zh-CN" w:bidi="ar-SA"/>
                    </w:rPr>
                    <w:t>G</w:t>
                  </w:r>
                  <w:r>
                    <w:rPr>
                      <w:rFonts w:hint="eastAsia" w:cs="Times New Roman"/>
                      <w:color w:val="auto"/>
                      <w:kern w:val="2"/>
                      <w:sz w:val="21"/>
                      <w:szCs w:val="21"/>
                      <w:vertAlign w:val="subscript"/>
                      <w:lang w:val="en-US" w:eastAsia="zh-CN" w:bidi="ar-SA"/>
                    </w:rPr>
                    <w:t>1-2</w:t>
                  </w:r>
                </w:p>
                <w:p w14:paraId="1B10B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G</w:t>
                  </w:r>
                  <w:r>
                    <w:rPr>
                      <w:rFonts w:hint="eastAsia" w:cs="Times New Roman"/>
                      <w:color w:val="auto"/>
                      <w:kern w:val="2"/>
                      <w:sz w:val="21"/>
                      <w:szCs w:val="21"/>
                      <w:vertAlign w:val="subscript"/>
                      <w:lang w:val="en-US" w:eastAsia="zh-CN" w:bidi="ar-SA"/>
                    </w:rPr>
                    <w:t>2-2</w:t>
                  </w:r>
                </w:p>
              </w:tc>
              <w:tc>
                <w:tcPr>
                  <w:tcW w:w="787" w:type="pct"/>
                  <w:noWrap w:val="0"/>
                  <w:vAlign w:val="center"/>
                </w:tcPr>
                <w:p w14:paraId="58514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喷砂</w:t>
                  </w:r>
                </w:p>
              </w:tc>
              <w:tc>
                <w:tcPr>
                  <w:tcW w:w="1203" w:type="pct"/>
                  <w:vMerge w:val="continue"/>
                  <w:noWrap w:val="0"/>
                  <w:vAlign w:val="center"/>
                </w:tcPr>
                <w:p w14:paraId="04B50E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2237" w:type="pct"/>
                  <w:vMerge w:val="continue"/>
                  <w:noWrap w:val="0"/>
                  <w:vAlign w:val="center"/>
                </w:tcPr>
                <w:p w14:paraId="787860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01B1B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7295FCD0">
                  <w:pPr>
                    <w:jc w:val="center"/>
                  </w:pPr>
                </w:p>
              </w:tc>
              <w:tc>
                <w:tcPr>
                  <w:tcW w:w="489" w:type="pct"/>
                  <w:noWrap w:val="0"/>
                  <w:vAlign w:val="center"/>
                </w:tcPr>
                <w:p w14:paraId="03F3C4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G</w:t>
                  </w:r>
                  <w:r>
                    <w:rPr>
                      <w:rFonts w:hint="eastAsia" w:cs="Times New Roman"/>
                      <w:color w:val="auto"/>
                      <w:kern w:val="2"/>
                      <w:sz w:val="21"/>
                      <w:szCs w:val="21"/>
                      <w:vertAlign w:val="subscript"/>
                      <w:lang w:val="en-US" w:eastAsia="zh-CN" w:bidi="ar-SA"/>
                    </w:rPr>
                    <w:t>1-4</w:t>
                  </w:r>
                </w:p>
              </w:tc>
              <w:tc>
                <w:tcPr>
                  <w:tcW w:w="787" w:type="pct"/>
                  <w:noWrap w:val="0"/>
                  <w:vAlign w:val="center"/>
                </w:tcPr>
                <w:p w14:paraId="30E141EA">
                  <w:pPr>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喷塑</w:t>
                  </w:r>
                </w:p>
              </w:tc>
              <w:tc>
                <w:tcPr>
                  <w:tcW w:w="1203" w:type="pct"/>
                  <w:vMerge w:val="continue"/>
                  <w:noWrap w:val="0"/>
                  <w:vAlign w:val="center"/>
                </w:tcPr>
                <w:p w14:paraId="6A614EEB">
                  <w:pPr>
                    <w:jc w:val="center"/>
                    <w:rPr>
                      <w:rFonts w:hint="eastAsia" w:cs="Times New Roman"/>
                      <w:color w:val="auto"/>
                      <w:kern w:val="2"/>
                      <w:sz w:val="21"/>
                      <w:szCs w:val="21"/>
                      <w:lang w:val="en-US" w:eastAsia="zh-CN" w:bidi="ar-SA"/>
                    </w:rPr>
                  </w:pPr>
                </w:p>
              </w:tc>
              <w:tc>
                <w:tcPr>
                  <w:tcW w:w="2237" w:type="pct"/>
                  <w:vMerge w:val="continue"/>
                  <w:noWrap w:val="0"/>
                  <w:vAlign w:val="center"/>
                </w:tcPr>
                <w:p w14:paraId="02BC34B6">
                  <w:pPr>
                    <w:jc w:val="center"/>
                    <w:rPr>
                      <w:rFonts w:hint="default" w:cs="Times New Roman"/>
                      <w:color w:val="auto"/>
                      <w:kern w:val="2"/>
                      <w:sz w:val="21"/>
                      <w:szCs w:val="21"/>
                      <w:lang w:val="en-US" w:eastAsia="zh-CN" w:bidi="ar-SA"/>
                    </w:rPr>
                  </w:pPr>
                </w:p>
              </w:tc>
            </w:tr>
            <w:tr w14:paraId="62A2D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19B8A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noWrap w:val="0"/>
                  <w:vAlign w:val="center"/>
                </w:tcPr>
                <w:p w14:paraId="1420BA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vertAlign w:val="subscript"/>
                      <w:lang w:val="en-US" w:eastAsia="zh-CN" w:bidi="ar-SA"/>
                    </w:rPr>
                  </w:pPr>
                  <w:r>
                    <w:rPr>
                      <w:rFonts w:hint="eastAsia" w:cs="Times New Roman"/>
                      <w:color w:val="auto"/>
                      <w:kern w:val="2"/>
                      <w:sz w:val="21"/>
                      <w:szCs w:val="21"/>
                      <w:lang w:val="en-US" w:eastAsia="zh-CN" w:bidi="ar-SA"/>
                    </w:rPr>
                    <w:t>G</w:t>
                  </w:r>
                  <w:r>
                    <w:rPr>
                      <w:rFonts w:hint="eastAsia" w:cs="Times New Roman"/>
                      <w:color w:val="auto"/>
                      <w:kern w:val="2"/>
                      <w:sz w:val="21"/>
                      <w:szCs w:val="21"/>
                      <w:vertAlign w:val="subscript"/>
                      <w:lang w:val="en-US" w:eastAsia="zh-CN" w:bidi="ar-SA"/>
                    </w:rPr>
                    <w:t>1-3</w:t>
                  </w:r>
                </w:p>
                <w:p w14:paraId="01454D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G</w:t>
                  </w:r>
                  <w:r>
                    <w:rPr>
                      <w:rFonts w:hint="eastAsia" w:cs="Times New Roman"/>
                      <w:color w:val="auto"/>
                      <w:kern w:val="2"/>
                      <w:sz w:val="21"/>
                      <w:szCs w:val="21"/>
                      <w:vertAlign w:val="subscript"/>
                      <w:lang w:val="en-US" w:eastAsia="zh-CN" w:bidi="ar-SA"/>
                    </w:rPr>
                    <w:t>2-3</w:t>
                  </w:r>
                </w:p>
              </w:tc>
              <w:tc>
                <w:tcPr>
                  <w:tcW w:w="787" w:type="pct"/>
                  <w:noWrap w:val="0"/>
                  <w:vAlign w:val="center"/>
                </w:tcPr>
                <w:p w14:paraId="0705B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喷漆</w:t>
                  </w:r>
                  <w:r>
                    <w:rPr>
                      <w:rFonts w:hint="eastAsia" w:cs="Times New Roman"/>
                      <w:color w:val="auto"/>
                      <w:sz w:val="21"/>
                      <w:szCs w:val="21"/>
                      <w:lang w:val="en-US" w:eastAsia="zh-CN"/>
                    </w:rPr>
                    <w:t>（含喷枪清洗、调漆</w:t>
                  </w:r>
                  <w:r>
                    <w:rPr>
                      <w:rFonts w:hint="eastAsia" w:cs="Times New Roman"/>
                      <w:b w:val="0"/>
                      <w:bCs/>
                      <w:sz w:val="21"/>
                      <w:szCs w:val="21"/>
                      <w:vertAlign w:val="baseline"/>
                      <w:lang w:val="en-US" w:eastAsia="zh-CN"/>
                    </w:rPr>
                    <w:t>、晾干</w:t>
                  </w:r>
                  <w:r>
                    <w:rPr>
                      <w:rFonts w:hint="eastAsia" w:cs="Times New Roman"/>
                      <w:color w:val="auto"/>
                      <w:sz w:val="21"/>
                      <w:szCs w:val="21"/>
                      <w:lang w:val="en-US" w:eastAsia="zh-CN"/>
                    </w:rPr>
                    <w:t>）</w:t>
                  </w:r>
                </w:p>
              </w:tc>
              <w:tc>
                <w:tcPr>
                  <w:tcW w:w="1203" w:type="pct"/>
                  <w:noWrap w:val="0"/>
                  <w:vAlign w:val="center"/>
                </w:tcPr>
                <w:p w14:paraId="5834C8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漆雾、非甲烷总烃、二甲苯、乙酸丁酯</w:t>
                  </w:r>
                </w:p>
              </w:tc>
              <w:tc>
                <w:tcPr>
                  <w:tcW w:w="2237" w:type="pct"/>
                  <w:vMerge w:val="restart"/>
                  <w:noWrap w:val="0"/>
                  <w:vAlign w:val="center"/>
                </w:tcPr>
                <w:p w14:paraId="711215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default" w:ascii="Times New Roman" w:hAnsi="Times New Roman" w:cs="Times New Roman"/>
                      <w:sz w:val="21"/>
                      <w:szCs w:val="21"/>
                      <w:highlight w:val="none"/>
                      <w:lang w:val="en-US" w:eastAsia="zh-CN"/>
                    </w:rPr>
                    <w:t>空间密闭+管道负压收集，经</w:t>
                  </w:r>
                  <w:r>
                    <w:rPr>
                      <w:rFonts w:hint="eastAsia" w:cs="Times New Roman"/>
                      <w:sz w:val="21"/>
                      <w:szCs w:val="21"/>
                      <w:highlight w:val="none"/>
                      <w:lang w:val="en-US" w:eastAsia="zh-CN"/>
                    </w:rPr>
                    <w:t>过滤棉+吸附脱附催化燃烧设施</w:t>
                  </w:r>
                  <w:r>
                    <w:rPr>
                      <w:rFonts w:hint="default" w:ascii="Times New Roman" w:hAnsi="Times New Roman" w:cs="Times New Roman"/>
                      <w:sz w:val="21"/>
                      <w:szCs w:val="21"/>
                      <w:highlight w:val="none"/>
                      <w:lang w:val="en-US" w:eastAsia="zh-CN"/>
                    </w:rPr>
                    <w:t>处理后，最终通过2</w:t>
                  </w:r>
                  <w:r>
                    <w:rPr>
                      <w:rFonts w:hint="eastAsia" w:cs="Times New Roman"/>
                      <w:sz w:val="21"/>
                      <w:szCs w:val="21"/>
                      <w:highlight w:val="none"/>
                      <w:lang w:val="en-US" w:eastAsia="zh-CN"/>
                    </w:rPr>
                    <w:t>4m</w:t>
                  </w:r>
                  <w:r>
                    <w:rPr>
                      <w:rFonts w:hint="default" w:ascii="Times New Roman" w:hAnsi="Times New Roman" w:cs="Times New Roman"/>
                      <w:sz w:val="21"/>
                      <w:szCs w:val="21"/>
                      <w:highlight w:val="none"/>
                      <w:lang w:val="en-US" w:eastAsia="zh-CN"/>
                    </w:rPr>
                    <w:t>高排气筒</w:t>
                  </w:r>
                  <w:r>
                    <w:rPr>
                      <w:rFonts w:hint="default" w:ascii="Times New Roman" w:hAnsi="Times New Roman" w:eastAsia="宋体" w:cs="Times New Roman"/>
                      <w:color w:val="auto"/>
                      <w:sz w:val="21"/>
                      <w:szCs w:val="21"/>
                    </w:rPr>
                    <w:t>（DA00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default" w:ascii="Times New Roman" w:hAnsi="Times New Roman" w:cs="Times New Roman"/>
                      <w:sz w:val="21"/>
                      <w:szCs w:val="21"/>
                      <w:highlight w:val="none"/>
                      <w:lang w:val="en-US" w:eastAsia="zh-CN"/>
                    </w:rPr>
                    <w:t>达标排放</w:t>
                  </w:r>
                </w:p>
              </w:tc>
            </w:tr>
            <w:tr w14:paraId="3629D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3EF2DC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noWrap w:val="0"/>
                  <w:vAlign w:val="center"/>
                </w:tcPr>
                <w:p w14:paraId="2A050B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w:t>
                  </w:r>
                  <w:r>
                    <w:rPr>
                      <w:rFonts w:hint="eastAsia" w:cs="Times New Roman"/>
                      <w:color w:val="auto"/>
                      <w:sz w:val="21"/>
                      <w:szCs w:val="21"/>
                      <w:vertAlign w:val="subscript"/>
                      <w:lang w:val="en-US" w:eastAsia="zh-CN"/>
                    </w:rPr>
                    <w:t>1-5</w:t>
                  </w:r>
                </w:p>
              </w:tc>
              <w:tc>
                <w:tcPr>
                  <w:tcW w:w="787" w:type="pct"/>
                  <w:noWrap w:val="0"/>
                  <w:vAlign w:val="center"/>
                </w:tcPr>
                <w:p w14:paraId="126CB6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烘干</w:t>
                  </w:r>
                </w:p>
              </w:tc>
              <w:tc>
                <w:tcPr>
                  <w:tcW w:w="1203" w:type="pct"/>
                  <w:vMerge w:val="restart"/>
                  <w:noWrap w:val="0"/>
                  <w:vAlign w:val="center"/>
                </w:tcPr>
                <w:p w14:paraId="4B0857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2237" w:type="pct"/>
                  <w:vMerge w:val="continue"/>
                  <w:noWrap w:val="0"/>
                  <w:vAlign w:val="center"/>
                </w:tcPr>
                <w:p w14:paraId="397392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lang w:val="en-US" w:eastAsia="zh-CN"/>
                    </w:rPr>
                  </w:pPr>
                </w:p>
              </w:tc>
            </w:tr>
            <w:tr w14:paraId="5E6F6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2BCB8B24">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489" w:type="pct"/>
                  <w:noWrap w:val="0"/>
                  <w:vAlign w:val="center"/>
                </w:tcPr>
                <w:p w14:paraId="125921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w:t>
                  </w:r>
                  <w:r>
                    <w:rPr>
                      <w:rFonts w:hint="eastAsia" w:cs="Times New Roman"/>
                      <w:color w:val="auto"/>
                      <w:sz w:val="21"/>
                      <w:szCs w:val="21"/>
                      <w:vertAlign w:val="subscript"/>
                      <w:lang w:val="en-US" w:eastAsia="zh-CN"/>
                    </w:rPr>
                    <w:t>2-4</w:t>
                  </w:r>
                </w:p>
              </w:tc>
              <w:tc>
                <w:tcPr>
                  <w:tcW w:w="787" w:type="pct"/>
                  <w:noWrap w:val="0"/>
                  <w:vAlign w:val="center"/>
                </w:tcPr>
                <w:p w14:paraId="413D9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浇注固化</w:t>
                  </w:r>
                </w:p>
              </w:tc>
              <w:tc>
                <w:tcPr>
                  <w:tcW w:w="1203" w:type="pct"/>
                  <w:vMerge w:val="continue"/>
                  <w:noWrap w:val="0"/>
                  <w:vAlign w:val="center"/>
                </w:tcPr>
                <w:p w14:paraId="2025AE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237" w:type="pct"/>
                  <w:vMerge w:val="continue"/>
                  <w:noWrap w:val="0"/>
                  <w:vAlign w:val="center"/>
                </w:tcPr>
                <w:p w14:paraId="5D384A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p>
              </w:tc>
            </w:tr>
            <w:tr w14:paraId="1454F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restart"/>
                  <w:noWrap w:val="0"/>
                  <w:vAlign w:val="center"/>
                </w:tcPr>
                <w:p w14:paraId="7230F0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废水</w:t>
                  </w:r>
                </w:p>
              </w:tc>
              <w:tc>
                <w:tcPr>
                  <w:tcW w:w="489" w:type="pct"/>
                  <w:shd w:val="clear" w:color="auto" w:fill="auto"/>
                  <w:noWrap w:val="0"/>
                  <w:vAlign w:val="center"/>
                </w:tcPr>
                <w:p w14:paraId="08587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w:t>
                  </w:r>
                </w:p>
              </w:tc>
              <w:tc>
                <w:tcPr>
                  <w:tcW w:w="787" w:type="pct"/>
                  <w:shd w:val="clear" w:color="auto" w:fill="auto"/>
                  <w:noWrap w:val="0"/>
                  <w:vAlign w:val="center"/>
                </w:tcPr>
                <w:p w14:paraId="24B0D6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生产废水</w:t>
                  </w:r>
                </w:p>
              </w:tc>
              <w:tc>
                <w:tcPr>
                  <w:tcW w:w="1203" w:type="pct"/>
                  <w:shd w:val="clear" w:color="auto" w:fill="auto"/>
                  <w:noWrap w:val="0"/>
                  <w:vAlign w:val="center"/>
                </w:tcPr>
                <w:p w14:paraId="185D4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2237" w:type="pct"/>
                  <w:shd w:val="clear" w:color="auto" w:fill="auto"/>
                  <w:noWrap w:val="0"/>
                  <w:vAlign w:val="center"/>
                </w:tcPr>
                <w:p w14:paraId="0A2526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循环使用不外排</w:t>
                  </w:r>
                </w:p>
              </w:tc>
            </w:tr>
            <w:tr w14:paraId="2306C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131FB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c>
                <w:tcPr>
                  <w:tcW w:w="489" w:type="pct"/>
                  <w:shd w:val="clear" w:color="auto" w:fill="auto"/>
                  <w:noWrap w:val="0"/>
                  <w:vAlign w:val="center"/>
                </w:tcPr>
                <w:p w14:paraId="1525BB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787" w:type="pct"/>
                  <w:shd w:val="clear" w:color="auto" w:fill="auto"/>
                  <w:noWrap w:val="0"/>
                  <w:vAlign w:val="center"/>
                </w:tcPr>
                <w:p w14:paraId="0BD854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生活污水</w:t>
                  </w:r>
                </w:p>
              </w:tc>
              <w:tc>
                <w:tcPr>
                  <w:tcW w:w="1203" w:type="pct"/>
                  <w:shd w:val="clear" w:color="auto" w:fill="auto"/>
                  <w:noWrap w:val="0"/>
                  <w:vAlign w:val="center"/>
                </w:tcPr>
                <w:p w14:paraId="06E5F4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pH、COD、BOD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、悬浮物、氨氮等</w:t>
                  </w:r>
                </w:p>
              </w:tc>
              <w:tc>
                <w:tcPr>
                  <w:tcW w:w="2237" w:type="pct"/>
                  <w:shd w:val="clear" w:color="auto" w:fill="auto"/>
                  <w:noWrap w:val="0"/>
                  <w:vAlign w:val="center"/>
                </w:tcPr>
                <w:p w14:paraId="763D31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经</w:t>
                  </w:r>
                  <w:r>
                    <w:rPr>
                      <w:rFonts w:hint="eastAsia" w:ascii="Times New Roman" w:hAnsi="Times New Roman" w:eastAsia="宋体" w:cs="Times New Roman"/>
                      <w:color w:val="auto"/>
                      <w:sz w:val="21"/>
                      <w:szCs w:val="21"/>
                      <w:lang w:eastAsia="zh-CN"/>
                    </w:rPr>
                    <w:t>化粪池</w:t>
                  </w:r>
                  <w:r>
                    <w:rPr>
                      <w:rFonts w:hint="eastAsia" w:cs="Times New Roman"/>
                      <w:color w:val="auto"/>
                      <w:sz w:val="21"/>
                      <w:szCs w:val="21"/>
                      <w:lang w:val="en-US" w:eastAsia="zh-CN"/>
                    </w:rPr>
                    <w:t>预</w:t>
                  </w:r>
                  <w:r>
                    <w:rPr>
                      <w:rFonts w:hint="default"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eastAsia="zh-CN"/>
                    </w:rPr>
                    <w:t>通过</w:t>
                  </w:r>
                  <w:r>
                    <w:rPr>
                      <w:rFonts w:hint="eastAsia" w:cs="Times New Roman"/>
                      <w:color w:val="auto"/>
                      <w:sz w:val="21"/>
                      <w:szCs w:val="21"/>
                      <w:lang w:val="en-US" w:eastAsia="zh-CN"/>
                    </w:rPr>
                    <w:t>市政</w:t>
                  </w:r>
                  <w:r>
                    <w:rPr>
                      <w:rFonts w:hint="default" w:ascii="Times New Roman" w:hAnsi="Times New Roman" w:eastAsia="宋体" w:cs="Times New Roman"/>
                      <w:color w:val="auto"/>
                      <w:sz w:val="21"/>
                      <w:szCs w:val="21"/>
                    </w:rPr>
                    <w:t>污水管网排入</w:t>
                  </w:r>
                  <w:r>
                    <w:rPr>
                      <w:rFonts w:hint="eastAsia" w:cs="Times New Roman"/>
                      <w:color w:val="auto"/>
                      <w:sz w:val="21"/>
                      <w:szCs w:val="21"/>
                      <w:lang w:eastAsia="zh-CN"/>
                    </w:rPr>
                    <w:t>淮北市</w:t>
                  </w:r>
                  <w:r>
                    <w:rPr>
                      <w:rFonts w:hint="eastAsia" w:cs="Times New Roman"/>
                      <w:color w:val="auto"/>
                      <w:sz w:val="21"/>
                      <w:szCs w:val="21"/>
                      <w:lang w:val="en-US" w:eastAsia="zh-CN"/>
                    </w:rPr>
                    <w:t>龙湖工业园</w:t>
                  </w:r>
                  <w:r>
                    <w:rPr>
                      <w:rFonts w:hint="eastAsia" w:cs="Times New Roman"/>
                      <w:color w:val="auto"/>
                      <w:sz w:val="21"/>
                      <w:szCs w:val="21"/>
                      <w:lang w:eastAsia="zh-CN"/>
                    </w:rPr>
                    <w:t>污水处理厂</w:t>
                  </w:r>
                  <w:r>
                    <w:rPr>
                      <w:rFonts w:hint="default" w:ascii="Times New Roman" w:hAnsi="Times New Roman" w:eastAsia="宋体" w:cs="Times New Roman"/>
                      <w:color w:val="auto"/>
                      <w:sz w:val="21"/>
                      <w:szCs w:val="21"/>
                    </w:rPr>
                    <w:t>进行集中处理。</w:t>
                  </w:r>
                </w:p>
              </w:tc>
            </w:tr>
            <w:tr w14:paraId="1DA7E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noWrap w:val="0"/>
                  <w:vAlign w:val="center"/>
                </w:tcPr>
                <w:p w14:paraId="017C5E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489" w:type="pct"/>
                  <w:noWrap w:val="0"/>
                  <w:vAlign w:val="center"/>
                </w:tcPr>
                <w:p w14:paraId="2DEF7A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N</w:t>
                  </w:r>
                </w:p>
              </w:tc>
              <w:tc>
                <w:tcPr>
                  <w:tcW w:w="787" w:type="pct"/>
                  <w:noWrap w:val="0"/>
                  <w:vAlign w:val="center"/>
                </w:tcPr>
                <w:p w14:paraId="10C3B2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生产设备</w:t>
                  </w:r>
                </w:p>
              </w:tc>
              <w:tc>
                <w:tcPr>
                  <w:tcW w:w="1203" w:type="pct"/>
                  <w:noWrap w:val="0"/>
                  <w:vAlign w:val="center"/>
                </w:tcPr>
                <w:p w14:paraId="6A438B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设备噪声</w:t>
                  </w:r>
                </w:p>
              </w:tc>
              <w:tc>
                <w:tcPr>
                  <w:tcW w:w="2237" w:type="pct"/>
                  <w:noWrap w:val="0"/>
                  <w:vAlign w:val="center"/>
                </w:tcPr>
                <w:p w14:paraId="5EB253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隔声、消声、减振、设备定期保养、绿化等</w:t>
                  </w:r>
                </w:p>
              </w:tc>
            </w:tr>
            <w:tr w14:paraId="4B69A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restart"/>
                  <w:noWrap w:val="0"/>
                  <w:vAlign w:val="center"/>
                </w:tcPr>
                <w:p w14:paraId="29A993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489" w:type="pct"/>
                  <w:noWrap w:val="0"/>
                  <w:vAlign w:val="center"/>
                </w:tcPr>
                <w:p w14:paraId="1F6655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87" w:type="pct"/>
                  <w:noWrap w:val="0"/>
                  <w:vAlign w:val="center"/>
                </w:tcPr>
                <w:p w14:paraId="2D311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员工生活</w:t>
                  </w:r>
                </w:p>
              </w:tc>
              <w:tc>
                <w:tcPr>
                  <w:tcW w:w="1203" w:type="pct"/>
                  <w:noWrap w:val="0"/>
                  <w:vAlign w:val="center"/>
                </w:tcPr>
                <w:p w14:paraId="450DFE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237" w:type="pct"/>
                  <w:noWrap w:val="0"/>
                  <w:vAlign w:val="center"/>
                </w:tcPr>
                <w:p w14:paraId="7065A6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设置垃圾桶，交环卫部门处理</w:t>
                  </w:r>
                </w:p>
              </w:tc>
            </w:tr>
            <w:tr w14:paraId="2EAB5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48423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noWrap w:val="0"/>
                  <w:vAlign w:val="center"/>
                </w:tcPr>
                <w:p w14:paraId="59FA9C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S</w:t>
                  </w:r>
                  <w:r>
                    <w:rPr>
                      <w:rFonts w:hint="eastAsia" w:cs="Times New Roman"/>
                      <w:color w:val="auto"/>
                      <w:sz w:val="21"/>
                      <w:szCs w:val="21"/>
                      <w:vertAlign w:val="subscript"/>
                      <w:lang w:val="en-US" w:eastAsia="zh-CN"/>
                    </w:rPr>
                    <w:t>1-1</w:t>
                  </w:r>
                </w:p>
                <w:p w14:paraId="3613B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S</w:t>
                  </w:r>
                  <w:r>
                    <w:rPr>
                      <w:rFonts w:hint="eastAsia" w:cs="Times New Roman"/>
                      <w:color w:val="auto"/>
                      <w:sz w:val="21"/>
                      <w:szCs w:val="21"/>
                      <w:vertAlign w:val="subscript"/>
                      <w:lang w:val="en-US" w:eastAsia="zh-CN"/>
                    </w:rPr>
                    <w:t>2-1</w:t>
                  </w:r>
                </w:p>
              </w:tc>
              <w:tc>
                <w:tcPr>
                  <w:tcW w:w="787" w:type="pct"/>
                  <w:noWrap w:val="0"/>
                  <w:vAlign w:val="center"/>
                </w:tcPr>
                <w:p w14:paraId="292F2A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下料</w:t>
                  </w:r>
                </w:p>
              </w:tc>
              <w:tc>
                <w:tcPr>
                  <w:tcW w:w="1203" w:type="pct"/>
                  <w:noWrap w:val="0"/>
                  <w:vAlign w:val="center"/>
                </w:tcPr>
                <w:p w14:paraId="7A4018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lang w:eastAsia="zh-CN"/>
                    </w:rPr>
                    <w:t>边角料</w:t>
                  </w:r>
                </w:p>
              </w:tc>
              <w:tc>
                <w:tcPr>
                  <w:tcW w:w="2237" w:type="pct"/>
                  <w:vMerge w:val="restart"/>
                  <w:noWrap w:val="0"/>
                  <w:vAlign w:val="center"/>
                </w:tcPr>
                <w:p w14:paraId="1BB05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经厂区</w:t>
                  </w:r>
                  <w:r>
                    <w:rPr>
                      <w:rFonts w:hint="eastAsia" w:ascii="Times New Roman" w:hAnsi="Times New Roman" w:eastAsia="宋体" w:cs="Times New Roman"/>
                      <w:color w:val="auto"/>
                      <w:sz w:val="21"/>
                      <w:szCs w:val="21"/>
                      <w:highlight w:val="none"/>
                      <w:lang w:val="en-US" w:eastAsia="zh-CN"/>
                    </w:rPr>
                    <w:t>一般固废</w:t>
                  </w:r>
                  <w:r>
                    <w:rPr>
                      <w:rFonts w:hint="default" w:ascii="Times New Roman" w:hAnsi="Times New Roman" w:eastAsia="宋体" w:cs="Times New Roman"/>
                      <w:color w:val="auto"/>
                      <w:sz w:val="21"/>
                      <w:szCs w:val="21"/>
                      <w:highlight w:val="none"/>
                    </w:rPr>
                    <w:t>暂存</w:t>
                  </w:r>
                  <w:r>
                    <w:rPr>
                      <w:rFonts w:hint="eastAsia"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rPr>
                    <w:t>暂存后定期外售</w:t>
                  </w:r>
                </w:p>
              </w:tc>
            </w:tr>
            <w:tr w14:paraId="114D2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32B4B3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noWrap w:val="0"/>
                  <w:vAlign w:val="center"/>
                </w:tcPr>
                <w:p w14:paraId="55DFD1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S</w:t>
                  </w:r>
                  <w:r>
                    <w:rPr>
                      <w:rFonts w:hint="eastAsia" w:cs="Times New Roman"/>
                      <w:color w:val="auto"/>
                      <w:sz w:val="21"/>
                      <w:szCs w:val="21"/>
                      <w:vertAlign w:val="subscript"/>
                      <w:lang w:val="en-US" w:eastAsia="zh-CN"/>
                    </w:rPr>
                    <w:t>1-3</w:t>
                  </w:r>
                </w:p>
              </w:tc>
              <w:tc>
                <w:tcPr>
                  <w:tcW w:w="787" w:type="pct"/>
                  <w:noWrap w:val="0"/>
                  <w:vAlign w:val="center"/>
                </w:tcPr>
                <w:p w14:paraId="518EF7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喷塑</w:t>
                  </w:r>
                </w:p>
              </w:tc>
              <w:tc>
                <w:tcPr>
                  <w:tcW w:w="1203" w:type="pct"/>
                  <w:noWrap w:val="0"/>
                  <w:vAlign w:val="center"/>
                </w:tcPr>
                <w:p w14:paraId="54B9F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塑粉包装袋</w:t>
                  </w:r>
                </w:p>
              </w:tc>
              <w:tc>
                <w:tcPr>
                  <w:tcW w:w="2237" w:type="pct"/>
                  <w:vMerge w:val="continue"/>
                  <w:noWrap w:val="0"/>
                  <w:vAlign w:val="center"/>
                </w:tcPr>
                <w:p w14:paraId="61DD7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p>
              </w:tc>
            </w:tr>
            <w:tr w14:paraId="0AC5E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3AF653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vMerge w:val="restart"/>
                  <w:noWrap w:val="0"/>
                  <w:vAlign w:val="center"/>
                </w:tcPr>
                <w:p w14:paraId="7C24A5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787" w:type="pct"/>
                  <w:vMerge w:val="restart"/>
                  <w:noWrap w:val="0"/>
                  <w:vAlign w:val="center"/>
                </w:tcPr>
                <w:p w14:paraId="653D35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废气处理</w:t>
                  </w:r>
                </w:p>
              </w:tc>
              <w:tc>
                <w:tcPr>
                  <w:tcW w:w="1203" w:type="pct"/>
                  <w:noWrap w:val="0"/>
                  <w:vAlign w:val="center"/>
                </w:tcPr>
                <w:p w14:paraId="030C1F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收集尘</w:t>
                  </w:r>
                </w:p>
              </w:tc>
              <w:tc>
                <w:tcPr>
                  <w:tcW w:w="2237" w:type="pct"/>
                  <w:vMerge w:val="continue"/>
                  <w:noWrap w:val="0"/>
                  <w:vAlign w:val="center"/>
                </w:tcPr>
                <w:p w14:paraId="573546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0607F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2B1777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vMerge w:val="continue"/>
                  <w:noWrap w:val="0"/>
                  <w:vAlign w:val="center"/>
                </w:tcPr>
                <w:p w14:paraId="1517FD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p>
              </w:tc>
              <w:tc>
                <w:tcPr>
                  <w:tcW w:w="787" w:type="pct"/>
                  <w:vMerge w:val="continue"/>
                  <w:noWrap w:val="0"/>
                  <w:vAlign w:val="center"/>
                </w:tcPr>
                <w:p w14:paraId="0C91E04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color w:val="auto"/>
                      <w:sz w:val="21"/>
                      <w:szCs w:val="21"/>
                      <w:lang w:val="en-US" w:eastAsia="zh-CN"/>
                    </w:rPr>
                  </w:pPr>
                </w:p>
              </w:tc>
              <w:tc>
                <w:tcPr>
                  <w:tcW w:w="1203" w:type="pct"/>
                  <w:noWrap w:val="0"/>
                  <w:vAlign w:val="center"/>
                </w:tcPr>
                <w:p w14:paraId="6A07FA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废布袋</w:t>
                  </w:r>
                </w:p>
              </w:tc>
              <w:tc>
                <w:tcPr>
                  <w:tcW w:w="2237" w:type="pct"/>
                  <w:vMerge w:val="continue"/>
                  <w:noWrap w:val="0"/>
                  <w:vAlign w:val="center"/>
                </w:tcPr>
                <w:p w14:paraId="181F64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3E6D8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5A58F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noWrap w:val="0"/>
                  <w:vAlign w:val="center"/>
                </w:tcPr>
                <w:p w14:paraId="6887E8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787" w:type="pct"/>
                  <w:noWrap w:val="0"/>
                  <w:vAlign w:val="center"/>
                </w:tcPr>
                <w:p w14:paraId="2BFE88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废气处理</w:t>
                  </w:r>
                </w:p>
              </w:tc>
              <w:tc>
                <w:tcPr>
                  <w:tcW w:w="1203" w:type="pct"/>
                  <w:noWrap w:val="0"/>
                  <w:vAlign w:val="center"/>
                </w:tcPr>
                <w:p w14:paraId="08325B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废过滤棉</w:t>
                  </w:r>
                </w:p>
              </w:tc>
              <w:tc>
                <w:tcPr>
                  <w:tcW w:w="2237" w:type="pct"/>
                  <w:vMerge w:val="restart"/>
                  <w:noWrap w:val="0"/>
                  <w:vAlign w:val="center"/>
                </w:tcPr>
                <w:p w14:paraId="56CD9D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经厂区危废暂存</w:t>
                  </w:r>
                  <w:r>
                    <w:rPr>
                      <w:rFonts w:hint="default" w:ascii="Times New Roman" w:hAnsi="Times New Roman" w:eastAsia="宋体" w:cs="Times New Roman"/>
                      <w:color w:val="auto"/>
                      <w:sz w:val="21"/>
                      <w:szCs w:val="21"/>
                      <w:lang w:eastAsia="zh-CN"/>
                    </w:rPr>
                    <w:t>间</w:t>
                  </w:r>
                  <w:r>
                    <w:rPr>
                      <w:rFonts w:hint="default" w:ascii="Times New Roman" w:hAnsi="Times New Roman" w:eastAsia="宋体" w:cs="Times New Roman"/>
                      <w:color w:val="auto"/>
                      <w:sz w:val="21"/>
                      <w:szCs w:val="21"/>
                    </w:rPr>
                    <w:t>暂存后定期委托资质单位处置</w:t>
                  </w:r>
                </w:p>
              </w:tc>
            </w:tr>
            <w:tr w14:paraId="7FCA3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3D2085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vMerge w:val="restart"/>
                  <w:noWrap w:val="0"/>
                  <w:vAlign w:val="center"/>
                </w:tcPr>
                <w:p w14:paraId="04CB2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S</w:t>
                  </w:r>
                  <w:r>
                    <w:rPr>
                      <w:rFonts w:hint="eastAsia" w:cs="Times New Roman"/>
                      <w:color w:val="auto"/>
                      <w:sz w:val="21"/>
                      <w:szCs w:val="21"/>
                      <w:vertAlign w:val="subscript"/>
                      <w:lang w:val="en-US" w:eastAsia="zh-CN"/>
                    </w:rPr>
                    <w:t>1-2</w:t>
                  </w:r>
                </w:p>
                <w:p w14:paraId="1FE9B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S</w:t>
                  </w:r>
                  <w:r>
                    <w:rPr>
                      <w:rFonts w:hint="eastAsia" w:cs="Times New Roman"/>
                      <w:color w:val="auto"/>
                      <w:sz w:val="21"/>
                      <w:szCs w:val="21"/>
                      <w:vertAlign w:val="subscript"/>
                      <w:lang w:val="en-US" w:eastAsia="zh-CN"/>
                    </w:rPr>
                    <w:t>2-2</w:t>
                  </w:r>
                </w:p>
              </w:tc>
              <w:tc>
                <w:tcPr>
                  <w:tcW w:w="787" w:type="pct"/>
                  <w:vMerge w:val="restart"/>
                  <w:noWrap w:val="0"/>
                  <w:vAlign w:val="center"/>
                </w:tcPr>
                <w:p w14:paraId="0B1C85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喷漆</w:t>
                  </w:r>
                  <w:r>
                    <w:rPr>
                      <w:rFonts w:hint="eastAsia" w:cs="Times New Roman"/>
                      <w:sz w:val="21"/>
                      <w:szCs w:val="21"/>
                      <w:highlight w:val="none"/>
                      <w:lang w:val="en-US" w:eastAsia="zh-CN"/>
                    </w:rPr>
                    <w:t>（含喷枪清洗、调漆</w:t>
                  </w:r>
                  <w:r>
                    <w:rPr>
                      <w:rFonts w:hint="eastAsia" w:cs="Times New Roman"/>
                      <w:b w:val="0"/>
                      <w:bCs/>
                      <w:sz w:val="21"/>
                      <w:szCs w:val="21"/>
                      <w:vertAlign w:val="baseline"/>
                      <w:lang w:val="en-US" w:eastAsia="zh-CN"/>
                    </w:rPr>
                    <w:t>、晾干</w:t>
                  </w:r>
                  <w:r>
                    <w:rPr>
                      <w:rFonts w:hint="eastAsia" w:cs="Times New Roman"/>
                      <w:sz w:val="21"/>
                      <w:szCs w:val="21"/>
                      <w:highlight w:val="none"/>
                      <w:lang w:val="en-US" w:eastAsia="zh-CN"/>
                    </w:rPr>
                    <w:t>）</w:t>
                  </w:r>
                </w:p>
              </w:tc>
              <w:tc>
                <w:tcPr>
                  <w:tcW w:w="1203" w:type="pct"/>
                  <w:noWrap w:val="0"/>
                  <w:vAlign w:val="center"/>
                </w:tcPr>
                <w:p w14:paraId="0570F1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olor w:val="auto"/>
                      <w:sz w:val="21"/>
                      <w:szCs w:val="21"/>
                    </w:rPr>
                    <w:t>漆渣</w:t>
                  </w:r>
                </w:p>
              </w:tc>
              <w:tc>
                <w:tcPr>
                  <w:tcW w:w="2237" w:type="pct"/>
                  <w:vMerge w:val="continue"/>
                  <w:noWrap w:val="0"/>
                  <w:vAlign w:val="center"/>
                </w:tcPr>
                <w:p w14:paraId="3A3604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305FE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060CEE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vMerge w:val="continue"/>
                  <w:noWrap w:val="0"/>
                  <w:vAlign w:val="center"/>
                </w:tcPr>
                <w:p w14:paraId="49EB2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c>
                <w:tcPr>
                  <w:tcW w:w="787" w:type="pct"/>
                  <w:vMerge w:val="continue"/>
                  <w:noWrap w:val="0"/>
                  <w:vAlign w:val="center"/>
                </w:tcPr>
                <w:p w14:paraId="69D54A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c>
                <w:tcPr>
                  <w:tcW w:w="1203" w:type="pct"/>
                  <w:noWrap w:val="0"/>
                  <w:vAlign w:val="center"/>
                </w:tcPr>
                <w:p w14:paraId="2A0B0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rPr>
                  </w:pPr>
                  <w:r>
                    <w:rPr>
                      <w:rFonts w:hint="eastAsia" w:cs="Times New Roman"/>
                      <w:color w:val="auto"/>
                      <w:sz w:val="21"/>
                      <w:szCs w:val="21"/>
                      <w:lang w:val="en-US" w:eastAsia="zh-CN"/>
                    </w:rPr>
                    <w:t>废漆桶</w:t>
                  </w:r>
                </w:p>
              </w:tc>
              <w:tc>
                <w:tcPr>
                  <w:tcW w:w="2237" w:type="pct"/>
                  <w:vMerge w:val="continue"/>
                  <w:noWrap w:val="0"/>
                  <w:vAlign w:val="center"/>
                </w:tcPr>
                <w:p w14:paraId="0CCA3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46348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242169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vMerge w:val="restart"/>
                  <w:noWrap w:val="0"/>
                  <w:vAlign w:val="center"/>
                </w:tcPr>
                <w:p w14:paraId="37DCC4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S</w:t>
                  </w:r>
                  <w:r>
                    <w:rPr>
                      <w:rFonts w:hint="eastAsia" w:cs="Times New Roman"/>
                      <w:color w:val="auto"/>
                      <w:sz w:val="21"/>
                      <w:szCs w:val="21"/>
                      <w:vertAlign w:val="subscript"/>
                      <w:lang w:val="en-US" w:eastAsia="zh-CN"/>
                    </w:rPr>
                    <w:t>1-1</w:t>
                  </w:r>
                </w:p>
                <w:p w14:paraId="6BA7B7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S</w:t>
                  </w:r>
                  <w:r>
                    <w:rPr>
                      <w:rFonts w:hint="eastAsia" w:cs="Times New Roman"/>
                      <w:color w:val="auto"/>
                      <w:sz w:val="21"/>
                      <w:szCs w:val="21"/>
                      <w:vertAlign w:val="subscript"/>
                      <w:lang w:val="en-US" w:eastAsia="zh-CN"/>
                    </w:rPr>
                    <w:t>2-1</w:t>
                  </w:r>
                </w:p>
              </w:tc>
              <w:tc>
                <w:tcPr>
                  <w:tcW w:w="787" w:type="pct"/>
                  <w:vMerge w:val="restart"/>
                  <w:noWrap w:val="0"/>
                  <w:vAlign w:val="center"/>
                </w:tcPr>
                <w:p w14:paraId="6AAEF3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下料</w:t>
                  </w:r>
                </w:p>
              </w:tc>
              <w:tc>
                <w:tcPr>
                  <w:tcW w:w="1203" w:type="pct"/>
                  <w:noWrap w:val="0"/>
                  <w:vAlign w:val="center"/>
                </w:tcPr>
                <w:p w14:paraId="370296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废液压油（桶）</w:t>
                  </w:r>
                </w:p>
              </w:tc>
              <w:tc>
                <w:tcPr>
                  <w:tcW w:w="2237" w:type="pct"/>
                  <w:vMerge w:val="continue"/>
                  <w:noWrap w:val="0"/>
                  <w:vAlign w:val="center"/>
                </w:tcPr>
                <w:p w14:paraId="2BF035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17CF6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63577D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vMerge w:val="continue"/>
                  <w:noWrap w:val="0"/>
                  <w:vAlign w:val="center"/>
                </w:tcPr>
                <w:p w14:paraId="022404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c>
                <w:tcPr>
                  <w:tcW w:w="787" w:type="pct"/>
                  <w:vMerge w:val="continue"/>
                  <w:noWrap w:val="0"/>
                  <w:vAlign w:val="center"/>
                </w:tcPr>
                <w:p w14:paraId="5B9F3B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c>
                <w:tcPr>
                  <w:tcW w:w="1203" w:type="pct"/>
                  <w:noWrap w:val="0"/>
                  <w:vAlign w:val="center"/>
                </w:tcPr>
                <w:p w14:paraId="08D9E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废切削液</w:t>
                  </w:r>
                </w:p>
              </w:tc>
              <w:tc>
                <w:tcPr>
                  <w:tcW w:w="2237" w:type="pct"/>
                  <w:vMerge w:val="continue"/>
                  <w:noWrap w:val="0"/>
                  <w:vAlign w:val="center"/>
                </w:tcPr>
                <w:p w14:paraId="31943C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45F4F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1417AD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noWrap w:val="0"/>
                  <w:vAlign w:val="center"/>
                </w:tcPr>
                <w:p w14:paraId="57B109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S</w:t>
                  </w:r>
                  <w:r>
                    <w:rPr>
                      <w:rFonts w:hint="eastAsia" w:cs="Times New Roman"/>
                      <w:color w:val="auto"/>
                      <w:sz w:val="21"/>
                      <w:szCs w:val="21"/>
                      <w:vertAlign w:val="subscript"/>
                      <w:lang w:val="en-US" w:eastAsia="zh-CN"/>
                    </w:rPr>
                    <w:t>2-3</w:t>
                  </w:r>
                </w:p>
              </w:tc>
              <w:tc>
                <w:tcPr>
                  <w:tcW w:w="787" w:type="pct"/>
                  <w:noWrap w:val="0"/>
                  <w:vAlign w:val="center"/>
                </w:tcPr>
                <w:p w14:paraId="78E3C5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浇注固化</w:t>
                  </w:r>
                </w:p>
              </w:tc>
              <w:tc>
                <w:tcPr>
                  <w:tcW w:w="1203" w:type="pct"/>
                  <w:noWrap w:val="0"/>
                  <w:vAlign w:val="center"/>
                </w:tcPr>
                <w:p w14:paraId="2F5D1E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废封装料桶</w:t>
                  </w:r>
                </w:p>
              </w:tc>
              <w:tc>
                <w:tcPr>
                  <w:tcW w:w="2237" w:type="pct"/>
                  <w:vMerge w:val="continue"/>
                  <w:noWrap w:val="0"/>
                  <w:vAlign w:val="center"/>
                </w:tcPr>
                <w:p w14:paraId="53B601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639A0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0FCE35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vMerge w:val="restart"/>
                  <w:noWrap w:val="0"/>
                  <w:vAlign w:val="center"/>
                </w:tcPr>
                <w:p w14:paraId="26AD74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787" w:type="pct"/>
                  <w:vMerge w:val="restart"/>
                  <w:noWrap w:val="0"/>
                  <w:vAlign w:val="center"/>
                </w:tcPr>
                <w:p w14:paraId="2631DD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设备维修</w:t>
                  </w:r>
                </w:p>
              </w:tc>
              <w:tc>
                <w:tcPr>
                  <w:tcW w:w="1203" w:type="pct"/>
                  <w:noWrap w:val="0"/>
                  <w:vAlign w:val="center"/>
                </w:tcPr>
                <w:p w14:paraId="189EB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废机油</w:t>
                  </w:r>
                </w:p>
              </w:tc>
              <w:tc>
                <w:tcPr>
                  <w:tcW w:w="2237" w:type="pct"/>
                  <w:vMerge w:val="continue"/>
                  <w:noWrap w:val="0"/>
                  <w:vAlign w:val="center"/>
                </w:tcPr>
                <w:p w14:paraId="672DCE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28C5E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1" w:type="pct"/>
                  <w:vMerge w:val="continue"/>
                  <w:noWrap w:val="0"/>
                  <w:vAlign w:val="center"/>
                </w:tcPr>
                <w:p w14:paraId="570CDE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489" w:type="pct"/>
                  <w:vMerge w:val="continue"/>
                  <w:noWrap w:val="0"/>
                  <w:vAlign w:val="center"/>
                </w:tcPr>
                <w:p w14:paraId="0B7FC5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c>
                <w:tcPr>
                  <w:tcW w:w="787" w:type="pct"/>
                  <w:vMerge w:val="continue"/>
                  <w:noWrap w:val="0"/>
                  <w:vAlign w:val="center"/>
                </w:tcPr>
                <w:p w14:paraId="32D5B8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c>
                <w:tcPr>
                  <w:tcW w:w="1203" w:type="pct"/>
                  <w:noWrap w:val="0"/>
                  <w:vAlign w:val="center"/>
                </w:tcPr>
                <w:p w14:paraId="03AD1C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含油抹布和手套</w:t>
                  </w:r>
                </w:p>
              </w:tc>
              <w:tc>
                <w:tcPr>
                  <w:tcW w:w="2237" w:type="pct"/>
                  <w:vMerge w:val="continue"/>
                  <w:noWrap w:val="0"/>
                  <w:vAlign w:val="center"/>
                </w:tcPr>
                <w:p w14:paraId="2D5019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bl>
          <w:p w14:paraId="3AE64139">
            <w:pPr>
              <w:bidi w:val="0"/>
              <w:jc w:val="left"/>
              <w:rPr>
                <w:rFonts w:hint="default"/>
                <w:lang w:val="en-US" w:eastAsia="zh-CN"/>
              </w:rPr>
            </w:pPr>
          </w:p>
        </w:tc>
      </w:tr>
      <w:tr w14:paraId="2AC6E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330" w:hRule="atLeast"/>
          <w:jc w:val="center"/>
        </w:trPr>
        <w:tc>
          <w:tcPr>
            <w:tcW w:w="526" w:type="dxa"/>
            <w:shd w:val="clear" w:color="auto" w:fill="auto"/>
            <w:noWrap w:val="0"/>
            <w:vAlign w:val="center"/>
          </w:tcPr>
          <w:p w14:paraId="23AB4729">
            <w:pPr>
              <w:autoSpaceDE w:val="0"/>
              <w:autoSpaceDN w:val="0"/>
              <w:adjustRightInd w:val="0"/>
              <w:snapToGrid w:val="0"/>
              <w:jc w:val="center"/>
              <w:rPr>
                <w:rFonts w:hint="eastAsia" w:ascii="宋体" w:hAnsi="宋体" w:eastAsia="宋体" w:cs="宋体"/>
                <w:kern w:val="0"/>
                <w:sz w:val="24"/>
                <w:szCs w:val="24"/>
                <w:highlight w:val="yellow"/>
                <w:lang w:val="en-US" w:eastAsia="zh-CN" w:bidi="ar-SA"/>
              </w:rPr>
            </w:pPr>
            <w:r>
              <w:rPr>
                <w:rFonts w:hint="eastAsia" w:ascii="宋体" w:hAnsi="宋体" w:cs="宋体"/>
                <w:kern w:val="0"/>
                <w:sz w:val="24"/>
                <w:szCs w:val="24"/>
                <w:highlight w:val="none"/>
              </w:rPr>
              <w:t>与项目有关的原有环境污染问题</w:t>
            </w:r>
          </w:p>
        </w:tc>
        <w:tc>
          <w:tcPr>
            <w:tcW w:w="8272" w:type="dxa"/>
            <w:shd w:val="clear" w:color="auto" w:fill="auto"/>
            <w:noWrap w:val="0"/>
            <w:vAlign w:val="top"/>
          </w:tcPr>
          <w:p w14:paraId="1B029DD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Calibri" w:hAnsi="Calibri"/>
                <w:b/>
                <w:bCs w:val="0"/>
                <w:color w:val="auto"/>
                <w:sz w:val="24"/>
              </w:rPr>
            </w:pPr>
            <w:r>
              <w:rPr>
                <w:rFonts w:hint="eastAsia"/>
                <w:b/>
                <w:bCs w:val="0"/>
                <w:color w:val="auto"/>
                <w:sz w:val="24"/>
                <w:lang w:val="en-US" w:eastAsia="zh-CN"/>
              </w:rPr>
              <w:t>1、</w:t>
            </w:r>
            <w:r>
              <w:rPr>
                <w:rFonts w:hint="eastAsia" w:ascii="Calibri" w:hAnsi="Calibri"/>
                <w:b/>
                <w:bCs w:val="0"/>
                <w:color w:val="auto"/>
                <w:sz w:val="24"/>
              </w:rPr>
              <w:t>现有工程环保手续履行情况</w:t>
            </w:r>
          </w:p>
          <w:p w14:paraId="6933A432">
            <w:pPr>
              <w:spacing w:line="360" w:lineRule="auto"/>
              <w:ind w:firstLine="480" w:firstLineChars="200"/>
              <w:jc w:val="left"/>
              <w:rPr>
                <w:rFonts w:hint="eastAsia"/>
                <w:b w:val="0"/>
                <w:bCs/>
                <w:sz w:val="24"/>
                <w:lang w:val="en-US" w:eastAsia="zh-CN"/>
              </w:rPr>
            </w:pPr>
            <w:r>
              <w:rPr>
                <w:rFonts w:hint="eastAsia"/>
                <w:b w:val="0"/>
                <w:bCs/>
                <w:sz w:val="24"/>
                <w:lang w:val="en-US" w:eastAsia="zh-CN"/>
              </w:rPr>
              <w:t>（1）淮北平祥感应炉有限公司“三同时”执行情况</w:t>
            </w:r>
          </w:p>
          <w:p w14:paraId="53A3764D">
            <w:pPr>
              <w:spacing w:line="360" w:lineRule="auto"/>
              <w:ind w:firstLine="480" w:firstLineChars="200"/>
              <w:jc w:val="left"/>
              <w:rPr>
                <w:rFonts w:hint="eastAsia"/>
                <w:b w:val="0"/>
                <w:bCs/>
                <w:sz w:val="24"/>
                <w:highlight w:val="none"/>
                <w:lang w:val="en-US" w:eastAsia="zh-CN"/>
              </w:rPr>
            </w:pPr>
            <w:r>
              <w:rPr>
                <w:rFonts w:hint="eastAsia"/>
                <w:b w:val="0"/>
                <w:bCs/>
                <w:sz w:val="24"/>
                <w:lang w:val="en-US" w:eastAsia="zh-CN"/>
              </w:rPr>
              <w:t>本次评价对建设单位现有项目的环保手续履行情况进行了汇总，详见下表</w:t>
            </w:r>
            <w:r>
              <w:rPr>
                <w:rFonts w:hint="eastAsia"/>
                <w:b w:val="0"/>
                <w:bCs/>
                <w:sz w:val="24"/>
                <w:highlight w:val="none"/>
                <w:lang w:val="en-US" w:eastAsia="zh-CN"/>
              </w:rPr>
              <w:t>（相关环保手续批文详见附件4）。</w:t>
            </w:r>
          </w:p>
          <w:p w14:paraId="0E7122C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lang w:val="en-US" w:eastAsia="zh-CN"/>
              </w:rPr>
            </w:pPr>
            <w:r>
              <w:rPr>
                <w:rFonts w:ascii="Times New Roman" w:hAnsi="Times New Roman" w:eastAsia="宋体"/>
                <w:b/>
                <w:kern w:val="0"/>
                <w:sz w:val="22"/>
                <w:szCs w:val="22"/>
              </w:rPr>
              <w:t>表2-</w:t>
            </w:r>
            <w:r>
              <w:rPr>
                <w:rFonts w:hint="eastAsia"/>
                <w:b/>
                <w:kern w:val="0"/>
                <w:sz w:val="22"/>
                <w:szCs w:val="22"/>
                <w:lang w:val="en-US" w:eastAsia="zh-CN"/>
              </w:rPr>
              <w:t>14</w:t>
            </w:r>
            <w:r>
              <w:rPr>
                <w:rFonts w:ascii="Times New Roman" w:hAnsi="Times New Roman" w:eastAsia="宋体"/>
                <w:b/>
                <w:kern w:val="0"/>
                <w:sz w:val="22"/>
                <w:szCs w:val="22"/>
              </w:rPr>
              <w:t xml:space="preserve"> </w:t>
            </w:r>
            <w:r>
              <w:rPr>
                <w:rFonts w:hint="eastAsia" w:ascii="Times New Roman" w:hAnsi="Times New Roman" w:eastAsia="宋体"/>
                <w:b/>
                <w:kern w:val="0"/>
                <w:sz w:val="22"/>
                <w:szCs w:val="22"/>
                <w:lang w:val="en-US" w:eastAsia="zh-CN"/>
              </w:rPr>
              <w:t>淮北平祥感应炉有限公司</w:t>
            </w:r>
            <w:r>
              <w:rPr>
                <w:rFonts w:hint="eastAsia"/>
                <w:b/>
                <w:kern w:val="0"/>
                <w:sz w:val="22"/>
                <w:szCs w:val="22"/>
                <w:lang w:val="en-US" w:eastAsia="zh-CN"/>
              </w:rPr>
              <w:t>环评及验收情况一览表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66"/>
              <w:gridCol w:w="2133"/>
              <w:gridCol w:w="1512"/>
              <w:gridCol w:w="1164"/>
              <w:gridCol w:w="1510"/>
              <w:gridCol w:w="1360"/>
            </w:tblGrid>
            <w:tr w14:paraId="6DAA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41" w:hRule="atLeast"/>
                <w:jc w:val="center"/>
              </w:trPr>
              <w:tc>
                <w:tcPr>
                  <w:tcW w:w="286" w:type="pct"/>
                  <w:tcBorders>
                    <w:tl2br w:val="nil"/>
                    <w:tr2bl w:val="nil"/>
                  </w:tcBorders>
                  <w:vAlign w:val="center"/>
                </w:tcPr>
                <w:p w14:paraId="02EF907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序号</w:t>
                  </w:r>
                </w:p>
              </w:tc>
              <w:tc>
                <w:tcPr>
                  <w:tcW w:w="1309" w:type="pct"/>
                  <w:tcBorders>
                    <w:tl2br w:val="nil"/>
                    <w:tr2bl w:val="nil"/>
                  </w:tcBorders>
                  <w:vAlign w:val="center"/>
                </w:tcPr>
                <w:p w14:paraId="7A614BF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项目情况</w:t>
                  </w:r>
                </w:p>
              </w:tc>
              <w:tc>
                <w:tcPr>
                  <w:tcW w:w="928" w:type="pct"/>
                  <w:tcBorders>
                    <w:tl2br w:val="nil"/>
                    <w:tr2bl w:val="nil"/>
                  </w:tcBorders>
                  <w:vAlign w:val="center"/>
                </w:tcPr>
                <w:p w14:paraId="1A26921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建设规模</w:t>
                  </w:r>
                </w:p>
              </w:tc>
              <w:tc>
                <w:tcPr>
                  <w:tcW w:w="714" w:type="pct"/>
                  <w:tcBorders>
                    <w:tl2br w:val="nil"/>
                    <w:tr2bl w:val="nil"/>
                  </w:tcBorders>
                  <w:vAlign w:val="center"/>
                </w:tcPr>
                <w:p w14:paraId="6129C056">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环评情况</w:t>
                  </w:r>
                </w:p>
              </w:tc>
              <w:tc>
                <w:tcPr>
                  <w:tcW w:w="926" w:type="pct"/>
                  <w:tcBorders>
                    <w:tl2br w:val="nil"/>
                    <w:tr2bl w:val="nil"/>
                  </w:tcBorders>
                  <w:vAlign w:val="center"/>
                </w:tcPr>
                <w:p w14:paraId="49A45B7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批复情况</w:t>
                  </w:r>
                </w:p>
              </w:tc>
              <w:tc>
                <w:tcPr>
                  <w:tcW w:w="834" w:type="pct"/>
                  <w:tcBorders>
                    <w:tl2br w:val="nil"/>
                    <w:tr2bl w:val="nil"/>
                  </w:tcBorders>
                  <w:vAlign w:val="center"/>
                </w:tcPr>
                <w:p w14:paraId="18888B0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验收情况</w:t>
                  </w:r>
                </w:p>
              </w:tc>
            </w:tr>
            <w:tr w14:paraId="1C9E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86" w:type="pct"/>
                  <w:tcBorders>
                    <w:tl2br w:val="nil"/>
                    <w:tr2bl w:val="nil"/>
                  </w:tcBorders>
                  <w:shd w:val="clear" w:color="auto" w:fill="auto"/>
                  <w:vAlign w:val="center"/>
                </w:tcPr>
                <w:p w14:paraId="2EE89E5B">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default"/>
                      <w:color w:val="auto"/>
                      <w:sz w:val="21"/>
                      <w:szCs w:val="21"/>
                      <w:lang w:val="en-US" w:eastAsia="zh-CN"/>
                    </w:rPr>
                    <w:t>1</w:t>
                  </w:r>
                </w:p>
              </w:tc>
              <w:tc>
                <w:tcPr>
                  <w:tcW w:w="1309" w:type="pct"/>
                  <w:tcBorders>
                    <w:tl2br w:val="nil"/>
                    <w:tr2bl w:val="nil"/>
                  </w:tcBorders>
                  <w:shd w:val="clear" w:color="auto" w:fill="auto"/>
                  <w:vAlign w:val="center"/>
                </w:tcPr>
                <w:p w14:paraId="010A3B1F">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default"/>
                      <w:color w:val="auto"/>
                      <w:sz w:val="21"/>
                      <w:szCs w:val="21"/>
                      <w:lang w:val="en-US" w:eastAsia="zh-CN"/>
                    </w:rPr>
                    <w:t>淮北平祥感应炉有限公司</w:t>
                  </w:r>
                  <w:r>
                    <w:rPr>
                      <w:rFonts w:hint="eastAsia"/>
                      <w:color w:val="auto"/>
                      <w:sz w:val="21"/>
                      <w:szCs w:val="21"/>
                      <w:lang w:val="en-US" w:eastAsia="zh-CN"/>
                    </w:rPr>
                    <w:t>年产200套低谐波多供电变频感应炉项目</w:t>
                  </w:r>
                  <w:r>
                    <w:rPr>
                      <w:rFonts w:hint="default"/>
                      <w:color w:val="auto"/>
                      <w:sz w:val="21"/>
                      <w:szCs w:val="21"/>
                      <w:lang w:val="en-US" w:eastAsia="zh-CN"/>
                    </w:rPr>
                    <w:t>环境影响报告</w:t>
                  </w:r>
                  <w:r>
                    <w:rPr>
                      <w:rFonts w:hint="eastAsia"/>
                      <w:color w:val="auto"/>
                      <w:sz w:val="21"/>
                      <w:szCs w:val="21"/>
                      <w:lang w:val="en-US" w:eastAsia="zh-CN"/>
                    </w:rPr>
                    <w:t>表</w:t>
                  </w:r>
                </w:p>
              </w:tc>
              <w:tc>
                <w:tcPr>
                  <w:tcW w:w="928" w:type="pct"/>
                  <w:tcBorders>
                    <w:tl2br w:val="nil"/>
                    <w:tr2bl w:val="nil"/>
                  </w:tcBorders>
                  <w:shd w:val="clear" w:color="auto" w:fill="auto"/>
                  <w:vAlign w:val="center"/>
                </w:tcPr>
                <w:p w14:paraId="68C3F491">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年生产200台无芯变频感应电炉</w:t>
                  </w:r>
                </w:p>
              </w:tc>
              <w:tc>
                <w:tcPr>
                  <w:tcW w:w="714" w:type="pct"/>
                  <w:tcBorders>
                    <w:tl2br w:val="nil"/>
                    <w:tr2bl w:val="nil"/>
                  </w:tcBorders>
                  <w:shd w:val="clear" w:color="auto" w:fill="auto"/>
                  <w:vAlign w:val="center"/>
                </w:tcPr>
                <w:p w14:paraId="3839FFA5">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已编制环境影响报告</w:t>
                  </w:r>
                  <w:r>
                    <w:rPr>
                      <w:rFonts w:hint="eastAsia"/>
                      <w:color w:val="auto"/>
                      <w:sz w:val="21"/>
                      <w:szCs w:val="21"/>
                      <w:lang w:val="en-US" w:eastAsia="zh-CN"/>
                    </w:rPr>
                    <w:t>表</w:t>
                  </w:r>
                </w:p>
              </w:tc>
              <w:tc>
                <w:tcPr>
                  <w:tcW w:w="926" w:type="pct"/>
                  <w:tcBorders>
                    <w:tl2br w:val="nil"/>
                    <w:tr2bl w:val="nil"/>
                  </w:tcBorders>
                  <w:shd w:val="clear" w:color="auto" w:fill="auto"/>
                  <w:vAlign w:val="center"/>
                </w:tcPr>
                <w:p w14:paraId="08733ABF">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淮北市环境保护局于2004年8月18日出具审批意见</w:t>
                  </w:r>
                </w:p>
              </w:tc>
              <w:tc>
                <w:tcPr>
                  <w:tcW w:w="834" w:type="pct"/>
                  <w:tcBorders>
                    <w:tl2br w:val="nil"/>
                    <w:tr2bl w:val="nil"/>
                  </w:tcBorders>
                  <w:shd w:val="clear" w:color="auto" w:fill="auto"/>
                  <w:vAlign w:val="center"/>
                </w:tcPr>
                <w:p w14:paraId="61FF42E6">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淮北市环境保护局</w:t>
                  </w:r>
                  <w:r>
                    <w:rPr>
                      <w:rFonts w:hint="default"/>
                      <w:color w:val="auto"/>
                      <w:sz w:val="21"/>
                      <w:szCs w:val="21"/>
                      <w:lang w:val="en-US" w:eastAsia="zh-CN"/>
                    </w:rPr>
                    <w:t>于</w:t>
                  </w:r>
                  <w:r>
                    <w:rPr>
                      <w:rFonts w:hint="eastAsia"/>
                      <w:color w:val="auto"/>
                      <w:sz w:val="21"/>
                      <w:szCs w:val="21"/>
                      <w:lang w:val="en-US" w:eastAsia="zh-CN"/>
                    </w:rPr>
                    <w:t>2013</w:t>
                  </w:r>
                  <w:r>
                    <w:rPr>
                      <w:rFonts w:hint="default"/>
                      <w:color w:val="auto"/>
                      <w:sz w:val="21"/>
                      <w:szCs w:val="21"/>
                      <w:lang w:val="en-US" w:eastAsia="zh-CN"/>
                    </w:rPr>
                    <w:t>年2月</w:t>
                  </w:r>
                  <w:r>
                    <w:rPr>
                      <w:rFonts w:hint="eastAsia"/>
                      <w:color w:val="auto"/>
                      <w:sz w:val="21"/>
                      <w:szCs w:val="21"/>
                      <w:lang w:val="en-US" w:eastAsia="zh-CN"/>
                    </w:rPr>
                    <w:t>7</w:t>
                  </w:r>
                  <w:r>
                    <w:rPr>
                      <w:rFonts w:hint="default"/>
                      <w:color w:val="auto"/>
                      <w:sz w:val="21"/>
                      <w:szCs w:val="21"/>
                      <w:lang w:val="en-US" w:eastAsia="zh-CN"/>
                    </w:rPr>
                    <w:t>日验收合格</w:t>
                  </w:r>
                  <w:r>
                    <w:rPr>
                      <w:rFonts w:hint="eastAsia"/>
                      <w:color w:val="auto"/>
                      <w:sz w:val="21"/>
                      <w:szCs w:val="21"/>
                      <w:lang w:val="en-US" w:eastAsia="zh-CN"/>
                    </w:rPr>
                    <w:t xml:space="preserve"> 环验</w:t>
                  </w:r>
                  <w:r>
                    <w:rPr>
                      <w:rFonts w:hint="default"/>
                      <w:color w:val="auto"/>
                      <w:sz w:val="21"/>
                      <w:szCs w:val="21"/>
                      <w:lang w:val="en-US" w:eastAsia="zh-CN"/>
                    </w:rPr>
                    <w:t>[</w:t>
                  </w:r>
                  <w:r>
                    <w:rPr>
                      <w:rFonts w:hint="eastAsia"/>
                      <w:color w:val="auto"/>
                      <w:sz w:val="21"/>
                      <w:szCs w:val="21"/>
                      <w:lang w:val="en-US" w:eastAsia="zh-CN"/>
                    </w:rPr>
                    <w:t>2013</w:t>
                  </w:r>
                  <w:r>
                    <w:rPr>
                      <w:rFonts w:hint="default"/>
                      <w:color w:val="auto"/>
                      <w:sz w:val="21"/>
                      <w:szCs w:val="21"/>
                      <w:lang w:val="en-US" w:eastAsia="zh-CN"/>
                    </w:rPr>
                    <w:t>]</w:t>
                  </w:r>
                  <w:r>
                    <w:rPr>
                      <w:rFonts w:hint="eastAsia"/>
                      <w:color w:val="auto"/>
                      <w:sz w:val="21"/>
                      <w:szCs w:val="21"/>
                      <w:lang w:val="en-US" w:eastAsia="zh-CN"/>
                    </w:rPr>
                    <w:t>02</w:t>
                  </w:r>
                  <w:r>
                    <w:rPr>
                      <w:rFonts w:hint="default"/>
                      <w:color w:val="auto"/>
                      <w:sz w:val="21"/>
                      <w:szCs w:val="21"/>
                      <w:lang w:val="en-US" w:eastAsia="zh-CN"/>
                    </w:rPr>
                    <w:t>号</w:t>
                  </w:r>
                </w:p>
              </w:tc>
            </w:tr>
            <w:tr w14:paraId="6FF0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286" w:type="pct"/>
                  <w:tcBorders>
                    <w:tl2br w:val="nil"/>
                    <w:tr2bl w:val="nil"/>
                  </w:tcBorders>
                  <w:shd w:val="clear" w:color="auto" w:fill="auto"/>
                  <w:vAlign w:val="center"/>
                </w:tcPr>
                <w:p w14:paraId="2A84E9E1">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1309" w:type="pct"/>
                  <w:tcBorders>
                    <w:tl2br w:val="nil"/>
                    <w:tr2bl w:val="nil"/>
                  </w:tcBorders>
                  <w:shd w:val="clear" w:color="auto" w:fill="auto"/>
                  <w:vAlign w:val="center"/>
                </w:tcPr>
                <w:p w14:paraId="133588AC">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淮北平祥感应炉有限公司</w:t>
                  </w:r>
                  <w:r>
                    <w:rPr>
                      <w:rFonts w:hint="eastAsia"/>
                      <w:color w:val="auto"/>
                      <w:sz w:val="21"/>
                      <w:szCs w:val="21"/>
                      <w:lang w:val="en-US" w:eastAsia="zh-CN"/>
                    </w:rPr>
                    <w:t>260套</w:t>
                  </w:r>
                  <w:r>
                    <w:rPr>
                      <w:rFonts w:hint="default"/>
                      <w:color w:val="auto"/>
                      <w:sz w:val="21"/>
                      <w:szCs w:val="21"/>
                      <w:lang w:val="en-US" w:eastAsia="zh-CN"/>
                    </w:rPr>
                    <w:t>低谐波多供电变频感应炉项目环境影响报告</w:t>
                  </w:r>
                  <w:r>
                    <w:rPr>
                      <w:rFonts w:hint="eastAsia"/>
                      <w:color w:val="auto"/>
                      <w:sz w:val="21"/>
                      <w:szCs w:val="21"/>
                      <w:lang w:val="en-US" w:eastAsia="zh-CN"/>
                    </w:rPr>
                    <w:t>表</w:t>
                  </w:r>
                </w:p>
              </w:tc>
              <w:tc>
                <w:tcPr>
                  <w:tcW w:w="928" w:type="pct"/>
                  <w:tcBorders>
                    <w:tl2br w:val="nil"/>
                    <w:tr2bl w:val="nil"/>
                  </w:tcBorders>
                  <w:shd w:val="clear" w:color="auto" w:fill="auto"/>
                  <w:vAlign w:val="center"/>
                </w:tcPr>
                <w:p w14:paraId="47B429D2">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年生产260套</w:t>
                  </w:r>
                  <w:r>
                    <w:rPr>
                      <w:rFonts w:hint="default"/>
                      <w:color w:val="auto"/>
                      <w:sz w:val="21"/>
                      <w:szCs w:val="21"/>
                      <w:lang w:val="en-US" w:eastAsia="zh-CN"/>
                    </w:rPr>
                    <w:t>低谐波多供电变频</w:t>
                  </w:r>
                  <w:r>
                    <w:rPr>
                      <w:rFonts w:hint="eastAsia"/>
                      <w:color w:val="auto"/>
                      <w:sz w:val="21"/>
                      <w:szCs w:val="21"/>
                      <w:lang w:val="en-US" w:eastAsia="zh-CN"/>
                    </w:rPr>
                    <w:t>感应炉</w:t>
                  </w:r>
                </w:p>
              </w:tc>
              <w:tc>
                <w:tcPr>
                  <w:tcW w:w="714" w:type="pct"/>
                  <w:tcBorders>
                    <w:tl2br w:val="nil"/>
                    <w:tr2bl w:val="nil"/>
                  </w:tcBorders>
                  <w:shd w:val="clear" w:color="auto" w:fill="auto"/>
                  <w:vAlign w:val="center"/>
                </w:tcPr>
                <w:p w14:paraId="1F6DC631">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已编制环境影响报告</w:t>
                  </w:r>
                  <w:r>
                    <w:rPr>
                      <w:rFonts w:hint="eastAsia"/>
                      <w:color w:val="auto"/>
                      <w:sz w:val="21"/>
                      <w:szCs w:val="21"/>
                      <w:lang w:val="en-US" w:eastAsia="zh-CN"/>
                    </w:rPr>
                    <w:t>表</w:t>
                  </w:r>
                </w:p>
              </w:tc>
              <w:tc>
                <w:tcPr>
                  <w:tcW w:w="926" w:type="pct"/>
                  <w:tcBorders>
                    <w:tl2br w:val="nil"/>
                    <w:tr2bl w:val="nil"/>
                  </w:tcBorders>
                  <w:shd w:val="clear" w:color="auto" w:fill="auto"/>
                  <w:vAlign w:val="center"/>
                </w:tcPr>
                <w:p w14:paraId="679CBF2C">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淮北市环境保护局于2014年6月26日出具审批意见</w:t>
                  </w:r>
                </w:p>
              </w:tc>
              <w:tc>
                <w:tcPr>
                  <w:tcW w:w="834" w:type="pct"/>
                  <w:tcBorders>
                    <w:tl2br w:val="nil"/>
                    <w:tr2bl w:val="nil"/>
                  </w:tcBorders>
                  <w:shd w:val="clear" w:color="auto" w:fill="auto"/>
                  <w:vAlign w:val="center"/>
                </w:tcPr>
                <w:p w14:paraId="1BC2D455">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202</w:t>
                  </w:r>
                  <w:r>
                    <w:rPr>
                      <w:rFonts w:hint="eastAsia"/>
                      <w:color w:val="auto"/>
                      <w:sz w:val="21"/>
                      <w:szCs w:val="21"/>
                      <w:lang w:val="en-US" w:eastAsia="zh-CN"/>
                    </w:rPr>
                    <w:t>6</w:t>
                  </w:r>
                  <w:r>
                    <w:rPr>
                      <w:rFonts w:hint="default"/>
                      <w:color w:val="auto"/>
                      <w:sz w:val="21"/>
                      <w:szCs w:val="21"/>
                      <w:lang w:val="en-US" w:eastAsia="zh-CN"/>
                    </w:rPr>
                    <w:t>年2月通过自主验收</w:t>
                  </w:r>
                </w:p>
                <w:p w14:paraId="63EB251A">
                  <w:pPr>
                    <w:keepNext w:val="0"/>
                    <w:keepLines w:val="0"/>
                    <w:pageBreakBefore w:val="0"/>
                    <w:widowControl/>
                    <w:tabs>
                      <w:tab w:val="left" w:pos="660"/>
                    </w:tabs>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p>
              </w:tc>
            </w:tr>
          </w:tbl>
          <w:p w14:paraId="3CD5C6D7">
            <w:pPr>
              <w:bidi w:val="0"/>
              <w:rPr>
                <w:rFonts w:hint="eastAsia"/>
                <w:lang w:val="en-US" w:eastAsia="zh-CN"/>
              </w:rPr>
            </w:pPr>
          </w:p>
          <w:p w14:paraId="07957339">
            <w:pPr>
              <w:spacing w:line="360" w:lineRule="auto"/>
              <w:ind w:firstLine="480" w:firstLineChars="200"/>
              <w:jc w:val="left"/>
              <w:rPr>
                <w:rFonts w:hint="eastAsia"/>
                <w:b w:val="0"/>
                <w:bCs/>
                <w:sz w:val="24"/>
                <w:lang w:val="en-US" w:eastAsia="zh-CN"/>
              </w:rPr>
            </w:pPr>
            <w:r>
              <w:rPr>
                <w:rFonts w:hint="eastAsia"/>
                <w:b w:val="0"/>
                <w:bCs/>
                <w:sz w:val="24"/>
                <w:lang w:val="en-US" w:eastAsia="zh-CN"/>
              </w:rPr>
              <w:t>（2）排污许可执行情况</w:t>
            </w:r>
          </w:p>
          <w:p w14:paraId="419472E8">
            <w:pPr>
              <w:spacing w:line="360" w:lineRule="auto"/>
              <w:ind w:firstLine="480" w:firstLineChars="200"/>
              <w:jc w:val="left"/>
              <w:rPr>
                <w:rFonts w:hint="eastAsia"/>
                <w:b w:val="0"/>
                <w:bCs/>
                <w:sz w:val="24"/>
                <w:lang w:val="en-US" w:eastAsia="zh-CN"/>
              </w:rPr>
            </w:pPr>
            <w:r>
              <w:rPr>
                <w:rFonts w:hint="eastAsia"/>
                <w:b w:val="0"/>
                <w:bCs/>
                <w:sz w:val="24"/>
                <w:lang w:val="en-US" w:eastAsia="zh-CN"/>
              </w:rPr>
              <w:t>淮北市平祥感应炉有限公司已进行了排污登记（详见附件5），证书编号：913406007349860597001Z，有效期为2025年11月03日至2030年11月02日。</w:t>
            </w:r>
          </w:p>
          <w:p w14:paraId="026C7BAA">
            <w:pPr>
              <w:spacing w:line="360" w:lineRule="auto"/>
              <w:ind w:firstLine="480" w:firstLineChars="200"/>
              <w:jc w:val="left"/>
              <w:rPr>
                <w:rFonts w:hint="eastAsia"/>
                <w:b w:val="0"/>
                <w:bCs/>
                <w:sz w:val="24"/>
                <w:lang w:val="en-US" w:eastAsia="zh-CN"/>
              </w:rPr>
            </w:pPr>
            <w:r>
              <w:rPr>
                <w:rFonts w:hint="eastAsia"/>
                <w:b w:val="0"/>
                <w:bCs/>
                <w:sz w:val="24"/>
                <w:lang w:val="en-US" w:eastAsia="zh-CN"/>
              </w:rPr>
              <w:t>（3）突发环境事件应急预案备案情况</w:t>
            </w:r>
          </w:p>
          <w:p w14:paraId="08E5731E">
            <w:pPr>
              <w:keepNext w:val="0"/>
              <w:keepLines w:val="0"/>
              <w:widowControl/>
              <w:suppressLineNumbers w:val="0"/>
              <w:spacing w:line="360" w:lineRule="auto"/>
              <w:ind w:firstLine="480" w:firstLineChars="200"/>
              <w:jc w:val="left"/>
              <w:rPr>
                <w:rFonts w:hint="eastAsia"/>
                <w:b w:val="0"/>
                <w:bCs/>
                <w:sz w:val="24"/>
                <w:lang w:val="en-US" w:eastAsia="zh-CN"/>
              </w:rPr>
            </w:pPr>
            <w:r>
              <w:rPr>
                <w:rFonts w:hint="eastAsia"/>
                <w:b w:val="0"/>
                <w:bCs/>
                <w:sz w:val="24"/>
                <w:lang w:val="en-US" w:eastAsia="zh-CN"/>
              </w:rPr>
              <w:t>淮北市平祥感应炉有限公司组织编制完成了《淮北市平祥感应炉有限公司突发环境事件应急预案》，并于2024年7月2日在淮北市杜集区生态环境分局进行了备案，备案编号：340602-2024-15-L（详见附件6）。</w:t>
            </w:r>
          </w:p>
          <w:p w14:paraId="13F8E7AB">
            <w:pPr>
              <w:keepNext w:val="0"/>
              <w:keepLines w:val="0"/>
              <w:widowControl/>
              <w:suppressLineNumbers w:val="0"/>
              <w:spacing w:line="360" w:lineRule="auto"/>
              <w:ind w:firstLine="482" w:firstLineChars="200"/>
              <w:jc w:val="left"/>
              <w:rPr>
                <w:rFonts w:hint="eastAsia"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2</w:t>
            </w:r>
            <w:r>
              <w:rPr>
                <w:rFonts w:hint="eastAsia" w:ascii="Times New Roman" w:hAnsi="Times New Roman" w:eastAsia="宋体" w:cs="Times New Roman"/>
                <w:b/>
                <w:bCs w:val="0"/>
                <w:color w:val="auto"/>
                <w:sz w:val="24"/>
                <w:lang w:val="en-US" w:eastAsia="zh-CN"/>
              </w:rPr>
              <w:t>、现有</w:t>
            </w:r>
            <w:r>
              <w:rPr>
                <w:rFonts w:hint="eastAsia" w:cs="Times New Roman"/>
                <w:b/>
                <w:bCs w:val="0"/>
                <w:color w:val="auto"/>
                <w:sz w:val="24"/>
                <w:lang w:val="en-US" w:eastAsia="zh-CN"/>
              </w:rPr>
              <w:t>工程</w:t>
            </w:r>
            <w:r>
              <w:rPr>
                <w:rFonts w:hint="eastAsia" w:ascii="Times New Roman" w:hAnsi="Times New Roman" w:eastAsia="宋体" w:cs="Times New Roman"/>
                <w:b/>
                <w:bCs w:val="0"/>
                <w:color w:val="auto"/>
                <w:sz w:val="24"/>
                <w:lang w:val="en-US" w:eastAsia="zh-CN"/>
              </w:rPr>
              <w:t>污染物排放情况</w:t>
            </w:r>
          </w:p>
          <w:p w14:paraId="5DB4E4BE">
            <w:pPr>
              <w:keepNext w:val="0"/>
              <w:keepLines w:val="0"/>
              <w:widowControl/>
              <w:suppressLineNumbers w:val="0"/>
              <w:spacing w:line="360" w:lineRule="auto"/>
              <w:ind w:firstLine="480" w:firstLineChars="200"/>
              <w:jc w:val="left"/>
              <w:rPr>
                <w:rFonts w:hint="default" w:cs="Times New Roman"/>
                <w:b w:val="0"/>
                <w:bCs/>
                <w:color w:val="auto"/>
                <w:sz w:val="24"/>
                <w:lang w:val="en-US" w:eastAsia="zh-CN"/>
              </w:rPr>
            </w:pPr>
            <w:r>
              <w:rPr>
                <w:rFonts w:hint="eastAsia" w:cs="Times New Roman"/>
                <w:b w:val="0"/>
                <w:bCs/>
                <w:color w:val="auto"/>
                <w:sz w:val="24"/>
                <w:lang w:val="en-US" w:eastAsia="zh-CN"/>
              </w:rPr>
              <w:t>根据现场调查，现有工程污染物排放情况如下：</w:t>
            </w:r>
          </w:p>
          <w:p w14:paraId="7DB4A123">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color w:val="auto"/>
                <w:sz w:val="24"/>
                <w:lang w:val="en-US" w:eastAsia="zh-CN"/>
              </w:rPr>
            </w:pPr>
            <w:r>
              <w:rPr>
                <w:rFonts w:hint="eastAsia" w:cs="Times New Roman"/>
                <w:b w:val="0"/>
                <w:bCs/>
                <w:color w:val="auto"/>
                <w:sz w:val="24"/>
                <w:lang w:val="en-US" w:eastAsia="zh-CN"/>
              </w:rPr>
              <w:t>（1）废水：现有工程在生产过程中无生产废水产生。生活</w:t>
            </w:r>
            <w:r>
              <w:rPr>
                <w:rFonts w:hint="eastAsia" w:ascii="Times New Roman" w:hAnsi="Times New Roman" w:eastAsia="宋体" w:cs="Times New Roman"/>
                <w:b w:val="0"/>
                <w:bCs/>
                <w:color w:val="auto"/>
                <w:sz w:val="24"/>
                <w:lang w:val="en-US" w:eastAsia="zh-CN"/>
              </w:rPr>
              <w:t>污水经化粪池处理后</w:t>
            </w:r>
            <w:r>
              <w:rPr>
                <w:rFonts w:hint="eastAsia" w:ascii="Times New Roman" w:hAnsi="Times New Roman" w:eastAsia="宋体" w:cs="Times New Roman"/>
                <w:bCs/>
                <w:color w:val="auto"/>
                <w:kern w:val="2"/>
                <w:sz w:val="24"/>
                <w:szCs w:val="24"/>
              </w:rPr>
              <w:t>接管网进入龙湖污水处理厂进一步深度处理，达标后排入龙河</w:t>
            </w:r>
            <w:r>
              <w:rPr>
                <w:rFonts w:hint="eastAsia" w:ascii="Times New Roman" w:hAnsi="Times New Roman" w:eastAsia="宋体" w:cs="Times New Roman"/>
                <w:b w:val="0"/>
                <w:bCs/>
                <w:color w:val="auto"/>
                <w:sz w:val="24"/>
                <w:lang w:val="en-US" w:eastAsia="zh-CN"/>
              </w:rPr>
              <w:t>。</w:t>
            </w:r>
          </w:p>
          <w:p w14:paraId="386D15B8">
            <w:pPr>
              <w:keepNext w:val="0"/>
              <w:keepLines w:val="0"/>
              <w:widowControl/>
              <w:suppressLineNumbers w:val="0"/>
              <w:spacing w:line="360" w:lineRule="auto"/>
              <w:ind w:firstLine="480" w:firstLineChars="200"/>
              <w:jc w:val="left"/>
              <w:rPr>
                <w:rFonts w:hint="eastAsia" w:cs="Times New Roman"/>
                <w:b w:val="0"/>
                <w:bCs/>
                <w:color w:val="0000FF"/>
                <w:sz w:val="24"/>
                <w:lang w:val="en-US" w:eastAsia="zh-CN"/>
              </w:rPr>
            </w:pPr>
            <w:r>
              <w:rPr>
                <w:rFonts w:hint="eastAsia" w:cs="Times New Roman"/>
                <w:b w:val="0"/>
                <w:bCs/>
                <w:color w:val="auto"/>
                <w:sz w:val="24"/>
                <w:lang w:val="en-US" w:eastAsia="zh-CN"/>
              </w:rPr>
              <w:t>（2）废气</w:t>
            </w:r>
            <w:r>
              <w:rPr>
                <w:rFonts w:hint="eastAsia" w:ascii="Times New Roman" w:hAnsi="Times New Roman" w:eastAsia="宋体" w:cs="Times New Roman"/>
                <w:b w:val="0"/>
                <w:bCs/>
                <w:color w:val="auto"/>
                <w:sz w:val="24"/>
                <w:lang w:val="en-US" w:eastAsia="zh-CN"/>
              </w:rPr>
              <w:t>：</w:t>
            </w:r>
            <w:r>
              <w:rPr>
                <w:rFonts w:hint="eastAsia" w:ascii="Times New Roman" w:hAnsi="Times New Roman" w:eastAsia="宋体" w:cs="Times New Roman"/>
                <w:bCs/>
                <w:color w:val="auto"/>
                <w:sz w:val="24"/>
                <w:szCs w:val="24"/>
                <w:lang w:eastAsia="zh-CN"/>
              </w:rPr>
              <w:t>焊接</w:t>
            </w:r>
            <w:r>
              <w:rPr>
                <w:rFonts w:hint="eastAsia" w:ascii="Times New Roman" w:hAnsi="Times New Roman" w:eastAsia="宋体" w:cs="Times New Roman"/>
                <w:bCs/>
                <w:color w:val="auto"/>
                <w:sz w:val="24"/>
                <w:szCs w:val="24"/>
              </w:rPr>
              <w:t>烟尘</w:t>
            </w:r>
            <w:r>
              <w:rPr>
                <w:rFonts w:hint="eastAsia" w:ascii="Times New Roman" w:hAnsi="Times New Roman" w:eastAsia="宋体" w:cs="Times New Roman"/>
                <w:bCs/>
                <w:color w:val="auto"/>
                <w:sz w:val="24"/>
                <w:szCs w:val="24"/>
                <w:lang w:eastAsia="zh-CN"/>
              </w:rPr>
              <w:t>采用</w:t>
            </w:r>
            <w:r>
              <w:rPr>
                <w:rFonts w:hint="eastAsia" w:ascii="Times New Roman" w:hAnsi="Times New Roman" w:eastAsia="宋体" w:cs="Times New Roman"/>
                <w:bCs/>
                <w:color w:val="auto"/>
                <w:sz w:val="24"/>
                <w:szCs w:val="24"/>
              </w:rPr>
              <w:t>移动式焊接净化器处理后</w:t>
            </w:r>
            <w:r>
              <w:rPr>
                <w:rFonts w:hint="eastAsia" w:ascii="Times New Roman" w:hAnsi="Times New Roman" w:eastAsia="宋体" w:cs="Times New Roman"/>
                <w:bCs/>
                <w:color w:val="auto"/>
                <w:sz w:val="24"/>
                <w:szCs w:val="24"/>
                <w:lang w:eastAsia="zh-CN"/>
              </w:rPr>
              <w:t>无组织</w:t>
            </w:r>
            <w:r>
              <w:rPr>
                <w:rFonts w:hint="eastAsia" w:ascii="Times New Roman" w:hAnsi="Times New Roman" w:eastAsia="宋体" w:cs="Times New Roman"/>
                <w:bCs/>
                <w:color w:val="auto"/>
                <w:sz w:val="24"/>
                <w:szCs w:val="24"/>
              </w:rPr>
              <w:t>排放</w:t>
            </w:r>
            <w:r>
              <w:rPr>
                <w:rFonts w:hint="eastAsia" w:ascii="Times New Roman" w:hAnsi="Times New Roman" w:eastAsia="宋体" w:cs="Times New Roman"/>
                <w:bCs/>
                <w:color w:val="auto"/>
                <w:sz w:val="24"/>
                <w:szCs w:val="24"/>
                <w:lang w:eastAsia="zh-CN"/>
              </w:rPr>
              <w:t>，</w:t>
            </w:r>
            <w:r>
              <w:rPr>
                <w:rFonts w:hint="eastAsia" w:cs="Times New Roman"/>
                <w:bCs/>
                <w:color w:val="auto"/>
                <w:sz w:val="24"/>
                <w:szCs w:val="24"/>
                <w:lang w:val="en-US" w:eastAsia="zh-CN"/>
              </w:rPr>
              <w:t>根据淮北禾美环保技术有限公司检测报告（编号：HBHM2024JC0759），详见附件8，检测时间为2024年10月8日，颗粒物检测点位为厂界上风向G1、厂界下风向G2、厂界下风向G3、厂界下风向G4，检测结果分别为0.196mg/m</w:t>
            </w:r>
            <w:r>
              <w:rPr>
                <w:rFonts w:hint="eastAsia" w:cs="Times New Roman"/>
                <w:bCs/>
                <w:color w:val="auto"/>
                <w:sz w:val="24"/>
                <w:szCs w:val="24"/>
                <w:vertAlign w:val="superscript"/>
                <w:lang w:val="en-US" w:eastAsia="zh-CN"/>
              </w:rPr>
              <w:t>3</w:t>
            </w:r>
            <w:r>
              <w:rPr>
                <w:rFonts w:hint="eastAsia" w:cs="Times New Roman"/>
                <w:bCs/>
                <w:color w:val="auto"/>
                <w:sz w:val="24"/>
                <w:szCs w:val="24"/>
                <w:vertAlign w:val="baseline"/>
                <w:lang w:val="en-US" w:eastAsia="zh-CN"/>
              </w:rPr>
              <w:t>、</w:t>
            </w:r>
            <w:r>
              <w:rPr>
                <w:rFonts w:hint="eastAsia" w:cs="Times New Roman"/>
                <w:bCs/>
                <w:color w:val="auto"/>
                <w:sz w:val="24"/>
                <w:szCs w:val="24"/>
                <w:lang w:val="en-US" w:eastAsia="zh-CN"/>
              </w:rPr>
              <w:t>0.264mg/m</w:t>
            </w:r>
            <w:r>
              <w:rPr>
                <w:rFonts w:hint="eastAsia" w:cs="Times New Roman"/>
                <w:bCs/>
                <w:color w:val="auto"/>
                <w:sz w:val="24"/>
                <w:szCs w:val="24"/>
                <w:vertAlign w:val="superscript"/>
                <w:lang w:val="en-US" w:eastAsia="zh-CN"/>
              </w:rPr>
              <w:t>3</w:t>
            </w:r>
            <w:r>
              <w:rPr>
                <w:rFonts w:hint="eastAsia" w:cs="Times New Roman"/>
                <w:bCs/>
                <w:color w:val="auto"/>
                <w:sz w:val="24"/>
                <w:szCs w:val="24"/>
                <w:vertAlign w:val="baseline"/>
                <w:lang w:val="en-US" w:eastAsia="zh-CN"/>
              </w:rPr>
              <w:t>、</w:t>
            </w:r>
            <w:r>
              <w:rPr>
                <w:rFonts w:hint="eastAsia" w:cs="Times New Roman"/>
                <w:bCs/>
                <w:color w:val="auto"/>
                <w:sz w:val="24"/>
                <w:szCs w:val="24"/>
                <w:lang w:val="en-US" w:eastAsia="zh-CN"/>
              </w:rPr>
              <w:t>0.278mg/m</w:t>
            </w:r>
            <w:r>
              <w:rPr>
                <w:rFonts w:hint="eastAsia" w:cs="Times New Roman"/>
                <w:bCs/>
                <w:color w:val="auto"/>
                <w:sz w:val="24"/>
                <w:szCs w:val="24"/>
                <w:vertAlign w:val="superscript"/>
                <w:lang w:val="en-US" w:eastAsia="zh-CN"/>
              </w:rPr>
              <w:t>3</w:t>
            </w:r>
            <w:r>
              <w:rPr>
                <w:rFonts w:hint="eastAsia" w:cs="Times New Roman"/>
                <w:bCs/>
                <w:color w:val="auto"/>
                <w:sz w:val="24"/>
                <w:szCs w:val="24"/>
                <w:vertAlign w:val="baseline"/>
                <w:lang w:val="en-US" w:eastAsia="zh-CN"/>
              </w:rPr>
              <w:t>、</w:t>
            </w:r>
            <w:r>
              <w:rPr>
                <w:rFonts w:hint="eastAsia" w:cs="Times New Roman"/>
                <w:bCs/>
                <w:color w:val="auto"/>
                <w:sz w:val="24"/>
                <w:szCs w:val="24"/>
                <w:lang w:val="en-US" w:eastAsia="zh-CN"/>
              </w:rPr>
              <w:t>0.206mg/m</w:t>
            </w:r>
            <w:r>
              <w:rPr>
                <w:rFonts w:hint="eastAsia" w:cs="Times New Roman"/>
                <w:bCs/>
                <w:color w:val="auto"/>
                <w:sz w:val="24"/>
                <w:szCs w:val="24"/>
                <w:vertAlign w:val="superscript"/>
                <w:lang w:val="en-US" w:eastAsia="zh-CN"/>
              </w:rPr>
              <w:t>3</w:t>
            </w:r>
            <w:r>
              <w:rPr>
                <w:rFonts w:hint="eastAsia" w:cs="Times New Roman"/>
                <w:bCs/>
                <w:color w:val="auto"/>
                <w:sz w:val="24"/>
                <w:szCs w:val="24"/>
                <w:vertAlign w:val="baseline"/>
                <w:lang w:val="en-US" w:eastAsia="zh-CN"/>
              </w:rPr>
              <w:t>。</w:t>
            </w:r>
            <w:r>
              <w:rPr>
                <w:rFonts w:hint="eastAsia" w:ascii="Times New Roman" w:hAnsi="Times New Roman" w:eastAsia="宋体" w:cs="Times New Roman"/>
                <w:b w:val="0"/>
                <w:bCs/>
                <w:color w:val="auto"/>
                <w:sz w:val="24"/>
                <w:lang w:val="en-US" w:eastAsia="zh-CN"/>
              </w:rPr>
              <w:t>现有工程在生产过程中产生的颗粒物能够满足</w:t>
            </w:r>
            <w:r>
              <w:rPr>
                <w:rFonts w:hint="eastAsia" w:ascii="Times New Roman" w:hAnsi="Times New Roman" w:eastAsia="宋体" w:cs="Times New Roman"/>
                <w:bCs/>
                <w:color w:val="auto"/>
                <w:sz w:val="24"/>
                <w:szCs w:val="24"/>
              </w:rPr>
              <w:t>《大气污染物综合排放标准》（GB16297-1996）表2无组织排放标准限值</w:t>
            </w:r>
            <w:r>
              <w:rPr>
                <w:rFonts w:hint="eastAsia" w:cs="Times New Roman"/>
                <w:bCs/>
                <w:color w:val="auto"/>
                <w:sz w:val="24"/>
                <w:szCs w:val="24"/>
                <w:lang w:eastAsia="zh-CN"/>
              </w:rPr>
              <w:t>。</w:t>
            </w:r>
          </w:p>
          <w:p w14:paraId="382FB413">
            <w:pPr>
              <w:adjustRightInd w:val="0"/>
              <w:snapToGrid w:val="0"/>
              <w:spacing w:line="360" w:lineRule="auto"/>
              <w:ind w:firstLine="480" w:firstLineChars="200"/>
              <w:rPr>
                <w:rFonts w:hint="eastAsia" w:cs="Times New Roman"/>
                <w:bCs/>
                <w:color w:val="000000" w:themeColor="text1"/>
                <w:sz w:val="24"/>
                <w:szCs w:val="24"/>
                <w:highlight w:val="none"/>
                <w:lang w:eastAsia="zh-CN"/>
                <w14:textFill>
                  <w14:solidFill>
                    <w14:schemeClr w14:val="tx1"/>
                  </w14:solidFill>
                </w14:textFill>
              </w:rPr>
            </w:pPr>
            <w:r>
              <w:rPr>
                <w:rFonts w:hint="eastAsia" w:cs="Times New Roman"/>
                <w:b w:val="0"/>
                <w:bCs/>
                <w:color w:val="000000" w:themeColor="text1"/>
                <w:sz w:val="24"/>
                <w:highlight w:val="none"/>
                <w:lang w:val="en-US" w:eastAsia="zh-CN"/>
                <w14:textFill>
                  <w14:solidFill>
                    <w14:schemeClr w14:val="tx1"/>
                  </w14:solidFill>
                </w14:textFill>
              </w:rPr>
              <w:t>现有项目使用的焊接工序，</w:t>
            </w:r>
            <w:r>
              <w:rPr>
                <w:rFonts w:hint="default" w:ascii="Times New Roman" w:hAnsi="Times New Roman" w:cs="Times New Roman"/>
                <w:color w:val="000000" w:themeColor="text1"/>
                <w:sz w:val="24"/>
                <w:szCs w:val="24"/>
                <w:highlight w:val="none"/>
                <w:lang w:val="en-GB"/>
                <w14:textFill>
                  <w14:solidFill>
                    <w14:schemeClr w14:val="tx1"/>
                  </w14:solidFill>
                </w14:textFill>
              </w:rPr>
              <w:t>根据《排放源统计调查产排污核算方法和系数手册》（生态环境部办公厅2021 年6月11日印发）中《机械行业系数手册》0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szCs w:val="24"/>
                <w:highlight w:val="none"/>
                <w:lang w:val="en-GB"/>
                <w14:textFill>
                  <w14:solidFill>
                    <w14:schemeClr w14:val="tx1"/>
                  </w14:solidFill>
                </w14:textFill>
              </w:rPr>
              <w:t xml:space="preserve"> </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焊接</w:t>
            </w:r>
            <w:r>
              <w:rPr>
                <w:rFonts w:hint="default" w:ascii="Times New Roman" w:hAnsi="Times New Roman" w:cs="Times New Roman"/>
                <w:color w:val="000000" w:themeColor="text1"/>
                <w:sz w:val="24"/>
                <w:szCs w:val="24"/>
                <w:highlight w:val="none"/>
                <w:lang w:val="en-GB"/>
                <w14:textFill>
                  <w14:solidFill>
                    <w14:schemeClr w14:val="tx1"/>
                  </w14:solidFill>
                </w14:textFill>
              </w:rPr>
              <w:t>工序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实</w:t>
            </w:r>
            <w:r>
              <w:rPr>
                <w:rFonts w:hint="default" w:ascii="Times New Roman" w:hAnsi="Times New Roman" w:eastAsia="宋体" w:cs="Times New Roman"/>
                <w:sz w:val="24"/>
                <w:szCs w:val="24"/>
                <w:highlight w:val="none"/>
              </w:rPr>
              <w:t>芯焊丝</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焊接</w:t>
            </w:r>
            <w:r>
              <w:rPr>
                <w:rFonts w:hint="default" w:ascii="Times New Roman" w:hAnsi="Times New Roman" w:cs="Times New Roman"/>
                <w:color w:val="000000" w:themeColor="text1"/>
                <w:sz w:val="24"/>
                <w:szCs w:val="24"/>
                <w:highlight w:val="none"/>
                <w:lang w:val="en-GB"/>
                <w14:textFill>
                  <w14:solidFill>
                    <w14:schemeClr w14:val="tx1"/>
                  </w14:solidFill>
                </w14:textFill>
              </w:rPr>
              <w:t>产污系数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为9.19</w:t>
            </w:r>
            <w:r>
              <w:rPr>
                <w:rFonts w:hint="default" w:ascii="Times New Roman" w:hAnsi="Times New Roman" w:cs="Times New Roman"/>
                <w:color w:val="000000" w:themeColor="text1"/>
                <w:sz w:val="24"/>
                <w:szCs w:val="24"/>
                <w:highlight w:val="none"/>
                <w:lang w:val="en-GB"/>
                <w14:textFill>
                  <w14:solidFill>
                    <w14:schemeClr w14:val="tx1"/>
                  </w14:solidFill>
                </w14:textFill>
              </w:rPr>
              <w:t>千克/吨原料</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现有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项目年消耗药</w:t>
            </w:r>
            <w:r>
              <w:rPr>
                <w:rFonts w:hint="default" w:ascii="Times New Roman" w:hAnsi="Times New Roman" w:eastAsia="宋体" w:cs="Times New Roman"/>
                <w:sz w:val="24"/>
                <w:szCs w:val="24"/>
                <w:highlight w:val="none"/>
              </w:rPr>
              <w:t>芯焊丝</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0.4</w:t>
            </w:r>
            <w:r>
              <w:rPr>
                <w:rFonts w:hint="default" w:ascii="Times New Roman" w:hAnsi="Times New Roman" w:cs="Times New Roman"/>
                <w:color w:val="000000" w:themeColor="text1"/>
                <w:sz w:val="24"/>
                <w:szCs w:val="24"/>
                <w:highlight w:val="none"/>
                <w:lang w:val="en-GB"/>
                <w14:textFill>
                  <w14:solidFill>
                    <w14:schemeClr w14:val="tx1"/>
                  </w14:solidFill>
                </w14:textFill>
              </w:rPr>
              <w:t>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，则焊接颗粒物产生总量为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0.003676</w:t>
            </w:r>
            <w:r>
              <w:rPr>
                <w:rFonts w:hint="default" w:ascii="Times New Roman" w:hAnsi="Times New Roman" w:cs="Times New Roman" w:eastAsiaTheme="minorEastAsia"/>
                <w:highlight w:val="none"/>
                <w:lang w:val="en-GB" w:eastAsia="zh-CN"/>
              </w:rPr>
              <w:t>t/a。</w:t>
            </w:r>
            <w:r>
              <w:rPr>
                <w:rFonts w:hint="default" w:ascii="Times New Roman" w:hAnsi="Times New Roman" w:cs="Times New Roman" w:eastAsiaTheme="minorEastAsia"/>
                <w:highlight w:val="none"/>
                <w:lang w:val="en-US" w:eastAsia="zh-CN"/>
              </w:rPr>
              <w:t>收集效率取80%，</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处</w:t>
            </w:r>
            <w:r>
              <w:rPr>
                <w:rFonts w:hint="default" w:ascii="Times New Roman" w:hAnsi="Times New Roman" w:cs="Times New Roman"/>
                <w:color w:val="000000" w:themeColor="text1"/>
                <w:sz w:val="24"/>
                <w:szCs w:val="24"/>
                <w:lang w:val="en-GB" w:eastAsia="zh-CN"/>
                <w14:textFill>
                  <w14:solidFill>
                    <w14:schemeClr w14:val="tx1"/>
                  </w14:solidFill>
                </w14:textFill>
              </w:rPr>
              <w:t>理效率参考《排放源统计调查产排污核算方法和系数手册》（生态环境部办公厅2021年6月11日印发）中《机械行业系数手册》09焊接工序的末端治理技术名称“其他（移动式烟尘净化器）”以95%计，则</w:t>
            </w:r>
            <w:r>
              <w:rPr>
                <w:rFonts w:hint="default" w:ascii="Times New Roman" w:hAnsi="Times New Roman" w:cs="Times New Roman"/>
                <w:color w:val="000000" w:themeColor="text1"/>
                <w:sz w:val="24"/>
                <w:szCs w:val="24"/>
                <w:lang w:val="en-US" w:eastAsia="zh-CN"/>
                <w14:textFill>
                  <w14:solidFill>
                    <w14:schemeClr w14:val="tx1"/>
                  </w14:solidFill>
                </w14:textFill>
              </w:rPr>
              <w:t>焊接过程排放量为0.00</w:t>
            </w:r>
            <w:r>
              <w:rPr>
                <w:rFonts w:hint="eastAsia" w:ascii="Times New Roman" w:hAnsi="Times New Roman" w:cs="Times New Roman"/>
                <w:color w:val="000000" w:themeColor="text1"/>
                <w:sz w:val="24"/>
                <w:szCs w:val="24"/>
                <w:lang w:val="en-US" w:eastAsia="zh-CN"/>
                <w14:textFill>
                  <w14:solidFill>
                    <w14:schemeClr w14:val="tx1"/>
                  </w14:solidFill>
                </w14:textFill>
              </w:rPr>
              <w:t>09</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default" w:ascii="Times New Roman" w:hAnsi="Times New Roman" w:cs="Times New Roman"/>
                <w:color w:val="000000" w:themeColor="text1"/>
                <w:sz w:val="24"/>
                <w:highlight w:val="none"/>
                <w14:textFill>
                  <w14:solidFill>
                    <w14:schemeClr w14:val="tx1"/>
                  </w14:solidFill>
                </w14:textFill>
              </w:rPr>
              <w:t>。</w:t>
            </w:r>
          </w:p>
          <w:p w14:paraId="47BCB78C">
            <w:pPr>
              <w:keepNext w:val="0"/>
              <w:keepLines w:val="0"/>
              <w:widowControl/>
              <w:suppressLineNumbers w:val="0"/>
              <w:spacing w:line="360" w:lineRule="auto"/>
              <w:ind w:firstLine="480" w:firstLineChars="200"/>
              <w:jc w:val="left"/>
              <w:rPr>
                <w:rFonts w:hint="eastAsia" w:cs="Times New Roman"/>
                <w:b w:val="0"/>
                <w:bCs/>
                <w:color w:val="auto"/>
                <w:sz w:val="24"/>
                <w:lang w:val="en-US" w:eastAsia="zh-CN"/>
              </w:rPr>
            </w:pPr>
            <w:r>
              <w:rPr>
                <w:rFonts w:hint="eastAsia" w:cs="Times New Roman"/>
                <w:b w:val="0"/>
                <w:bCs/>
                <w:color w:val="auto"/>
                <w:sz w:val="24"/>
                <w:lang w:val="en-US" w:eastAsia="zh-CN"/>
              </w:rPr>
              <w:t>（3）噪声：现有工程在生产过程中昼间噪声满足《工业企业厂界环境噪声排放标准》（GB12348-2008）3类标准要求。</w:t>
            </w:r>
          </w:p>
          <w:p w14:paraId="4B4CC6DA">
            <w:pPr>
              <w:keepNext w:val="0"/>
              <w:keepLines w:val="0"/>
              <w:widowControl/>
              <w:suppressLineNumbers w:val="0"/>
              <w:spacing w:line="360" w:lineRule="auto"/>
              <w:ind w:firstLine="480" w:firstLineChars="200"/>
              <w:jc w:val="left"/>
              <w:rPr>
                <w:rFonts w:hint="eastAsia" w:cs="Times New Roman"/>
                <w:b w:val="0"/>
                <w:bCs/>
                <w:color w:val="auto"/>
                <w:sz w:val="24"/>
                <w:lang w:val="en-US" w:eastAsia="zh-CN"/>
              </w:rPr>
            </w:pPr>
            <w:r>
              <w:rPr>
                <w:rFonts w:hint="eastAsia" w:cs="Times New Roman"/>
                <w:b w:val="0"/>
                <w:bCs/>
                <w:color w:val="auto"/>
                <w:sz w:val="24"/>
                <w:lang w:val="en-US" w:eastAsia="zh-CN"/>
              </w:rPr>
              <w:t>（4）固体废物：现有工程生活垃圾由环卫部门统一处理；一般固废暂存于一般固废暂存区，定期外售；危废暂存于厂区危废暂存间，交由有资质单位处置。</w:t>
            </w:r>
          </w:p>
          <w:p w14:paraId="71F67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color w:val="auto"/>
                <w:sz w:val="24"/>
                <w:lang w:val="en-US" w:eastAsia="zh-CN"/>
              </w:rPr>
            </w:pPr>
            <w:r>
              <w:rPr>
                <w:rFonts w:ascii="Times New Roman" w:hAnsi="Times New Roman" w:eastAsia="宋体"/>
                <w:b/>
                <w:kern w:val="0"/>
                <w:sz w:val="22"/>
                <w:szCs w:val="22"/>
              </w:rPr>
              <w:t>表2-</w:t>
            </w:r>
            <w:r>
              <w:rPr>
                <w:rFonts w:hint="eastAsia"/>
                <w:b/>
                <w:kern w:val="0"/>
                <w:sz w:val="22"/>
                <w:szCs w:val="22"/>
                <w:lang w:val="en-US" w:eastAsia="zh-CN"/>
              </w:rPr>
              <w:t>15</w:t>
            </w:r>
            <w:r>
              <w:rPr>
                <w:rFonts w:ascii="Times New Roman" w:hAnsi="Times New Roman" w:eastAsia="宋体"/>
                <w:b/>
                <w:kern w:val="0"/>
                <w:sz w:val="22"/>
                <w:szCs w:val="22"/>
              </w:rPr>
              <w:t xml:space="preserve"> </w:t>
            </w:r>
            <w:r>
              <w:rPr>
                <w:rFonts w:hint="eastAsia" w:ascii="Times New Roman" w:hAnsi="Times New Roman" w:eastAsia="宋体"/>
                <w:b/>
                <w:kern w:val="0"/>
                <w:sz w:val="22"/>
                <w:szCs w:val="22"/>
                <w:lang w:val="en-US" w:eastAsia="zh-CN"/>
              </w:rPr>
              <w:t>现有固废产生处置</w:t>
            </w:r>
            <w:r>
              <w:rPr>
                <w:rFonts w:hint="eastAsia"/>
                <w:b/>
                <w:kern w:val="0"/>
                <w:sz w:val="22"/>
                <w:szCs w:val="22"/>
                <w:lang w:val="en-US" w:eastAsia="zh-CN"/>
              </w:rPr>
              <w:t>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2035"/>
              <w:gridCol w:w="2037"/>
              <w:gridCol w:w="2038"/>
            </w:tblGrid>
            <w:tr w14:paraId="6F17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14:paraId="1F577F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名称</w:t>
                  </w:r>
                </w:p>
              </w:tc>
              <w:tc>
                <w:tcPr>
                  <w:tcW w:w="1249" w:type="pct"/>
                  <w:vAlign w:val="center"/>
                </w:tcPr>
                <w:p w14:paraId="0B1F30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物理状态</w:t>
                  </w:r>
                </w:p>
              </w:tc>
              <w:tc>
                <w:tcPr>
                  <w:tcW w:w="1250" w:type="pct"/>
                  <w:vAlign w:val="center"/>
                </w:tcPr>
                <w:p w14:paraId="285A80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产生量（t/a）</w:t>
                  </w:r>
                </w:p>
              </w:tc>
              <w:tc>
                <w:tcPr>
                  <w:tcW w:w="1251" w:type="pct"/>
                  <w:vAlign w:val="center"/>
                </w:tcPr>
                <w:p w14:paraId="761E2C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利用/处置量（t/a）</w:t>
                  </w:r>
                </w:p>
              </w:tc>
            </w:tr>
            <w:tr w14:paraId="730E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14:paraId="3E70F7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生活垃圾</w:t>
                  </w:r>
                </w:p>
              </w:tc>
              <w:tc>
                <w:tcPr>
                  <w:tcW w:w="1249" w:type="pct"/>
                  <w:vAlign w:val="center"/>
                </w:tcPr>
                <w:p w14:paraId="2B67CE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固态</w:t>
                  </w:r>
                </w:p>
              </w:tc>
              <w:tc>
                <w:tcPr>
                  <w:tcW w:w="1250" w:type="pct"/>
                  <w:vAlign w:val="center"/>
                </w:tcPr>
                <w:p w14:paraId="6F7710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6</w:t>
                  </w:r>
                </w:p>
              </w:tc>
              <w:tc>
                <w:tcPr>
                  <w:tcW w:w="1251" w:type="pct"/>
                  <w:shd w:val="clear" w:color="auto" w:fill="auto"/>
                  <w:vAlign w:val="center"/>
                </w:tcPr>
                <w:p w14:paraId="29A2BB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6</w:t>
                  </w:r>
                </w:p>
              </w:tc>
            </w:tr>
            <w:tr w14:paraId="1EA9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vAlign w:val="center"/>
                </w:tcPr>
                <w:p w14:paraId="5764F1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vertAlign w:val="baseline"/>
                      <w:lang w:val="en-US" w:eastAsia="zh-CN"/>
                    </w:rPr>
                  </w:pPr>
                  <w:r>
                    <w:rPr>
                      <w:rFonts w:hint="default" w:ascii="Times New Roman" w:hAnsi="Times New Roman" w:eastAsia="宋体" w:cs="Times New Roman"/>
                      <w:sz w:val="21"/>
                      <w:szCs w:val="21"/>
                    </w:rPr>
                    <w:t>铁屑和边角料</w:t>
                  </w:r>
                </w:p>
              </w:tc>
              <w:tc>
                <w:tcPr>
                  <w:tcW w:w="1249" w:type="pct"/>
                  <w:vAlign w:val="center"/>
                </w:tcPr>
                <w:p w14:paraId="356970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固态</w:t>
                  </w:r>
                </w:p>
              </w:tc>
              <w:tc>
                <w:tcPr>
                  <w:tcW w:w="1250" w:type="pct"/>
                  <w:vAlign w:val="center"/>
                </w:tcPr>
                <w:p w14:paraId="5624E1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6.75</w:t>
                  </w:r>
                </w:p>
              </w:tc>
              <w:tc>
                <w:tcPr>
                  <w:tcW w:w="1251" w:type="pct"/>
                  <w:shd w:val="clear" w:color="auto" w:fill="auto"/>
                  <w:vAlign w:val="center"/>
                </w:tcPr>
                <w:p w14:paraId="5C43A1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6.75</w:t>
                  </w:r>
                </w:p>
              </w:tc>
            </w:tr>
            <w:tr w14:paraId="5763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9" w:type="pct"/>
                  <w:shd w:val="clear" w:color="auto" w:fill="auto"/>
                  <w:vAlign w:val="center"/>
                </w:tcPr>
                <w:p w14:paraId="29C0E01A">
                  <w:pPr>
                    <w:keepNext w:val="0"/>
                    <w:keepLines w:val="0"/>
                    <w:pageBreakBefore w:val="0"/>
                    <w:widowControl/>
                    <w:kinsoku/>
                    <w:wordWrap/>
                    <w:overflowPunct/>
                    <w:topLinePunct w:val="0"/>
                    <w:autoSpaceDE/>
                    <w:autoSpaceDN/>
                    <w:bidi w:val="0"/>
                    <w:spacing w:after="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废切削液</w:t>
                  </w:r>
                </w:p>
              </w:tc>
              <w:tc>
                <w:tcPr>
                  <w:tcW w:w="1249" w:type="pct"/>
                  <w:vAlign w:val="center"/>
                </w:tcPr>
                <w:p w14:paraId="267F9F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液态</w:t>
                  </w:r>
                </w:p>
              </w:tc>
              <w:tc>
                <w:tcPr>
                  <w:tcW w:w="1250" w:type="pct"/>
                  <w:vAlign w:val="center"/>
                </w:tcPr>
                <w:p w14:paraId="52AE232F">
                  <w:pPr>
                    <w:keepNext w:val="0"/>
                    <w:keepLines w:val="0"/>
                    <w:pageBreakBefore w:val="0"/>
                    <w:widowControl/>
                    <w:kinsoku/>
                    <w:wordWrap/>
                    <w:overflowPunct/>
                    <w:topLinePunct w:val="0"/>
                    <w:autoSpaceDE/>
                    <w:autoSpaceDN/>
                    <w:bidi w:val="0"/>
                    <w:spacing w:after="0"/>
                    <w:jc w:val="center"/>
                    <w:textAlignment w:val="center"/>
                    <w:rPr>
                      <w:rFonts w:hint="eastAsia" w:cs="Times New Roman"/>
                      <w:b w:val="0"/>
                      <w:bCs/>
                      <w:color w:val="auto"/>
                      <w:sz w:val="21"/>
                      <w:szCs w:val="21"/>
                      <w:vertAlign w:val="baseline"/>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1</w:t>
                  </w:r>
                  <w:r>
                    <w:rPr>
                      <w:rFonts w:hint="default" w:ascii="Times New Roman" w:hAnsi="Times New Roman" w:eastAsia="宋体" w:cs="Times New Roman"/>
                      <w:sz w:val="21"/>
                      <w:szCs w:val="21"/>
                    </w:rPr>
                    <w:t>t/a</w:t>
                  </w:r>
                </w:p>
              </w:tc>
              <w:tc>
                <w:tcPr>
                  <w:tcW w:w="1251" w:type="pct"/>
                  <w:shd w:val="clear" w:color="auto" w:fill="auto"/>
                  <w:vAlign w:val="center"/>
                </w:tcPr>
                <w:p w14:paraId="103DF746">
                  <w:pPr>
                    <w:keepNext w:val="0"/>
                    <w:keepLines w:val="0"/>
                    <w:pageBreakBefore w:val="0"/>
                    <w:widowControl/>
                    <w:kinsoku/>
                    <w:wordWrap/>
                    <w:overflowPunct/>
                    <w:topLinePunct w:val="0"/>
                    <w:autoSpaceDE/>
                    <w:autoSpaceDN/>
                    <w:bidi w:val="0"/>
                    <w:spacing w:after="0"/>
                    <w:jc w:val="center"/>
                    <w:textAlignment w:val="center"/>
                    <w:rPr>
                      <w:rFonts w:hint="eastAsia" w:cs="Times New Roman"/>
                      <w:b w:val="0"/>
                      <w:bCs/>
                      <w:color w:val="auto"/>
                      <w:sz w:val="21"/>
                      <w:szCs w:val="21"/>
                      <w:vertAlign w:val="baseline"/>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1</w:t>
                  </w:r>
                  <w:r>
                    <w:rPr>
                      <w:rFonts w:hint="default" w:ascii="Times New Roman" w:hAnsi="Times New Roman" w:eastAsia="宋体" w:cs="Times New Roman"/>
                      <w:sz w:val="21"/>
                      <w:szCs w:val="21"/>
                    </w:rPr>
                    <w:t>t/a</w:t>
                  </w:r>
                </w:p>
              </w:tc>
            </w:tr>
          </w:tbl>
          <w:p w14:paraId="01D3A098">
            <w:pPr>
              <w:bidi w:val="0"/>
              <w:rPr>
                <w:rFonts w:hint="eastAsia"/>
                <w:lang w:val="en-US" w:eastAsia="zh-CN"/>
              </w:rPr>
            </w:pPr>
          </w:p>
          <w:p w14:paraId="24980C9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3</w:t>
            </w:r>
            <w:r>
              <w:rPr>
                <w:rFonts w:hint="eastAsia" w:ascii="Times New Roman" w:hAnsi="Times New Roman" w:eastAsia="宋体" w:cs="Times New Roman"/>
                <w:b/>
                <w:bCs w:val="0"/>
                <w:color w:val="auto"/>
                <w:sz w:val="24"/>
                <w:lang w:val="en-US" w:eastAsia="zh-CN"/>
              </w:rPr>
              <w:t>、现有</w:t>
            </w:r>
            <w:r>
              <w:rPr>
                <w:rFonts w:hint="eastAsia" w:cs="Times New Roman"/>
                <w:b/>
                <w:bCs w:val="0"/>
                <w:color w:val="auto"/>
                <w:sz w:val="24"/>
                <w:lang w:val="en-US" w:eastAsia="zh-CN"/>
              </w:rPr>
              <w:t>工程</w:t>
            </w:r>
            <w:r>
              <w:rPr>
                <w:rFonts w:hint="eastAsia" w:ascii="Times New Roman" w:hAnsi="Times New Roman" w:eastAsia="宋体" w:cs="Times New Roman"/>
                <w:b/>
                <w:bCs w:val="0"/>
                <w:color w:val="auto"/>
                <w:sz w:val="24"/>
                <w:lang w:val="en-US" w:eastAsia="zh-CN"/>
              </w:rPr>
              <w:t>存在的主要环保问题及整改要求</w:t>
            </w:r>
          </w:p>
          <w:p w14:paraId="5EC67352">
            <w:pPr>
              <w:keepNext w:val="0"/>
              <w:keepLines w:val="0"/>
              <w:widowControl/>
              <w:suppressLineNumbers w:val="0"/>
              <w:spacing w:line="360" w:lineRule="auto"/>
              <w:ind w:firstLine="480" w:firstLineChars="200"/>
              <w:jc w:val="left"/>
              <w:rPr>
                <w:rFonts w:hint="eastAsia" w:cs="Times New Roman"/>
                <w:b w:val="0"/>
                <w:bCs/>
                <w:color w:val="auto"/>
                <w:sz w:val="24"/>
                <w:lang w:val="en-US" w:eastAsia="zh-CN"/>
              </w:rPr>
            </w:pPr>
            <w:r>
              <w:rPr>
                <w:rFonts w:hint="eastAsia" w:cs="Times New Roman"/>
                <w:b w:val="0"/>
                <w:bCs/>
                <w:color w:val="auto"/>
                <w:sz w:val="24"/>
                <w:lang w:val="en-US" w:eastAsia="zh-CN"/>
              </w:rPr>
              <w:t>（1）存在的主要环保问题</w:t>
            </w:r>
          </w:p>
          <w:p w14:paraId="7B0ABDB9">
            <w:pPr>
              <w:keepNext w:val="0"/>
              <w:keepLines w:val="0"/>
              <w:widowControl/>
              <w:suppressLineNumbers w:val="0"/>
              <w:spacing w:line="360" w:lineRule="auto"/>
              <w:ind w:firstLine="480" w:firstLineChars="200"/>
              <w:jc w:val="left"/>
              <w:rPr>
                <w:rFonts w:hint="default" w:cs="Times New Roman"/>
                <w:b w:val="0"/>
                <w:bCs/>
                <w:color w:val="auto"/>
                <w:sz w:val="24"/>
                <w:lang w:val="en-US" w:eastAsia="zh-CN"/>
              </w:rPr>
            </w:pPr>
            <w:r>
              <w:rPr>
                <w:rFonts w:hint="eastAsia" w:cs="Times New Roman"/>
                <w:b w:val="0"/>
                <w:bCs/>
                <w:color w:val="auto"/>
                <w:sz w:val="24"/>
                <w:lang w:val="en-US" w:eastAsia="zh-CN"/>
              </w:rPr>
              <w:t xml:space="preserve">焊接废气经焊接烟尘净化器处理后无组织排放，见下图。 </w:t>
            </w:r>
          </w:p>
          <w:p w14:paraId="7CD57123">
            <w:pPr>
              <w:keepNext w:val="0"/>
              <w:keepLines w:val="0"/>
              <w:widowControl/>
              <w:suppressLineNumbers w:val="0"/>
              <w:spacing w:line="360" w:lineRule="auto"/>
              <w:ind w:firstLine="480" w:firstLineChars="200"/>
              <w:jc w:val="left"/>
              <w:rPr>
                <w:rFonts w:hint="default" w:cs="Times New Roman"/>
                <w:b w:val="0"/>
                <w:bCs/>
                <w:color w:val="auto"/>
                <w:sz w:val="24"/>
                <w:lang w:val="en-US" w:eastAsia="zh-CN"/>
              </w:rPr>
            </w:pPr>
            <w:r>
              <w:rPr>
                <w:rFonts w:hint="eastAsia" w:eastAsia="宋体"/>
                <w:lang w:eastAsia="zh-CN"/>
              </w:rPr>
              <w:drawing>
                <wp:inline distT="0" distB="0" distL="114300" distR="114300">
                  <wp:extent cx="4201795" cy="4201795"/>
                  <wp:effectExtent l="0" t="0" r="4445" b="4445"/>
                  <wp:docPr id="75" name="图片 75" descr="3ba0ba765afe168e7dfccb330498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3ba0ba765afe168e7dfccb3304989831"/>
                          <pic:cNvPicPr>
                            <a:picLocks noChangeAspect="1"/>
                          </pic:cNvPicPr>
                        </pic:nvPicPr>
                        <pic:blipFill>
                          <a:blip r:embed="rId24"/>
                          <a:srcRect t="29954" b="13790"/>
                          <a:stretch>
                            <a:fillRect/>
                          </a:stretch>
                        </pic:blipFill>
                        <pic:spPr>
                          <a:xfrm>
                            <a:off x="0" y="0"/>
                            <a:ext cx="4201795" cy="4201795"/>
                          </a:xfrm>
                          <a:prstGeom prst="rect">
                            <a:avLst/>
                          </a:prstGeom>
                        </pic:spPr>
                      </pic:pic>
                    </a:graphicData>
                  </a:graphic>
                </wp:inline>
              </w:drawing>
            </w:r>
          </w:p>
          <w:p w14:paraId="6DA1C5F1">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（2）整改措施及要求：</w:t>
            </w:r>
          </w:p>
          <w:p w14:paraId="74CD4042">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sz w:val="24"/>
                <w:lang w:val="en-US" w:eastAsia="zh-CN"/>
              </w:rPr>
              <w:t>项目</w:t>
            </w:r>
            <w:r>
              <w:rPr>
                <w:rFonts w:hint="eastAsia" w:cs="Times New Roman"/>
                <w:b w:val="0"/>
                <w:bCs/>
                <w:color w:val="auto"/>
                <w:sz w:val="24"/>
                <w:lang w:val="en-US" w:eastAsia="zh-CN"/>
              </w:rPr>
              <w:t>技改完成</w:t>
            </w:r>
            <w:r>
              <w:rPr>
                <w:rFonts w:hint="eastAsia" w:ascii="Times New Roman" w:hAnsi="Times New Roman" w:eastAsia="宋体" w:cs="Times New Roman"/>
                <w:b w:val="0"/>
                <w:bCs/>
                <w:color w:val="auto"/>
                <w:sz w:val="24"/>
                <w:lang w:val="en-US" w:eastAsia="zh-CN"/>
              </w:rPr>
              <w:t>后</w:t>
            </w:r>
            <w:r>
              <w:rPr>
                <w:rFonts w:hint="eastAsia" w:cs="Times New Roman"/>
                <w:b w:val="0"/>
                <w:bCs/>
                <w:color w:val="auto"/>
                <w:sz w:val="24"/>
                <w:lang w:val="en-US" w:eastAsia="zh-CN"/>
              </w:rPr>
              <w:t>焊接废气由布袋除尘器处理后经24米高排气筒达标排放</w:t>
            </w:r>
            <w:r>
              <w:rPr>
                <w:rFonts w:hint="eastAsia" w:ascii="Times New Roman" w:hAnsi="Times New Roman" w:eastAsia="宋体" w:cs="Times New Roman"/>
                <w:b w:val="0"/>
                <w:bCs/>
                <w:color w:val="auto"/>
                <w:sz w:val="24"/>
                <w:lang w:val="en-US" w:eastAsia="zh-CN"/>
              </w:rPr>
              <w:t>。</w:t>
            </w:r>
            <w:r>
              <w:rPr>
                <w:rFonts w:hint="eastAsia" w:cs="Times New Roman"/>
                <w:b w:val="0"/>
                <w:bCs/>
                <w:color w:val="auto"/>
                <w:sz w:val="24"/>
                <w:lang w:val="en-US" w:eastAsia="zh-CN"/>
              </w:rPr>
              <w:t>建议建设单位在环评批复后半年内整改完成。</w:t>
            </w:r>
          </w:p>
        </w:tc>
      </w:tr>
    </w:tbl>
    <w:p w14:paraId="38916702">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both"/>
        <w:textAlignment w:val="auto"/>
        <w:rPr>
          <w:rFonts w:hint="eastAsia"/>
          <w:b w:val="0"/>
          <w:bCs w:val="0"/>
          <w:snapToGrid w:val="0"/>
          <w:sz w:val="30"/>
          <w:lang w:val="en-US" w:eastAsia="zh-CN"/>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24C1CF04">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0"/>
        </w:rPr>
      </w:pPr>
      <w:r>
        <w:rPr>
          <w:rFonts w:hint="eastAsia"/>
          <w:b w:val="0"/>
          <w:bCs w:val="0"/>
          <w:snapToGrid w:val="0"/>
          <w:sz w:val="30"/>
          <w:lang w:val="en-US" w:eastAsia="zh-CN"/>
        </w:rPr>
        <w:t>三、</w:t>
      </w:r>
      <w:r>
        <w:rPr>
          <w:rFonts w:hint="eastAsia"/>
          <w:b w:val="0"/>
          <w:bCs w:val="0"/>
          <w:snapToGrid w:val="0"/>
          <w:sz w:val="30"/>
        </w:rPr>
        <w:t>区域环境质量现状、环境保护目标及评价标准</w:t>
      </w:r>
    </w:p>
    <w:tbl>
      <w:tblPr>
        <w:tblStyle w:val="2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57" w:type="dxa"/>
          <w:bottom w:w="57" w:type="dxa"/>
          <w:right w:w="57" w:type="dxa"/>
        </w:tblCellMar>
      </w:tblPr>
      <w:tblGrid>
        <w:gridCol w:w="494"/>
        <w:gridCol w:w="8496"/>
      </w:tblGrid>
      <w:tr w14:paraId="480EB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2906" w:hRule="atLeast"/>
          <w:jc w:val="center"/>
        </w:trPr>
        <w:tc>
          <w:tcPr>
            <w:tcW w:w="520" w:type="dxa"/>
            <w:noWrap w:val="0"/>
            <w:vAlign w:val="center"/>
          </w:tcPr>
          <w:p w14:paraId="3BB1F219">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区域</w:t>
            </w:r>
          </w:p>
          <w:p w14:paraId="2DE0DEBC">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14:paraId="0A4A4D8D">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质量</w:t>
            </w:r>
          </w:p>
          <w:p w14:paraId="26036D79">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现状</w:t>
            </w:r>
          </w:p>
        </w:tc>
        <w:tc>
          <w:tcPr>
            <w:tcW w:w="8470" w:type="dxa"/>
            <w:noWrap w:val="0"/>
            <w:vAlign w:val="center"/>
          </w:tcPr>
          <w:p w14:paraId="5B2C4EC6">
            <w:pPr>
              <w:spacing w:line="360" w:lineRule="auto"/>
              <w:jc w:val="left"/>
              <w:rPr>
                <w:rFonts w:hint="eastAsia"/>
                <w:b/>
                <w:sz w:val="24"/>
                <w:lang w:val="en-US" w:eastAsia="zh-CN"/>
              </w:rPr>
            </w:pPr>
            <w:r>
              <w:rPr>
                <w:rFonts w:hint="eastAsia"/>
                <w:b/>
                <w:bCs/>
                <w:sz w:val="24"/>
                <w:lang w:val="en-US" w:eastAsia="zh-CN"/>
              </w:rPr>
              <w:t>1</w:t>
            </w:r>
            <w:r>
              <w:rPr>
                <w:b/>
                <w:bCs/>
                <w:sz w:val="24"/>
              </w:rPr>
              <w:t>、</w:t>
            </w:r>
            <w:r>
              <w:rPr>
                <w:rFonts w:hint="eastAsia"/>
                <w:b/>
                <w:sz w:val="24"/>
                <w:lang w:val="en-US" w:eastAsia="zh-CN"/>
              </w:rPr>
              <w:t>大气环境</w:t>
            </w:r>
          </w:p>
          <w:p w14:paraId="1665436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建设项目环境影响报告表编制技术指南（污染影响类）》（试行）的文件要求，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0C7C914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（1）基本污染物因子</w:t>
            </w:r>
          </w:p>
          <w:p w14:paraId="142AB0FB">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本次常规污染物环境质量现状数据引用淮北市生态环境局网站公开的2024年度环境质量公报内容。</w:t>
            </w:r>
          </w:p>
          <w:p w14:paraId="2B6BD0F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淮北市2024年城市环境空气中细颗粒物年均值为43微克/立方米，超标0.23倍；日均值范围在6～283微克/立方米之间，最大日平均浓度超标2.77倍，日均值达标率87.4%。</w:t>
            </w:r>
          </w:p>
          <w:p w14:paraId="56E99EAC">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二氧化硫年均值为6微克/立方米，符合国家一级标准要求，年均值达标率100%；日均值范围在2～15微克/立方米之间，符合国家一级标准要求，日均值达标率100%；小时浓度值范围在1～21微克/立方米之间，符合国家一级标准要求，小时均值达标率100%。</w:t>
            </w:r>
          </w:p>
          <w:p w14:paraId="1FA6EFC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二氧化氮年均值为19微克/立方米，符合国家一级标准要求；日均值范围在2～59微克/立方米之间，符合国家一级标准要求，日均值达标率100%；小时均值范围在1～83微克/立方米之间，符合国家一级标准要求，小时均值达标率100%。</w:t>
            </w:r>
          </w:p>
          <w:p w14:paraId="5CBBA2E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可吸入颗粒物扣除沙尘影响后年均值为70微克/立方米，符合国家二级标准要求；日均值范围在12～336微克/立方米之间，最大日平均浓度超标1.24倍，日均值达标率92.9%。</w:t>
            </w:r>
          </w:p>
          <w:p w14:paraId="3EDA79C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一氧化碳年日均第95百分位数为1.0毫克/立方米，符合年浓度达标值要求；日均值范围在0.3～1.2毫克/立方米之间，达到一级标准要求，达标率100%；一氧化碳小时浓度值范围在0.2～2.0毫克/立方米之间，达到一级标准要求，达标率100%。</w:t>
            </w:r>
          </w:p>
          <w:p w14:paraId="2B9093DF">
            <w:pPr>
              <w:autoSpaceDE w:val="0"/>
              <w:autoSpaceDN w:val="0"/>
              <w:adjustRightInd w:val="0"/>
              <w:snapToGrid w:val="0"/>
              <w:spacing w:line="360" w:lineRule="auto"/>
              <w:ind w:firstLine="480" w:firstLineChars="200"/>
              <w:jc w:val="both"/>
              <w:rPr>
                <w:rFonts w:hint="eastAsia" w:ascii="宋体" w:hAnsi="宋体" w:cs="宋体"/>
                <w:kern w:val="0"/>
                <w:sz w:val="24"/>
                <w:szCs w:val="24"/>
                <w:lang w:val="en-US" w:eastAsia="zh-CN"/>
              </w:rPr>
            </w:pPr>
            <w:r>
              <w:rPr>
                <w:rFonts w:hint="eastAsia"/>
                <w:color w:val="000000"/>
                <w:kern w:val="0"/>
                <w:sz w:val="24"/>
                <w:lang w:val="en-US" w:eastAsia="zh-CN"/>
              </w:rPr>
              <w:t>臭氧年日最大8小时滑动平均值第90百分位数为175微克/立方米，超过年浓度达标值要求，超标0.09倍；日最大8小时滑动平均值范围在29～254微克/立方米之间，最大值超标0.59倍，日最大8小时滑动平均值达标率83.6%；臭氧小时浓度值范围在2～264微克/立方米之间，最大小时浓度超标0.32倍，达标率98.5%。</w:t>
            </w:r>
          </w:p>
          <w:p w14:paraId="5D19C4D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Times New Roman" w:hAnsi="Times New Roman" w:eastAsia="宋体" w:cs="Times New Roman"/>
                <w:b/>
                <w:bCs/>
                <w:sz w:val="22"/>
                <w:szCs w:val="22"/>
                <w:lang w:val="en-US" w:eastAsia="zh-CN"/>
              </w:rPr>
              <w:t>表3-</w:t>
            </w:r>
            <w:r>
              <w:rPr>
                <w:rFonts w:hint="default" w:ascii="Times New Roman" w:hAnsi="Times New Roman" w:cs="Times New Roman"/>
                <w:b/>
                <w:bCs/>
                <w:sz w:val="22"/>
                <w:szCs w:val="22"/>
                <w:lang w:val="en-US" w:eastAsia="zh-CN"/>
              </w:rPr>
              <w:t>1</w:t>
            </w:r>
            <w:r>
              <w:rPr>
                <w:rFonts w:hint="default" w:ascii="Times New Roman" w:hAnsi="Times New Roman" w:eastAsia="宋体" w:cs="Times New Roman"/>
                <w:b/>
                <w:bCs/>
                <w:sz w:val="22"/>
                <w:szCs w:val="22"/>
                <w:lang w:val="en-US" w:eastAsia="zh-CN"/>
              </w:rPr>
              <w:t xml:space="preserve">  </w:t>
            </w:r>
            <w:r>
              <w:rPr>
                <w:rFonts w:hint="default" w:ascii="Times New Roman" w:hAnsi="Times New Roman" w:cs="Times New Roman"/>
                <w:b/>
                <w:bCs/>
                <w:sz w:val="22"/>
                <w:szCs w:val="22"/>
                <w:lang w:val="en-US" w:eastAsia="zh-CN"/>
              </w:rPr>
              <w:t>基本</w:t>
            </w:r>
            <w:r>
              <w:rPr>
                <w:rFonts w:hint="default" w:ascii="Times New Roman" w:hAnsi="Times New Roman" w:eastAsia="宋体" w:cs="Times New Roman"/>
                <w:b/>
                <w:bCs/>
                <w:sz w:val="22"/>
                <w:szCs w:val="22"/>
                <w:lang w:val="en-US" w:eastAsia="zh-CN"/>
              </w:rPr>
              <w:t>污染物现状浓度一览表</w:t>
            </w:r>
          </w:p>
          <w:tbl>
            <w:tblPr>
              <w:tblStyle w:val="24"/>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03"/>
              <w:gridCol w:w="1616"/>
              <w:gridCol w:w="2039"/>
              <w:gridCol w:w="1991"/>
              <w:gridCol w:w="1274"/>
            </w:tblGrid>
            <w:tr w14:paraId="5AAC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tcBorders>
                    <w:tl2br w:val="nil"/>
                    <w:tr2bl w:val="nil"/>
                  </w:tcBorders>
                  <w:noWrap/>
                  <w:tcMar>
                    <w:top w:w="57" w:type="dxa"/>
                    <w:left w:w="57" w:type="dxa"/>
                    <w:bottom w:w="57" w:type="dxa"/>
                    <w:right w:w="57" w:type="dxa"/>
                  </w:tcMar>
                  <w:vAlign w:val="center"/>
                </w:tcPr>
                <w:p w14:paraId="15C61C3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cs="宋体"/>
                      <w:b/>
                      <w:bCs/>
                      <w:color w:val="000000"/>
                      <w:kern w:val="2"/>
                      <w:sz w:val="22"/>
                      <w:szCs w:val="22"/>
                      <w:highlight w:val="none"/>
                      <w:lang w:val="en-US" w:eastAsia="zh-CN"/>
                    </w:rPr>
                    <w:t>污染物项目</w:t>
                  </w:r>
                </w:p>
              </w:tc>
              <w:tc>
                <w:tcPr>
                  <w:tcW w:w="987" w:type="pct"/>
                  <w:tcBorders>
                    <w:tl2br w:val="nil"/>
                    <w:tr2bl w:val="nil"/>
                  </w:tcBorders>
                  <w:noWrap/>
                  <w:tcMar>
                    <w:top w:w="57" w:type="dxa"/>
                    <w:left w:w="57" w:type="dxa"/>
                    <w:bottom w:w="57" w:type="dxa"/>
                    <w:right w:w="57" w:type="dxa"/>
                  </w:tcMar>
                  <w:vAlign w:val="center"/>
                </w:tcPr>
                <w:p w14:paraId="16FBB5A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宋体" w:hAnsi="宋体" w:cs="宋体"/>
                      <w:b/>
                      <w:bCs/>
                      <w:color w:val="000000"/>
                      <w:kern w:val="2"/>
                      <w:sz w:val="22"/>
                      <w:szCs w:val="22"/>
                      <w:highlight w:val="none"/>
                      <w:lang w:val="en-US" w:eastAsia="zh-CN"/>
                    </w:rPr>
                    <w:t>平均时间</w:t>
                  </w:r>
                </w:p>
              </w:tc>
              <w:tc>
                <w:tcPr>
                  <w:tcW w:w="1241" w:type="pct"/>
                  <w:tcBorders>
                    <w:tl2br w:val="nil"/>
                    <w:tr2bl w:val="nil"/>
                  </w:tcBorders>
                  <w:noWrap/>
                  <w:tcMar>
                    <w:top w:w="57" w:type="dxa"/>
                    <w:left w:w="57" w:type="dxa"/>
                    <w:bottom w:w="57" w:type="dxa"/>
                    <w:right w:w="57" w:type="dxa"/>
                  </w:tcMar>
                  <w:vAlign w:val="center"/>
                </w:tcPr>
                <w:p w14:paraId="6BF65BB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bidi="ar-SA"/>
                    </w:rPr>
                  </w:pPr>
                  <w:r>
                    <w:rPr>
                      <w:rFonts w:hint="eastAsia" w:ascii="宋体" w:hAnsi="宋体" w:cs="宋体"/>
                      <w:b/>
                      <w:bCs/>
                      <w:color w:val="000000"/>
                      <w:kern w:val="2"/>
                      <w:sz w:val="22"/>
                      <w:szCs w:val="22"/>
                      <w:highlight w:val="none"/>
                      <w:lang w:val="en-US" w:eastAsia="zh-CN" w:bidi="ar-SA"/>
                    </w:rPr>
                    <w:t>浓度限值（</w:t>
                  </w:r>
                  <w:r>
                    <w:rPr>
                      <w:rFonts w:hint="default"/>
                      <w:b/>
                      <w:bCs/>
                      <w:color w:val="000000"/>
                      <w:kern w:val="0"/>
                      <w:sz w:val="22"/>
                      <w:szCs w:val="22"/>
                      <w:lang w:val="en-US" w:eastAsia="zh-CN"/>
                    </w:rPr>
                    <w:t>μg/m</w:t>
                  </w:r>
                  <w:r>
                    <w:rPr>
                      <w:rFonts w:hint="default"/>
                      <w:b/>
                      <w:bCs/>
                      <w:color w:val="000000"/>
                      <w:kern w:val="0"/>
                      <w:sz w:val="22"/>
                      <w:szCs w:val="22"/>
                      <w:vertAlign w:val="superscript"/>
                      <w:lang w:val="en-US" w:eastAsia="zh-CN"/>
                    </w:rPr>
                    <w:t>3</w:t>
                  </w:r>
                  <w:r>
                    <w:rPr>
                      <w:rFonts w:hint="eastAsia" w:ascii="宋体" w:hAnsi="宋体" w:cs="宋体"/>
                      <w:b/>
                      <w:bCs/>
                      <w:color w:val="000000"/>
                      <w:kern w:val="2"/>
                      <w:sz w:val="22"/>
                      <w:szCs w:val="22"/>
                      <w:highlight w:val="none"/>
                      <w:lang w:val="en-US" w:eastAsia="zh-CN" w:bidi="ar-SA"/>
                    </w:rPr>
                    <w:t>）</w:t>
                  </w:r>
                </w:p>
              </w:tc>
              <w:tc>
                <w:tcPr>
                  <w:tcW w:w="1129" w:type="pct"/>
                  <w:tcBorders>
                    <w:tl2br w:val="nil"/>
                    <w:tr2bl w:val="nil"/>
                  </w:tcBorders>
                  <w:noWrap/>
                  <w:tcMar>
                    <w:top w:w="57" w:type="dxa"/>
                    <w:left w:w="57" w:type="dxa"/>
                    <w:bottom w:w="57" w:type="dxa"/>
                    <w:right w:w="57" w:type="dxa"/>
                  </w:tcMar>
                  <w:vAlign w:val="center"/>
                </w:tcPr>
                <w:p w14:paraId="09BD0A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bidi="ar-SA"/>
                    </w:rPr>
                  </w:pPr>
                  <w:r>
                    <w:rPr>
                      <w:rFonts w:hint="eastAsia" w:ascii="宋体" w:hAnsi="宋体" w:cs="宋体"/>
                      <w:b/>
                      <w:bCs/>
                      <w:color w:val="000000"/>
                      <w:kern w:val="2"/>
                      <w:sz w:val="22"/>
                      <w:szCs w:val="22"/>
                      <w:highlight w:val="none"/>
                      <w:lang w:val="en-US" w:eastAsia="zh-CN" w:bidi="ar-SA"/>
                    </w:rPr>
                    <w:t>现状浓度（</w:t>
                  </w:r>
                  <w:r>
                    <w:rPr>
                      <w:rFonts w:hint="default"/>
                      <w:b/>
                      <w:bCs/>
                      <w:color w:val="000000"/>
                      <w:kern w:val="0"/>
                      <w:sz w:val="22"/>
                      <w:szCs w:val="22"/>
                      <w:lang w:val="en-US" w:eastAsia="zh-CN"/>
                    </w:rPr>
                    <w:t>μg/m</w:t>
                  </w:r>
                  <w:r>
                    <w:rPr>
                      <w:rFonts w:hint="default"/>
                      <w:b/>
                      <w:bCs/>
                      <w:color w:val="000000"/>
                      <w:kern w:val="0"/>
                      <w:sz w:val="22"/>
                      <w:szCs w:val="22"/>
                      <w:vertAlign w:val="superscript"/>
                      <w:lang w:val="en-US" w:eastAsia="zh-CN"/>
                    </w:rPr>
                    <w:t>3</w:t>
                  </w:r>
                  <w:r>
                    <w:rPr>
                      <w:rFonts w:hint="eastAsia" w:ascii="宋体" w:hAnsi="宋体" w:cs="宋体"/>
                      <w:b/>
                      <w:bCs/>
                      <w:color w:val="000000"/>
                      <w:kern w:val="2"/>
                      <w:sz w:val="22"/>
                      <w:szCs w:val="22"/>
                      <w:highlight w:val="none"/>
                      <w:lang w:val="en-US" w:eastAsia="zh-CN" w:bidi="ar-SA"/>
                    </w:rPr>
                    <w:t>）</w:t>
                  </w:r>
                </w:p>
              </w:tc>
              <w:tc>
                <w:tcPr>
                  <w:tcW w:w="781" w:type="pct"/>
                  <w:tcBorders>
                    <w:tl2br w:val="nil"/>
                    <w:tr2bl w:val="nil"/>
                  </w:tcBorders>
                  <w:noWrap/>
                  <w:tcMar>
                    <w:top w:w="57" w:type="dxa"/>
                    <w:left w:w="57" w:type="dxa"/>
                    <w:bottom w:w="57" w:type="dxa"/>
                    <w:right w:w="57" w:type="dxa"/>
                  </w:tcMar>
                  <w:vAlign w:val="center"/>
                </w:tcPr>
                <w:p w14:paraId="681D45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bidi="ar-SA"/>
                    </w:rPr>
                  </w:pPr>
                  <w:r>
                    <w:rPr>
                      <w:rFonts w:hint="eastAsia" w:ascii="宋体" w:hAnsi="宋体" w:cs="宋体"/>
                      <w:b/>
                      <w:bCs/>
                      <w:color w:val="000000"/>
                      <w:kern w:val="2"/>
                      <w:sz w:val="22"/>
                      <w:szCs w:val="22"/>
                      <w:highlight w:val="none"/>
                      <w:lang w:val="en-US" w:eastAsia="zh-CN" w:bidi="ar-SA"/>
                    </w:rPr>
                    <w:t>达标情况</w:t>
                  </w:r>
                </w:p>
              </w:tc>
            </w:tr>
            <w:tr w14:paraId="09E3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36AE6AE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SO</w:t>
                  </w:r>
                  <w:r>
                    <w:rPr>
                      <w:rFonts w:hint="eastAsia" w:cs="Times New Roman"/>
                      <w:color w:val="000000"/>
                      <w:kern w:val="2"/>
                      <w:sz w:val="21"/>
                      <w:szCs w:val="21"/>
                      <w:highlight w:val="none"/>
                      <w:vertAlign w:val="subscript"/>
                      <w:lang w:val="en-US" w:eastAsia="zh-CN"/>
                    </w:rPr>
                    <w:t>2</w:t>
                  </w:r>
                </w:p>
              </w:tc>
              <w:tc>
                <w:tcPr>
                  <w:tcW w:w="987" w:type="pct"/>
                  <w:tcBorders>
                    <w:tl2br w:val="nil"/>
                    <w:tr2bl w:val="nil"/>
                  </w:tcBorders>
                  <w:noWrap/>
                  <w:tcMar>
                    <w:top w:w="57" w:type="dxa"/>
                    <w:left w:w="57" w:type="dxa"/>
                    <w:bottom w:w="57" w:type="dxa"/>
                    <w:right w:w="57" w:type="dxa"/>
                  </w:tcMar>
                  <w:vAlign w:val="center"/>
                </w:tcPr>
                <w:p w14:paraId="3F5AAC3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年平均</w:t>
                  </w:r>
                </w:p>
              </w:tc>
              <w:tc>
                <w:tcPr>
                  <w:tcW w:w="1241" w:type="pct"/>
                  <w:tcBorders>
                    <w:tl2br w:val="nil"/>
                    <w:tr2bl w:val="nil"/>
                  </w:tcBorders>
                  <w:shd w:val="clear" w:color="auto" w:fill="auto"/>
                  <w:noWrap/>
                  <w:tcMar>
                    <w:top w:w="57" w:type="dxa"/>
                    <w:left w:w="57" w:type="dxa"/>
                    <w:bottom w:w="57" w:type="dxa"/>
                    <w:right w:w="57" w:type="dxa"/>
                  </w:tcMar>
                  <w:vAlign w:val="center"/>
                </w:tcPr>
                <w:p w14:paraId="3C21C5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60</w:t>
                  </w:r>
                </w:p>
              </w:tc>
              <w:tc>
                <w:tcPr>
                  <w:tcW w:w="1129" w:type="pct"/>
                  <w:tcBorders>
                    <w:tl2br w:val="nil"/>
                    <w:tr2bl w:val="nil"/>
                  </w:tcBorders>
                  <w:shd w:val="clear" w:color="auto" w:fill="auto"/>
                  <w:noWrap/>
                  <w:tcMar>
                    <w:top w:w="57" w:type="dxa"/>
                    <w:left w:w="57" w:type="dxa"/>
                    <w:bottom w:w="57" w:type="dxa"/>
                    <w:right w:w="57" w:type="dxa"/>
                  </w:tcMar>
                  <w:vAlign w:val="center"/>
                </w:tcPr>
                <w:p w14:paraId="443680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6</w:t>
                  </w:r>
                </w:p>
              </w:tc>
              <w:tc>
                <w:tcPr>
                  <w:tcW w:w="781" w:type="pct"/>
                  <w:tcBorders>
                    <w:tl2br w:val="nil"/>
                    <w:tr2bl w:val="nil"/>
                  </w:tcBorders>
                  <w:shd w:val="clear" w:color="auto" w:fill="auto"/>
                  <w:noWrap/>
                  <w:tcMar>
                    <w:top w:w="57" w:type="dxa"/>
                    <w:left w:w="57" w:type="dxa"/>
                    <w:bottom w:w="57" w:type="dxa"/>
                    <w:right w:w="57" w:type="dxa"/>
                  </w:tcMar>
                  <w:vAlign w:val="center"/>
                </w:tcPr>
                <w:p w14:paraId="4F233E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5DD6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0BE082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67D8A5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24h平均</w:t>
                  </w:r>
                </w:p>
              </w:tc>
              <w:tc>
                <w:tcPr>
                  <w:tcW w:w="1241" w:type="pct"/>
                  <w:tcBorders>
                    <w:tl2br w:val="nil"/>
                    <w:tr2bl w:val="nil"/>
                  </w:tcBorders>
                  <w:shd w:val="clear" w:color="auto" w:fill="auto"/>
                  <w:noWrap/>
                  <w:tcMar>
                    <w:top w:w="57" w:type="dxa"/>
                    <w:left w:w="57" w:type="dxa"/>
                    <w:bottom w:w="57" w:type="dxa"/>
                    <w:right w:w="57" w:type="dxa"/>
                  </w:tcMar>
                  <w:vAlign w:val="center"/>
                </w:tcPr>
                <w:p w14:paraId="6FA808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150</w:t>
                  </w:r>
                </w:p>
              </w:tc>
              <w:tc>
                <w:tcPr>
                  <w:tcW w:w="1129" w:type="pct"/>
                  <w:tcBorders>
                    <w:tl2br w:val="nil"/>
                    <w:tr2bl w:val="nil"/>
                  </w:tcBorders>
                  <w:shd w:val="clear" w:color="auto" w:fill="auto"/>
                  <w:noWrap/>
                  <w:tcMar>
                    <w:top w:w="57" w:type="dxa"/>
                    <w:left w:w="57" w:type="dxa"/>
                    <w:bottom w:w="57" w:type="dxa"/>
                    <w:right w:w="57" w:type="dxa"/>
                  </w:tcMar>
                  <w:vAlign w:val="center"/>
                </w:tcPr>
                <w:p w14:paraId="74A0B5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2~15</w:t>
                  </w:r>
                </w:p>
              </w:tc>
              <w:tc>
                <w:tcPr>
                  <w:tcW w:w="781" w:type="pct"/>
                  <w:tcBorders>
                    <w:tl2br w:val="nil"/>
                    <w:tr2bl w:val="nil"/>
                  </w:tcBorders>
                  <w:shd w:val="clear" w:color="auto" w:fill="auto"/>
                  <w:noWrap/>
                  <w:tcMar>
                    <w:top w:w="57" w:type="dxa"/>
                    <w:left w:w="57" w:type="dxa"/>
                    <w:bottom w:w="57" w:type="dxa"/>
                    <w:right w:w="57" w:type="dxa"/>
                  </w:tcMar>
                  <w:vAlign w:val="center"/>
                </w:tcPr>
                <w:p w14:paraId="5E445D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30DA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612B7B1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44BF84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1h平均</w:t>
                  </w:r>
                </w:p>
              </w:tc>
              <w:tc>
                <w:tcPr>
                  <w:tcW w:w="1241" w:type="pct"/>
                  <w:tcBorders>
                    <w:tl2br w:val="nil"/>
                    <w:tr2bl w:val="nil"/>
                  </w:tcBorders>
                  <w:shd w:val="clear" w:color="auto" w:fill="auto"/>
                  <w:noWrap/>
                  <w:tcMar>
                    <w:top w:w="57" w:type="dxa"/>
                    <w:left w:w="57" w:type="dxa"/>
                    <w:bottom w:w="57" w:type="dxa"/>
                    <w:right w:w="57" w:type="dxa"/>
                  </w:tcMar>
                  <w:vAlign w:val="center"/>
                </w:tcPr>
                <w:p w14:paraId="440CF6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500</w:t>
                  </w:r>
                </w:p>
              </w:tc>
              <w:tc>
                <w:tcPr>
                  <w:tcW w:w="1129" w:type="pct"/>
                  <w:tcBorders>
                    <w:tl2br w:val="nil"/>
                    <w:tr2bl w:val="nil"/>
                  </w:tcBorders>
                  <w:shd w:val="clear" w:color="auto" w:fill="auto"/>
                  <w:noWrap/>
                  <w:tcMar>
                    <w:top w:w="57" w:type="dxa"/>
                    <w:left w:w="57" w:type="dxa"/>
                    <w:bottom w:w="57" w:type="dxa"/>
                    <w:right w:w="57" w:type="dxa"/>
                  </w:tcMar>
                  <w:vAlign w:val="center"/>
                </w:tcPr>
                <w:p w14:paraId="4893E4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1~21</w:t>
                  </w:r>
                </w:p>
              </w:tc>
              <w:tc>
                <w:tcPr>
                  <w:tcW w:w="781" w:type="pct"/>
                  <w:tcBorders>
                    <w:tl2br w:val="nil"/>
                    <w:tr2bl w:val="nil"/>
                  </w:tcBorders>
                  <w:shd w:val="clear" w:color="auto" w:fill="auto"/>
                  <w:noWrap/>
                  <w:tcMar>
                    <w:top w:w="57" w:type="dxa"/>
                    <w:left w:w="57" w:type="dxa"/>
                    <w:bottom w:w="57" w:type="dxa"/>
                    <w:right w:w="57" w:type="dxa"/>
                  </w:tcMar>
                  <w:vAlign w:val="center"/>
                </w:tcPr>
                <w:p w14:paraId="2EF95A3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485E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693D85C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NO</w:t>
                  </w:r>
                  <w:r>
                    <w:rPr>
                      <w:rFonts w:hint="eastAsia" w:cs="Times New Roman"/>
                      <w:color w:val="000000"/>
                      <w:kern w:val="2"/>
                      <w:sz w:val="21"/>
                      <w:szCs w:val="21"/>
                      <w:highlight w:val="none"/>
                      <w:vertAlign w:val="subscript"/>
                      <w:lang w:val="en-US" w:eastAsia="zh-CN"/>
                    </w:rPr>
                    <w:t>2</w:t>
                  </w:r>
                </w:p>
              </w:tc>
              <w:tc>
                <w:tcPr>
                  <w:tcW w:w="987" w:type="pct"/>
                  <w:tcBorders>
                    <w:tl2br w:val="nil"/>
                    <w:tr2bl w:val="nil"/>
                  </w:tcBorders>
                  <w:shd w:val="clear" w:color="auto" w:fill="auto"/>
                  <w:noWrap/>
                  <w:tcMar>
                    <w:top w:w="57" w:type="dxa"/>
                    <w:left w:w="57" w:type="dxa"/>
                    <w:bottom w:w="57" w:type="dxa"/>
                    <w:right w:w="57" w:type="dxa"/>
                  </w:tcMar>
                  <w:vAlign w:val="center"/>
                </w:tcPr>
                <w:p w14:paraId="56C74C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年平均</w:t>
                  </w:r>
                </w:p>
              </w:tc>
              <w:tc>
                <w:tcPr>
                  <w:tcW w:w="1241" w:type="pct"/>
                  <w:tcBorders>
                    <w:tl2br w:val="nil"/>
                    <w:tr2bl w:val="nil"/>
                  </w:tcBorders>
                  <w:noWrap/>
                  <w:tcMar>
                    <w:top w:w="57" w:type="dxa"/>
                    <w:left w:w="57" w:type="dxa"/>
                    <w:bottom w:w="57" w:type="dxa"/>
                    <w:right w:w="57" w:type="dxa"/>
                  </w:tcMar>
                  <w:vAlign w:val="center"/>
                </w:tcPr>
                <w:p w14:paraId="3993FA1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40</w:t>
                  </w:r>
                </w:p>
              </w:tc>
              <w:tc>
                <w:tcPr>
                  <w:tcW w:w="1129" w:type="pct"/>
                  <w:tcBorders>
                    <w:tl2br w:val="nil"/>
                    <w:tr2bl w:val="nil"/>
                  </w:tcBorders>
                  <w:shd w:val="clear" w:color="auto" w:fill="auto"/>
                  <w:noWrap/>
                  <w:tcMar>
                    <w:top w:w="57" w:type="dxa"/>
                    <w:left w:w="57" w:type="dxa"/>
                    <w:bottom w:w="57" w:type="dxa"/>
                    <w:right w:w="57" w:type="dxa"/>
                  </w:tcMar>
                  <w:vAlign w:val="center"/>
                </w:tcPr>
                <w:p w14:paraId="4748D8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19</w:t>
                  </w:r>
                </w:p>
              </w:tc>
              <w:tc>
                <w:tcPr>
                  <w:tcW w:w="781" w:type="pct"/>
                  <w:tcBorders>
                    <w:tl2br w:val="nil"/>
                    <w:tr2bl w:val="nil"/>
                  </w:tcBorders>
                  <w:shd w:val="clear" w:color="auto" w:fill="auto"/>
                  <w:noWrap/>
                  <w:tcMar>
                    <w:top w:w="57" w:type="dxa"/>
                    <w:left w:w="57" w:type="dxa"/>
                    <w:bottom w:w="57" w:type="dxa"/>
                    <w:right w:w="57" w:type="dxa"/>
                  </w:tcMar>
                  <w:vAlign w:val="center"/>
                </w:tcPr>
                <w:p w14:paraId="5EBFBD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06CA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24F766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987" w:type="pct"/>
                  <w:tcBorders>
                    <w:tl2br w:val="nil"/>
                    <w:tr2bl w:val="nil"/>
                  </w:tcBorders>
                  <w:shd w:val="clear" w:color="auto" w:fill="auto"/>
                  <w:noWrap/>
                  <w:tcMar>
                    <w:top w:w="57" w:type="dxa"/>
                    <w:left w:w="57" w:type="dxa"/>
                    <w:bottom w:w="57" w:type="dxa"/>
                    <w:right w:w="57" w:type="dxa"/>
                  </w:tcMar>
                  <w:vAlign w:val="center"/>
                </w:tcPr>
                <w:p w14:paraId="6C050A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24h平均</w:t>
                  </w:r>
                </w:p>
              </w:tc>
              <w:tc>
                <w:tcPr>
                  <w:tcW w:w="1241" w:type="pct"/>
                  <w:tcBorders>
                    <w:tl2br w:val="nil"/>
                    <w:tr2bl w:val="nil"/>
                  </w:tcBorders>
                  <w:noWrap/>
                  <w:tcMar>
                    <w:top w:w="57" w:type="dxa"/>
                    <w:left w:w="57" w:type="dxa"/>
                    <w:bottom w:w="57" w:type="dxa"/>
                    <w:right w:w="57" w:type="dxa"/>
                  </w:tcMar>
                  <w:vAlign w:val="center"/>
                </w:tcPr>
                <w:p w14:paraId="128509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80</w:t>
                  </w:r>
                </w:p>
              </w:tc>
              <w:tc>
                <w:tcPr>
                  <w:tcW w:w="1129" w:type="pct"/>
                  <w:tcBorders>
                    <w:tl2br w:val="nil"/>
                    <w:tr2bl w:val="nil"/>
                  </w:tcBorders>
                  <w:shd w:val="clear" w:color="auto" w:fill="auto"/>
                  <w:noWrap/>
                  <w:tcMar>
                    <w:top w:w="57" w:type="dxa"/>
                    <w:left w:w="57" w:type="dxa"/>
                    <w:bottom w:w="57" w:type="dxa"/>
                    <w:right w:w="57" w:type="dxa"/>
                  </w:tcMar>
                  <w:vAlign w:val="center"/>
                </w:tcPr>
                <w:p w14:paraId="4348B57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2~59</w:t>
                  </w:r>
                </w:p>
              </w:tc>
              <w:tc>
                <w:tcPr>
                  <w:tcW w:w="781" w:type="pct"/>
                  <w:tcBorders>
                    <w:tl2br w:val="nil"/>
                    <w:tr2bl w:val="nil"/>
                  </w:tcBorders>
                  <w:shd w:val="clear" w:color="auto" w:fill="auto"/>
                  <w:noWrap/>
                  <w:tcMar>
                    <w:top w:w="57" w:type="dxa"/>
                    <w:left w:w="57" w:type="dxa"/>
                    <w:bottom w:w="57" w:type="dxa"/>
                    <w:right w:w="57" w:type="dxa"/>
                  </w:tcMar>
                  <w:vAlign w:val="center"/>
                </w:tcPr>
                <w:p w14:paraId="5117408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7CAA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6F7AC9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987" w:type="pct"/>
                  <w:tcBorders>
                    <w:tl2br w:val="nil"/>
                    <w:tr2bl w:val="nil"/>
                  </w:tcBorders>
                  <w:shd w:val="clear" w:color="auto" w:fill="auto"/>
                  <w:noWrap/>
                  <w:tcMar>
                    <w:top w:w="57" w:type="dxa"/>
                    <w:left w:w="57" w:type="dxa"/>
                    <w:bottom w:w="57" w:type="dxa"/>
                    <w:right w:w="57" w:type="dxa"/>
                  </w:tcMar>
                  <w:vAlign w:val="center"/>
                </w:tcPr>
                <w:p w14:paraId="3411359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1h平均</w:t>
                  </w:r>
                </w:p>
              </w:tc>
              <w:tc>
                <w:tcPr>
                  <w:tcW w:w="1241" w:type="pct"/>
                  <w:tcBorders>
                    <w:tl2br w:val="nil"/>
                    <w:tr2bl w:val="nil"/>
                  </w:tcBorders>
                  <w:noWrap/>
                  <w:tcMar>
                    <w:top w:w="57" w:type="dxa"/>
                    <w:left w:w="57" w:type="dxa"/>
                    <w:bottom w:w="57" w:type="dxa"/>
                    <w:right w:w="57" w:type="dxa"/>
                  </w:tcMar>
                  <w:vAlign w:val="center"/>
                </w:tcPr>
                <w:p w14:paraId="5E97F3D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200</w:t>
                  </w:r>
                </w:p>
              </w:tc>
              <w:tc>
                <w:tcPr>
                  <w:tcW w:w="1129" w:type="pct"/>
                  <w:tcBorders>
                    <w:tl2br w:val="nil"/>
                    <w:tr2bl w:val="nil"/>
                  </w:tcBorders>
                  <w:shd w:val="clear" w:color="auto" w:fill="auto"/>
                  <w:noWrap/>
                  <w:tcMar>
                    <w:top w:w="57" w:type="dxa"/>
                    <w:left w:w="57" w:type="dxa"/>
                    <w:bottom w:w="57" w:type="dxa"/>
                    <w:right w:w="57" w:type="dxa"/>
                  </w:tcMar>
                  <w:vAlign w:val="center"/>
                </w:tcPr>
                <w:p w14:paraId="0570D74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1~83</w:t>
                  </w:r>
                </w:p>
              </w:tc>
              <w:tc>
                <w:tcPr>
                  <w:tcW w:w="781" w:type="pct"/>
                  <w:tcBorders>
                    <w:tl2br w:val="nil"/>
                    <w:tr2bl w:val="nil"/>
                  </w:tcBorders>
                  <w:shd w:val="clear" w:color="auto" w:fill="auto"/>
                  <w:noWrap/>
                  <w:tcMar>
                    <w:top w:w="57" w:type="dxa"/>
                    <w:left w:w="57" w:type="dxa"/>
                    <w:bottom w:w="57" w:type="dxa"/>
                    <w:right w:w="57" w:type="dxa"/>
                  </w:tcMar>
                  <w:vAlign w:val="center"/>
                </w:tcPr>
                <w:p w14:paraId="3865E2C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1F48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05FB13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CO</w:t>
                  </w:r>
                </w:p>
              </w:tc>
              <w:tc>
                <w:tcPr>
                  <w:tcW w:w="987" w:type="pct"/>
                  <w:tcBorders>
                    <w:tl2br w:val="nil"/>
                    <w:tr2bl w:val="nil"/>
                  </w:tcBorders>
                  <w:shd w:val="clear" w:color="auto" w:fill="auto"/>
                  <w:noWrap/>
                  <w:tcMar>
                    <w:top w:w="57" w:type="dxa"/>
                    <w:left w:w="57" w:type="dxa"/>
                    <w:bottom w:w="57" w:type="dxa"/>
                    <w:right w:w="57" w:type="dxa"/>
                  </w:tcMar>
                  <w:vAlign w:val="center"/>
                </w:tcPr>
                <w:p w14:paraId="5587AC1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24h平均</w:t>
                  </w:r>
                </w:p>
              </w:tc>
              <w:tc>
                <w:tcPr>
                  <w:tcW w:w="1241" w:type="pct"/>
                  <w:tcBorders>
                    <w:tl2br w:val="nil"/>
                    <w:tr2bl w:val="nil"/>
                  </w:tcBorders>
                  <w:noWrap/>
                  <w:tcMar>
                    <w:top w:w="57" w:type="dxa"/>
                    <w:left w:w="57" w:type="dxa"/>
                    <w:bottom w:w="57" w:type="dxa"/>
                    <w:right w:w="57" w:type="dxa"/>
                  </w:tcMar>
                  <w:vAlign w:val="center"/>
                </w:tcPr>
                <w:p w14:paraId="35713B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4</w:t>
                  </w:r>
                </w:p>
              </w:tc>
              <w:tc>
                <w:tcPr>
                  <w:tcW w:w="1129" w:type="pct"/>
                  <w:tcBorders>
                    <w:tl2br w:val="nil"/>
                    <w:tr2bl w:val="nil"/>
                  </w:tcBorders>
                  <w:shd w:val="clear" w:color="auto" w:fill="auto"/>
                  <w:noWrap/>
                  <w:tcMar>
                    <w:top w:w="57" w:type="dxa"/>
                    <w:left w:w="57" w:type="dxa"/>
                    <w:bottom w:w="57" w:type="dxa"/>
                    <w:right w:w="57" w:type="dxa"/>
                  </w:tcMar>
                  <w:vAlign w:val="center"/>
                </w:tcPr>
                <w:p w14:paraId="3FB035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0.3~1.2</w:t>
                  </w:r>
                </w:p>
              </w:tc>
              <w:tc>
                <w:tcPr>
                  <w:tcW w:w="781" w:type="pct"/>
                  <w:tcBorders>
                    <w:tl2br w:val="nil"/>
                    <w:tr2bl w:val="nil"/>
                  </w:tcBorders>
                  <w:shd w:val="clear" w:color="auto" w:fill="auto"/>
                  <w:noWrap/>
                  <w:tcMar>
                    <w:top w:w="57" w:type="dxa"/>
                    <w:left w:w="57" w:type="dxa"/>
                    <w:bottom w:w="57" w:type="dxa"/>
                    <w:right w:w="57" w:type="dxa"/>
                  </w:tcMar>
                  <w:vAlign w:val="center"/>
                </w:tcPr>
                <w:p w14:paraId="59F7D65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0FF0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7AB1AB8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p>
              </w:tc>
              <w:tc>
                <w:tcPr>
                  <w:tcW w:w="987" w:type="pct"/>
                  <w:tcBorders>
                    <w:tl2br w:val="nil"/>
                    <w:tr2bl w:val="nil"/>
                  </w:tcBorders>
                  <w:shd w:val="clear" w:color="auto" w:fill="auto"/>
                  <w:noWrap/>
                  <w:tcMar>
                    <w:top w:w="57" w:type="dxa"/>
                    <w:left w:w="57" w:type="dxa"/>
                    <w:bottom w:w="57" w:type="dxa"/>
                    <w:right w:w="57" w:type="dxa"/>
                  </w:tcMar>
                  <w:vAlign w:val="center"/>
                </w:tcPr>
                <w:p w14:paraId="22C0187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1h平均</w:t>
                  </w:r>
                </w:p>
              </w:tc>
              <w:tc>
                <w:tcPr>
                  <w:tcW w:w="1241" w:type="pct"/>
                  <w:tcBorders>
                    <w:tl2br w:val="nil"/>
                    <w:tr2bl w:val="nil"/>
                  </w:tcBorders>
                  <w:noWrap/>
                  <w:tcMar>
                    <w:top w:w="57" w:type="dxa"/>
                    <w:left w:w="57" w:type="dxa"/>
                    <w:bottom w:w="57" w:type="dxa"/>
                    <w:right w:w="57" w:type="dxa"/>
                  </w:tcMar>
                  <w:vAlign w:val="center"/>
                </w:tcPr>
                <w:p w14:paraId="5858433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10</w:t>
                  </w:r>
                </w:p>
              </w:tc>
              <w:tc>
                <w:tcPr>
                  <w:tcW w:w="1129" w:type="pct"/>
                  <w:tcBorders>
                    <w:tl2br w:val="nil"/>
                    <w:tr2bl w:val="nil"/>
                  </w:tcBorders>
                  <w:shd w:val="clear" w:color="auto" w:fill="auto"/>
                  <w:noWrap/>
                  <w:tcMar>
                    <w:top w:w="57" w:type="dxa"/>
                    <w:left w:w="57" w:type="dxa"/>
                    <w:bottom w:w="57" w:type="dxa"/>
                    <w:right w:w="57" w:type="dxa"/>
                  </w:tcMar>
                  <w:vAlign w:val="center"/>
                </w:tcPr>
                <w:p w14:paraId="2DAE4E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0.2~2.0</w:t>
                  </w:r>
                </w:p>
              </w:tc>
              <w:tc>
                <w:tcPr>
                  <w:tcW w:w="781" w:type="pct"/>
                  <w:tcBorders>
                    <w:tl2br w:val="nil"/>
                    <w:tr2bl w:val="nil"/>
                  </w:tcBorders>
                  <w:shd w:val="clear" w:color="auto" w:fill="auto"/>
                  <w:noWrap/>
                  <w:tcMar>
                    <w:top w:w="57" w:type="dxa"/>
                    <w:left w:w="57" w:type="dxa"/>
                    <w:bottom w:w="57" w:type="dxa"/>
                    <w:right w:w="57" w:type="dxa"/>
                  </w:tcMar>
                  <w:vAlign w:val="center"/>
                </w:tcPr>
                <w:p w14:paraId="6FD82A0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54E4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1B9939A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O</w:t>
                  </w:r>
                  <w:r>
                    <w:rPr>
                      <w:rFonts w:hint="eastAsia" w:cs="Times New Roman"/>
                      <w:color w:val="000000"/>
                      <w:kern w:val="2"/>
                      <w:sz w:val="21"/>
                      <w:szCs w:val="21"/>
                      <w:highlight w:val="none"/>
                      <w:vertAlign w:val="subscript"/>
                      <w:lang w:val="en-US" w:eastAsia="zh-CN"/>
                    </w:rPr>
                    <w:t>3</w:t>
                  </w:r>
                </w:p>
              </w:tc>
              <w:tc>
                <w:tcPr>
                  <w:tcW w:w="987" w:type="pct"/>
                  <w:tcBorders>
                    <w:tl2br w:val="nil"/>
                    <w:tr2bl w:val="nil"/>
                  </w:tcBorders>
                  <w:noWrap/>
                  <w:tcMar>
                    <w:top w:w="57" w:type="dxa"/>
                    <w:left w:w="57" w:type="dxa"/>
                    <w:bottom w:w="57" w:type="dxa"/>
                    <w:right w:w="57" w:type="dxa"/>
                  </w:tcMar>
                  <w:vAlign w:val="center"/>
                </w:tcPr>
                <w:p w14:paraId="2A1086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日最大8h平均</w:t>
                  </w:r>
                </w:p>
              </w:tc>
              <w:tc>
                <w:tcPr>
                  <w:tcW w:w="1241" w:type="pct"/>
                  <w:tcBorders>
                    <w:tl2br w:val="nil"/>
                    <w:tr2bl w:val="nil"/>
                  </w:tcBorders>
                  <w:noWrap/>
                  <w:tcMar>
                    <w:top w:w="57" w:type="dxa"/>
                    <w:left w:w="57" w:type="dxa"/>
                    <w:bottom w:w="57" w:type="dxa"/>
                    <w:right w:w="57" w:type="dxa"/>
                  </w:tcMar>
                  <w:vAlign w:val="center"/>
                </w:tcPr>
                <w:p w14:paraId="0F8CAA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160</w:t>
                  </w:r>
                </w:p>
              </w:tc>
              <w:tc>
                <w:tcPr>
                  <w:tcW w:w="1129" w:type="pct"/>
                  <w:tcBorders>
                    <w:tl2br w:val="nil"/>
                    <w:tr2bl w:val="nil"/>
                  </w:tcBorders>
                  <w:shd w:val="clear" w:color="auto" w:fill="auto"/>
                  <w:noWrap/>
                  <w:tcMar>
                    <w:top w:w="57" w:type="dxa"/>
                    <w:left w:w="57" w:type="dxa"/>
                    <w:bottom w:w="57" w:type="dxa"/>
                    <w:right w:w="57" w:type="dxa"/>
                  </w:tcMar>
                  <w:vAlign w:val="center"/>
                </w:tcPr>
                <w:p w14:paraId="713A44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175</w:t>
                  </w:r>
                </w:p>
              </w:tc>
              <w:tc>
                <w:tcPr>
                  <w:tcW w:w="781" w:type="pct"/>
                  <w:tcBorders>
                    <w:tl2br w:val="nil"/>
                    <w:tr2bl w:val="nil"/>
                  </w:tcBorders>
                  <w:shd w:val="clear" w:color="auto" w:fill="auto"/>
                  <w:noWrap/>
                  <w:tcMar>
                    <w:top w:w="57" w:type="dxa"/>
                    <w:left w:w="57" w:type="dxa"/>
                    <w:bottom w:w="57" w:type="dxa"/>
                    <w:right w:w="57" w:type="dxa"/>
                  </w:tcMar>
                  <w:vAlign w:val="center"/>
                </w:tcPr>
                <w:p w14:paraId="04F47C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未达标</w:t>
                  </w:r>
                </w:p>
              </w:tc>
            </w:tr>
            <w:tr w14:paraId="17CE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2DA951D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6E9BF2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1h平均</w:t>
                  </w:r>
                </w:p>
              </w:tc>
              <w:tc>
                <w:tcPr>
                  <w:tcW w:w="1241" w:type="pct"/>
                  <w:tcBorders>
                    <w:tl2br w:val="nil"/>
                    <w:tr2bl w:val="nil"/>
                  </w:tcBorders>
                  <w:noWrap/>
                  <w:tcMar>
                    <w:top w:w="57" w:type="dxa"/>
                    <w:left w:w="57" w:type="dxa"/>
                    <w:bottom w:w="57" w:type="dxa"/>
                    <w:right w:w="57" w:type="dxa"/>
                  </w:tcMar>
                  <w:vAlign w:val="center"/>
                </w:tcPr>
                <w:p w14:paraId="3B3A43D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200</w:t>
                  </w:r>
                </w:p>
              </w:tc>
              <w:tc>
                <w:tcPr>
                  <w:tcW w:w="1129" w:type="pct"/>
                  <w:tcBorders>
                    <w:tl2br w:val="nil"/>
                    <w:tr2bl w:val="nil"/>
                  </w:tcBorders>
                  <w:shd w:val="clear" w:color="auto" w:fill="auto"/>
                  <w:noWrap/>
                  <w:tcMar>
                    <w:top w:w="57" w:type="dxa"/>
                    <w:left w:w="57" w:type="dxa"/>
                    <w:bottom w:w="57" w:type="dxa"/>
                    <w:right w:w="57" w:type="dxa"/>
                  </w:tcMar>
                  <w:vAlign w:val="center"/>
                </w:tcPr>
                <w:p w14:paraId="683D227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2~264</w:t>
                  </w:r>
                </w:p>
              </w:tc>
              <w:tc>
                <w:tcPr>
                  <w:tcW w:w="781" w:type="pct"/>
                  <w:tcBorders>
                    <w:tl2br w:val="nil"/>
                    <w:tr2bl w:val="nil"/>
                  </w:tcBorders>
                  <w:shd w:val="clear" w:color="auto" w:fill="auto"/>
                  <w:noWrap/>
                  <w:tcMar>
                    <w:top w:w="57" w:type="dxa"/>
                    <w:left w:w="57" w:type="dxa"/>
                    <w:bottom w:w="57" w:type="dxa"/>
                    <w:right w:w="57" w:type="dxa"/>
                  </w:tcMar>
                  <w:vAlign w:val="center"/>
                </w:tcPr>
                <w:p w14:paraId="15D839A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未达标</w:t>
                  </w:r>
                </w:p>
              </w:tc>
            </w:tr>
            <w:tr w14:paraId="46C7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431013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PM</w:t>
                  </w:r>
                  <w:r>
                    <w:rPr>
                      <w:rFonts w:hint="eastAsia" w:cs="Times New Roman"/>
                      <w:color w:val="000000"/>
                      <w:kern w:val="2"/>
                      <w:sz w:val="21"/>
                      <w:szCs w:val="21"/>
                      <w:highlight w:val="none"/>
                      <w:vertAlign w:val="subscript"/>
                      <w:lang w:val="en-US" w:eastAsia="zh-CN"/>
                    </w:rPr>
                    <w:t>2.5</w:t>
                  </w:r>
                </w:p>
              </w:tc>
              <w:tc>
                <w:tcPr>
                  <w:tcW w:w="987" w:type="pct"/>
                  <w:tcBorders>
                    <w:tl2br w:val="nil"/>
                    <w:tr2bl w:val="nil"/>
                  </w:tcBorders>
                  <w:noWrap/>
                  <w:tcMar>
                    <w:top w:w="57" w:type="dxa"/>
                    <w:left w:w="57" w:type="dxa"/>
                    <w:bottom w:w="57" w:type="dxa"/>
                    <w:right w:w="57" w:type="dxa"/>
                  </w:tcMar>
                  <w:vAlign w:val="center"/>
                </w:tcPr>
                <w:p w14:paraId="002D5A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年平均</w:t>
                  </w:r>
                </w:p>
              </w:tc>
              <w:tc>
                <w:tcPr>
                  <w:tcW w:w="1241" w:type="pct"/>
                  <w:tcBorders>
                    <w:tl2br w:val="nil"/>
                    <w:tr2bl w:val="nil"/>
                  </w:tcBorders>
                  <w:shd w:val="clear" w:color="auto" w:fill="auto"/>
                  <w:noWrap/>
                  <w:tcMar>
                    <w:top w:w="57" w:type="dxa"/>
                    <w:left w:w="57" w:type="dxa"/>
                    <w:bottom w:w="57" w:type="dxa"/>
                    <w:right w:w="57" w:type="dxa"/>
                  </w:tcMar>
                  <w:vAlign w:val="center"/>
                </w:tcPr>
                <w:p w14:paraId="5FB553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35</w:t>
                  </w:r>
                </w:p>
              </w:tc>
              <w:tc>
                <w:tcPr>
                  <w:tcW w:w="1129" w:type="pct"/>
                  <w:tcBorders>
                    <w:tl2br w:val="nil"/>
                    <w:tr2bl w:val="nil"/>
                  </w:tcBorders>
                  <w:shd w:val="clear" w:color="auto" w:fill="auto"/>
                  <w:noWrap/>
                  <w:tcMar>
                    <w:top w:w="57" w:type="dxa"/>
                    <w:left w:w="57" w:type="dxa"/>
                    <w:bottom w:w="57" w:type="dxa"/>
                    <w:right w:w="57" w:type="dxa"/>
                  </w:tcMar>
                  <w:vAlign w:val="center"/>
                </w:tcPr>
                <w:p w14:paraId="4B1D01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43</w:t>
                  </w:r>
                </w:p>
              </w:tc>
              <w:tc>
                <w:tcPr>
                  <w:tcW w:w="781" w:type="pct"/>
                  <w:tcBorders>
                    <w:tl2br w:val="nil"/>
                    <w:tr2bl w:val="nil"/>
                  </w:tcBorders>
                  <w:shd w:val="clear" w:color="auto" w:fill="auto"/>
                  <w:noWrap/>
                  <w:tcMar>
                    <w:top w:w="57" w:type="dxa"/>
                    <w:left w:w="57" w:type="dxa"/>
                    <w:bottom w:w="57" w:type="dxa"/>
                    <w:right w:w="57" w:type="dxa"/>
                  </w:tcMar>
                  <w:vAlign w:val="center"/>
                </w:tcPr>
                <w:p w14:paraId="48F9EA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未达标</w:t>
                  </w:r>
                </w:p>
              </w:tc>
            </w:tr>
            <w:tr w14:paraId="7DB4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005D967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16F6F42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24h平均</w:t>
                  </w:r>
                </w:p>
              </w:tc>
              <w:tc>
                <w:tcPr>
                  <w:tcW w:w="1241" w:type="pct"/>
                  <w:tcBorders>
                    <w:tl2br w:val="nil"/>
                    <w:tr2bl w:val="nil"/>
                  </w:tcBorders>
                  <w:shd w:val="clear" w:color="auto" w:fill="auto"/>
                  <w:noWrap/>
                  <w:tcMar>
                    <w:top w:w="57" w:type="dxa"/>
                    <w:left w:w="57" w:type="dxa"/>
                    <w:bottom w:w="57" w:type="dxa"/>
                    <w:right w:w="57" w:type="dxa"/>
                  </w:tcMar>
                  <w:vAlign w:val="center"/>
                </w:tcPr>
                <w:p w14:paraId="1D533FE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75</w:t>
                  </w:r>
                </w:p>
              </w:tc>
              <w:tc>
                <w:tcPr>
                  <w:tcW w:w="1129" w:type="pct"/>
                  <w:tcBorders>
                    <w:tl2br w:val="nil"/>
                    <w:tr2bl w:val="nil"/>
                  </w:tcBorders>
                  <w:shd w:val="clear" w:color="auto" w:fill="auto"/>
                  <w:noWrap/>
                  <w:tcMar>
                    <w:top w:w="57" w:type="dxa"/>
                    <w:left w:w="57" w:type="dxa"/>
                    <w:bottom w:w="57" w:type="dxa"/>
                    <w:right w:w="57" w:type="dxa"/>
                  </w:tcMar>
                  <w:vAlign w:val="center"/>
                </w:tcPr>
                <w:p w14:paraId="4D6E5BC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6~238</w:t>
                  </w:r>
                </w:p>
              </w:tc>
              <w:tc>
                <w:tcPr>
                  <w:tcW w:w="781" w:type="pct"/>
                  <w:tcBorders>
                    <w:tl2br w:val="nil"/>
                    <w:tr2bl w:val="nil"/>
                  </w:tcBorders>
                  <w:shd w:val="clear" w:color="auto" w:fill="auto"/>
                  <w:noWrap/>
                  <w:tcMar>
                    <w:top w:w="57" w:type="dxa"/>
                    <w:left w:w="57" w:type="dxa"/>
                    <w:bottom w:w="57" w:type="dxa"/>
                    <w:right w:w="57" w:type="dxa"/>
                  </w:tcMar>
                  <w:vAlign w:val="center"/>
                </w:tcPr>
                <w:p w14:paraId="6AA623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未达标</w:t>
                  </w:r>
                </w:p>
              </w:tc>
            </w:tr>
            <w:tr w14:paraId="0E07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restart"/>
                  <w:tcBorders>
                    <w:tl2br w:val="nil"/>
                    <w:tr2bl w:val="nil"/>
                  </w:tcBorders>
                  <w:noWrap/>
                  <w:tcMar>
                    <w:top w:w="57" w:type="dxa"/>
                    <w:left w:w="57" w:type="dxa"/>
                    <w:bottom w:w="57" w:type="dxa"/>
                    <w:right w:w="57" w:type="dxa"/>
                  </w:tcMar>
                  <w:vAlign w:val="center"/>
                </w:tcPr>
                <w:p w14:paraId="55094BB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PM</w:t>
                  </w:r>
                  <w:r>
                    <w:rPr>
                      <w:rFonts w:hint="eastAsia" w:cs="Times New Roman"/>
                      <w:color w:val="000000"/>
                      <w:kern w:val="2"/>
                      <w:sz w:val="21"/>
                      <w:szCs w:val="21"/>
                      <w:highlight w:val="none"/>
                      <w:vertAlign w:val="subscript"/>
                      <w:lang w:val="en-US" w:eastAsia="zh-CN"/>
                    </w:rPr>
                    <w:t>10</w:t>
                  </w:r>
                </w:p>
              </w:tc>
              <w:tc>
                <w:tcPr>
                  <w:tcW w:w="987" w:type="pct"/>
                  <w:tcBorders>
                    <w:tl2br w:val="nil"/>
                    <w:tr2bl w:val="nil"/>
                  </w:tcBorders>
                  <w:noWrap/>
                  <w:tcMar>
                    <w:top w:w="57" w:type="dxa"/>
                    <w:left w:w="57" w:type="dxa"/>
                    <w:bottom w:w="57" w:type="dxa"/>
                    <w:right w:w="57" w:type="dxa"/>
                  </w:tcMar>
                  <w:vAlign w:val="center"/>
                </w:tcPr>
                <w:p w14:paraId="2C6CC9F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年平均</w:t>
                  </w:r>
                </w:p>
              </w:tc>
              <w:tc>
                <w:tcPr>
                  <w:tcW w:w="1241" w:type="pct"/>
                  <w:tcBorders>
                    <w:tl2br w:val="nil"/>
                    <w:tr2bl w:val="nil"/>
                  </w:tcBorders>
                  <w:shd w:val="clear" w:color="auto" w:fill="auto"/>
                  <w:noWrap/>
                  <w:tcMar>
                    <w:top w:w="57" w:type="dxa"/>
                    <w:left w:w="57" w:type="dxa"/>
                    <w:bottom w:w="57" w:type="dxa"/>
                    <w:right w:w="57" w:type="dxa"/>
                  </w:tcMar>
                  <w:vAlign w:val="center"/>
                </w:tcPr>
                <w:p w14:paraId="724E06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70</w:t>
                  </w:r>
                </w:p>
              </w:tc>
              <w:tc>
                <w:tcPr>
                  <w:tcW w:w="1129" w:type="pct"/>
                  <w:tcBorders>
                    <w:tl2br w:val="nil"/>
                    <w:tr2bl w:val="nil"/>
                  </w:tcBorders>
                  <w:shd w:val="clear" w:color="auto" w:fill="auto"/>
                  <w:noWrap/>
                  <w:tcMar>
                    <w:top w:w="57" w:type="dxa"/>
                    <w:left w:w="57" w:type="dxa"/>
                    <w:bottom w:w="57" w:type="dxa"/>
                    <w:right w:w="57" w:type="dxa"/>
                  </w:tcMar>
                  <w:vAlign w:val="center"/>
                </w:tcPr>
                <w:p w14:paraId="50E8E06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70</w:t>
                  </w:r>
                </w:p>
              </w:tc>
              <w:tc>
                <w:tcPr>
                  <w:tcW w:w="781" w:type="pct"/>
                  <w:tcBorders>
                    <w:tl2br w:val="nil"/>
                    <w:tr2bl w:val="nil"/>
                  </w:tcBorders>
                  <w:shd w:val="clear" w:color="auto" w:fill="auto"/>
                  <w:noWrap/>
                  <w:tcMar>
                    <w:top w:w="57" w:type="dxa"/>
                    <w:left w:w="57" w:type="dxa"/>
                    <w:bottom w:w="57" w:type="dxa"/>
                    <w:right w:w="57" w:type="dxa"/>
                  </w:tcMar>
                  <w:vAlign w:val="center"/>
                </w:tcPr>
                <w:p w14:paraId="61872F4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达标</w:t>
                  </w:r>
                </w:p>
              </w:tc>
            </w:tr>
            <w:tr w14:paraId="4A2E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9" w:type="pct"/>
                  <w:vMerge w:val="continue"/>
                  <w:tcBorders>
                    <w:tl2br w:val="nil"/>
                    <w:tr2bl w:val="nil"/>
                  </w:tcBorders>
                  <w:noWrap/>
                  <w:tcMar>
                    <w:top w:w="57" w:type="dxa"/>
                    <w:left w:w="57" w:type="dxa"/>
                    <w:bottom w:w="57" w:type="dxa"/>
                    <w:right w:w="57" w:type="dxa"/>
                  </w:tcMar>
                  <w:vAlign w:val="center"/>
                </w:tcPr>
                <w:p w14:paraId="2AA341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1"/>
                      <w:szCs w:val="21"/>
                      <w:highlight w:val="none"/>
                      <w:lang w:val="en-US" w:eastAsia="zh-CN"/>
                    </w:rPr>
                  </w:pPr>
                </w:p>
              </w:tc>
              <w:tc>
                <w:tcPr>
                  <w:tcW w:w="987" w:type="pct"/>
                  <w:tcBorders>
                    <w:tl2br w:val="nil"/>
                    <w:tr2bl w:val="nil"/>
                  </w:tcBorders>
                  <w:noWrap/>
                  <w:tcMar>
                    <w:top w:w="57" w:type="dxa"/>
                    <w:left w:w="57" w:type="dxa"/>
                    <w:bottom w:w="57" w:type="dxa"/>
                    <w:right w:w="57" w:type="dxa"/>
                  </w:tcMar>
                  <w:vAlign w:val="center"/>
                </w:tcPr>
                <w:p w14:paraId="50BFA90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24h平均</w:t>
                  </w:r>
                </w:p>
              </w:tc>
              <w:tc>
                <w:tcPr>
                  <w:tcW w:w="1241" w:type="pct"/>
                  <w:tcBorders>
                    <w:tl2br w:val="nil"/>
                    <w:tr2bl w:val="nil"/>
                  </w:tcBorders>
                  <w:shd w:val="clear" w:color="auto" w:fill="auto"/>
                  <w:noWrap/>
                  <w:tcMar>
                    <w:top w:w="57" w:type="dxa"/>
                    <w:left w:w="57" w:type="dxa"/>
                    <w:bottom w:w="57" w:type="dxa"/>
                    <w:right w:w="57" w:type="dxa"/>
                  </w:tcMar>
                  <w:vAlign w:val="center"/>
                </w:tcPr>
                <w:p w14:paraId="08721D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150</w:t>
                  </w:r>
                </w:p>
              </w:tc>
              <w:tc>
                <w:tcPr>
                  <w:tcW w:w="1129" w:type="pct"/>
                  <w:tcBorders>
                    <w:tl2br w:val="nil"/>
                    <w:tr2bl w:val="nil"/>
                  </w:tcBorders>
                  <w:shd w:val="clear" w:color="auto" w:fill="auto"/>
                  <w:noWrap/>
                  <w:tcMar>
                    <w:top w:w="57" w:type="dxa"/>
                    <w:left w:w="57" w:type="dxa"/>
                    <w:bottom w:w="57" w:type="dxa"/>
                    <w:right w:w="57" w:type="dxa"/>
                  </w:tcMar>
                  <w:vAlign w:val="center"/>
                </w:tcPr>
                <w:p w14:paraId="11A1C0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12~336</w:t>
                  </w:r>
                </w:p>
              </w:tc>
              <w:tc>
                <w:tcPr>
                  <w:tcW w:w="781" w:type="pct"/>
                  <w:tcBorders>
                    <w:tl2br w:val="nil"/>
                    <w:tr2bl w:val="nil"/>
                  </w:tcBorders>
                  <w:shd w:val="clear" w:color="auto" w:fill="auto"/>
                  <w:noWrap/>
                  <w:tcMar>
                    <w:top w:w="57" w:type="dxa"/>
                    <w:left w:w="57" w:type="dxa"/>
                    <w:bottom w:w="57" w:type="dxa"/>
                    <w:right w:w="57" w:type="dxa"/>
                  </w:tcMar>
                  <w:vAlign w:val="center"/>
                </w:tcPr>
                <w:p w14:paraId="59FB33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未达标</w:t>
                  </w:r>
                </w:p>
              </w:tc>
            </w:tr>
          </w:tbl>
          <w:p w14:paraId="3D7C77B4">
            <w:pPr>
              <w:bidi w:val="0"/>
              <w:rPr>
                <w:rFonts w:hint="eastAsia"/>
                <w:lang w:val="en-US" w:eastAsia="zh-CN"/>
              </w:rPr>
            </w:pPr>
          </w:p>
          <w:p w14:paraId="7CB4C74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由上可知，淮北市为环境空气质量不达标城市，未达标的污染物为</w:t>
            </w:r>
            <w:r>
              <w:rPr>
                <w:rFonts w:hint="eastAsia" w:cs="Times New Roman"/>
                <w:color w:val="000000"/>
                <w:kern w:val="2"/>
                <w:sz w:val="24"/>
                <w:szCs w:val="24"/>
                <w:highlight w:val="none"/>
                <w:lang w:val="en-US" w:eastAsia="zh-CN"/>
              </w:rPr>
              <w:t>O</w:t>
            </w:r>
            <w:r>
              <w:rPr>
                <w:rFonts w:hint="eastAsia" w:cs="Times New Roman"/>
                <w:color w:val="000000"/>
                <w:kern w:val="2"/>
                <w:sz w:val="24"/>
                <w:szCs w:val="24"/>
                <w:highlight w:val="none"/>
                <w:vertAlign w:val="subscript"/>
                <w:lang w:val="en-US" w:eastAsia="zh-CN"/>
              </w:rPr>
              <w:t>3</w:t>
            </w:r>
            <w:r>
              <w:rPr>
                <w:rFonts w:hint="eastAsia"/>
                <w:color w:val="000000"/>
                <w:kern w:val="0"/>
                <w:sz w:val="24"/>
                <w:szCs w:val="24"/>
                <w:lang w:val="en-US" w:eastAsia="zh-CN"/>
              </w:rPr>
              <w:t>、</w:t>
            </w:r>
            <w:r>
              <w:rPr>
                <w:rFonts w:hint="eastAsia" w:cs="Times New Roman"/>
                <w:color w:val="000000"/>
                <w:kern w:val="2"/>
                <w:sz w:val="24"/>
                <w:szCs w:val="24"/>
                <w:highlight w:val="none"/>
                <w:lang w:val="en-US" w:eastAsia="zh-CN"/>
              </w:rPr>
              <w:t>PM</w:t>
            </w:r>
            <w:r>
              <w:rPr>
                <w:rFonts w:hint="eastAsia" w:cs="Times New Roman"/>
                <w:color w:val="000000"/>
                <w:kern w:val="2"/>
                <w:sz w:val="24"/>
                <w:szCs w:val="24"/>
                <w:highlight w:val="none"/>
                <w:vertAlign w:val="subscript"/>
                <w:lang w:val="en-US" w:eastAsia="zh-CN"/>
              </w:rPr>
              <w:t>2.5</w:t>
            </w:r>
            <w:r>
              <w:rPr>
                <w:rFonts w:hint="eastAsia"/>
                <w:color w:val="000000"/>
                <w:kern w:val="0"/>
                <w:sz w:val="24"/>
                <w:szCs w:val="24"/>
                <w:lang w:val="en-US" w:eastAsia="zh-CN"/>
              </w:rPr>
              <w:t>、</w:t>
            </w:r>
            <w:r>
              <w:rPr>
                <w:rFonts w:hint="eastAsia" w:cs="Times New Roman"/>
                <w:color w:val="000000"/>
                <w:kern w:val="2"/>
                <w:sz w:val="24"/>
                <w:szCs w:val="24"/>
                <w:highlight w:val="none"/>
                <w:lang w:val="en-US" w:eastAsia="zh-CN"/>
              </w:rPr>
              <w:t>PM</w:t>
            </w:r>
            <w:r>
              <w:rPr>
                <w:rFonts w:hint="eastAsia" w:cs="Times New Roman"/>
                <w:color w:val="000000"/>
                <w:kern w:val="2"/>
                <w:sz w:val="24"/>
                <w:szCs w:val="24"/>
                <w:highlight w:val="none"/>
                <w:vertAlign w:val="subscript"/>
                <w:lang w:val="en-US" w:eastAsia="zh-CN"/>
              </w:rPr>
              <w:t>10</w:t>
            </w:r>
            <w:r>
              <w:rPr>
                <w:rFonts w:hint="eastAsia"/>
                <w:color w:val="000000"/>
                <w:kern w:val="0"/>
                <w:sz w:val="24"/>
                <w:lang w:val="en-US" w:eastAsia="zh-CN"/>
              </w:rPr>
              <w:t>。</w:t>
            </w:r>
          </w:p>
          <w:p w14:paraId="08B9EB71">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（2）</w:t>
            </w:r>
            <w:r>
              <w:rPr>
                <w:rFonts w:hint="default" w:ascii="Times New Roman" w:hAnsi="Times New Roman" w:eastAsia="宋体" w:cs="Times New Roman"/>
                <w:b w:val="0"/>
                <w:bCs w:val="0"/>
                <w:kern w:val="2"/>
                <w:sz w:val="24"/>
                <w:szCs w:val="24"/>
                <w:lang w:val="en-US" w:eastAsia="zh-CN" w:bidi="ar-SA"/>
              </w:rPr>
              <w:t>其他污染物环境质量现状数据</w:t>
            </w:r>
          </w:p>
          <w:p w14:paraId="6C0666EA">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TSP的现状</w:t>
            </w:r>
            <w:r>
              <w:rPr>
                <w:rFonts w:hint="eastAsia" w:cs="Times New Roman"/>
                <w:b w:val="0"/>
                <w:bCs w:val="0"/>
                <w:kern w:val="2"/>
                <w:sz w:val="24"/>
                <w:szCs w:val="24"/>
                <w:lang w:val="en-US" w:eastAsia="zh-CN" w:bidi="ar-SA"/>
              </w:rPr>
              <w:t>浓度</w:t>
            </w:r>
            <w:r>
              <w:rPr>
                <w:rFonts w:hint="default" w:ascii="Times New Roman" w:hAnsi="Times New Roman" w:eastAsia="宋体" w:cs="Times New Roman"/>
                <w:b w:val="0"/>
                <w:bCs w:val="0"/>
                <w:kern w:val="2"/>
                <w:sz w:val="24"/>
                <w:szCs w:val="24"/>
                <w:lang w:val="en-US" w:eastAsia="zh-CN" w:bidi="ar-SA"/>
              </w:rPr>
              <w:t>引用《安徽</w:t>
            </w:r>
            <w:r>
              <w:rPr>
                <w:rFonts w:hint="eastAsia" w:ascii="Times New Roman" w:hAnsi="Times New Roman" w:eastAsia="宋体" w:cs="Times New Roman"/>
                <w:b w:val="0"/>
                <w:bCs w:val="0"/>
                <w:kern w:val="2"/>
                <w:sz w:val="24"/>
                <w:szCs w:val="24"/>
                <w:lang w:val="en-US" w:eastAsia="zh-CN" w:bidi="ar-SA"/>
              </w:rPr>
              <w:t>淮北杜集经济开发区总体发展规划（2023~2025年）环境影响</w:t>
            </w:r>
            <w:r>
              <w:rPr>
                <w:rFonts w:hint="default" w:ascii="Times New Roman" w:hAnsi="Times New Roman" w:eastAsia="宋体" w:cs="Times New Roman"/>
                <w:b w:val="0"/>
                <w:bCs w:val="0"/>
                <w:kern w:val="2"/>
                <w:sz w:val="24"/>
                <w:szCs w:val="24"/>
                <w:lang w:val="en-US" w:eastAsia="zh-CN" w:bidi="ar-SA"/>
              </w:rPr>
              <w:t>报告书》中现状监测数据，具体监测点位见表3-2</w:t>
            </w:r>
            <w:r>
              <w:rPr>
                <w:rFonts w:hint="eastAsia" w:ascii="Times New Roman" w:hAnsi="Times New Roman" w:eastAsia="宋体" w:cs="Times New Roman"/>
                <w:b w:val="0"/>
                <w:bCs w:val="0"/>
                <w:kern w:val="2"/>
                <w:sz w:val="24"/>
                <w:szCs w:val="24"/>
                <w:lang w:val="en-US" w:eastAsia="zh-CN" w:bidi="ar-SA"/>
              </w:rPr>
              <w:t>。</w:t>
            </w:r>
          </w:p>
          <w:p w14:paraId="3005FE6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表3-2  环境空气监测点监测项目一览表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424"/>
              <w:gridCol w:w="1156"/>
              <w:gridCol w:w="1704"/>
              <w:gridCol w:w="1556"/>
              <w:gridCol w:w="1665"/>
            </w:tblGrid>
            <w:tr w14:paraId="5012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6" w:type="pct"/>
                  <w:vMerge w:val="restart"/>
                  <w:tcBorders>
                    <w:top w:val="single" w:color="auto" w:sz="4" w:space="0"/>
                    <w:left w:val="single" w:color="auto" w:sz="4" w:space="0"/>
                    <w:bottom w:val="single" w:color="auto" w:sz="4" w:space="0"/>
                    <w:right w:val="single" w:color="auto" w:sz="4" w:space="0"/>
                  </w:tcBorders>
                  <w:noWrap w:val="0"/>
                  <w:vAlign w:val="center"/>
                </w:tcPr>
                <w:p w14:paraId="50DD41B0">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监测点编号</w:t>
                  </w:r>
                </w:p>
              </w:tc>
              <w:tc>
                <w:tcPr>
                  <w:tcW w:w="850" w:type="pct"/>
                  <w:vMerge w:val="restart"/>
                  <w:tcBorders>
                    <w:top w:val="single" w:color="auto" w:sz="4" w:space="0"/>
                    <w:left w:val="single" w:color="auto" w:sz="4" w:space="0"/>
                    <w:bottom w:val="single" w:color="auto" w:sz="4" w:space="0"/>
                    <w:right w:val="single" w:color="auto" w:sz="4" w:space="0"/>
                  </w:tcBorders>
                  <w:noWrap w:val="0"/>
                  <w:vAlign w:val="center"/>
                </w:tcPr>
                <w:p w14:paraId="46F8A8D8">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监测点名称</w:t>
                  </w:r>
                </w:p>
              </w:tc>
              <w:tc>
                <w:tcPr>
                  <w:tcW w:w="690" w:type="pct"/>
                  <w:vMerge w:val="restart"/>
                  <w:tcBorders>
                    <w:top w:val="single" w:color="auto" w:sz="4" w:space="0"/>
                    <w:left w:val="single" w:color="auto" w:sz="4" w:space="0"/>
                    <w:bottom w:val="single" w:color="auto" w:sz="4" w:space="0"/>
                    <w:right w:val="single" w:color="auto" w:sz="4" w:space="0"/>
                  </w:tcBorders>
                  <w:noWrap w:val="0"/>
                  <w:vAlign w:val="center"/>
                </w:tcPr>
                <w:p w14:paraId="10616AD1">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监测因子</w:t>
                  </w:r>
                </w:p>
              </w:tc>
              <w:tc>
                <w:tcPr>
                  <w:tcW w:w="1017" w:type="pct"/>
                  <w:vMerge w:val="restart"/>
                  <w:tcBorders>
                    <w:top w:val="single" w:color="auto" w:sz="4" w:space="0"/>
                    <w:left w:val="single" w:color="auto" w:sz="4" w:space="0"/>
                    <w:bottom w:val="single" w:color="auto" w:sz="4" w:space="0"/>
                    <w:right w:val="single" w:color="auto" w:sz="4" w:space="0"/>
                  </w:tcBorders>
                  <w:noWrap w:val="0"/>
                  <w:vAlign w:val="center"/>
                </w:tcPr>
                <w:p w14:paraId="37C9AD4B">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监测时段</w:t>
                  </w:r>
                </w:p>
              </w:tc>
              <w:tc>
                <w:tcPr>
                  <w:tcW w:w="929" w:type="pct"/>
                  <w:vMerge w:val="restart"/>
                  <w:tcBorders>
                    <w:top w:val="single" w:color="auto" w:sz="4" w:space="0"/>
                    <w:left w:val="single" w:color="auto" w:sz="4" w:space="0"/>
                    <w:bottom w:val="single" w:color="auto" w:sz="4" w:space="0"/>
                    <w:right w:val="single" w:color="auto" w:sz="4" w:space="0"/>
                  </w:tcBorders>
                  <w:noWrap w:val="0"/>
                  <w:vAlign w:val="center"/>
                </w:tcPr>
                <w:p w14:paraId="3D010AA0">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相对本项目厂址方位</w:t>
                  </w:r>
                </w:p>
              </w:tc>
              <w:tc>
                <w:tcPr>
                  <w:tcW w:w="994" w:type="pct"/>
                  <w:vMerge w:val="restart"/>
                  <w:tcBorders>
                    <w:top w:val="single" w:color="auto" w:sz="4" w:space="0"/>
                    <w:left w:val="single" w:color="auto" w:sz="4" w:space="0"/>
                    <w:bottom w:val="single" w:color="auto" w:sz="4" w:space="0"/>
                    <w:right w:val="single" w:color="auto" w:sz="4" w:space="0"/>
                  </w:tcBorders>
                  <w:noWrap w:val="0"/>
                  <w:vAlign w:val="center"/>
                </w:tcPr>
                <w:p w14:paraId="083A6849">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相对本项目厂界距离/m</w:t>
                  </w:r>
                </w:p>
              </w:tc>
            </w:tr>
            <w:tr w14:paraId="43B0C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6" w:type="pct"/>
                  <w:vMerge w:val="continue"/>
                  <w:tcBorders>
                    <w:top w:val="single" w:color="auto" w:sz="4" w:space="0"/>
                    <w:left w:val="single" w:color="auto" w:sz="4" w:space="0"/>
                    <w:bottom w:val="single" w:color="auto" w:sz="4" w:space="0"/>
                    <w:right w:val="single" w:color="auto" w:sz="4" w:space="0"/>
                  </w:tcBorders>
                  <w:noWrap w:val="0"/>
                  <w:vAlign w:val="center"/>
                </w:tcPr>
                <w:p w14:paraId="2EBABC66">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p>
              </w:tc>
              <w:tc>
                <w:tcPr>
                  <w:tcW w:w="850" w:type="pct"/>
                  <w:vMerge w:val="continue"/>
                  <w:tcBorders>
                    <w:top w:val="single" w:color="auto" w:sz="4" w:space="0"/>
                    <w:left w:val="single" w:color="auto" w:sz="4" w:space="0"/>
                    <w:bottom w:val="single" w:color="auto" w:sz="4" w:space="0"/>
                    <w:right w:val="single" w:color="auto" w:sz="4" w:space="0"/>
                  </w:tcBorders>
                  <w:noWrap w:val="0"/>
                  <w:vAlign w:val="center"/>
                </w:tcPr>
                <w:p w14:paraId="49346008">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p>
              </w:tc>
              <w:tc>
                <w:tcPr>
                  <w:tcW w:w="690" w:type="pct"/>
                  <w:vMerge w:val="continue"/>
                  <w:tcBorders>
                    <w:top w:val="single" w:color="auto" w:sz="4" w:space="0"/>
                    <w:left w:val="single" w:color="auto" w:sz="4" w:space="0"/>
                    <w:bottom w:val="single" w:color="auto" w:sz="4" w:space="0"/>
                    <w:right w:val="single" w:color="auto" w:sz="4" w:space="0"/>
                  </w:tcBorders>
                  <w:noWrap w:val="0"/>
                  <w:vAlign w:val="center"/>
                </w:tcPr>
                <w:p w14:paraId="2A2A6464">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p>
              </w:tc>
              <w:tc>
                <w:tcPr>
                  <w:tcW w:w="1017" w:type="pct"/>
                  <w:vMerge w:val="continue"/>
                  <w:tcBorders>
                    <w:top w:val="single" w:color="auto" w:sz="4" w:space="0"/>
                    <w:left w:val="single" w:color="auto" w:sz="4" w:space="0"/>
                    <w:bottom w:val="single" w:color="auto" w:sz="4" w:space="0"/>
                    <w:right w:val="single" w:color="auto" w:sz="4" w:space="0"/>
                  </w:tcBorders>
                  <w:noWrap w:val="0"/>
                  <w:vAlign w:val="center"/>
                </w:tcPr>
                <w:p w14:paraId="31938EF1">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p>
              </w:tc>
              <w:tc>
                <w:tcPr>
                  <w:tcW w:w="929" w:type="pct"/>
                  <w:vMerge w:val="continue"/>
                  <w:tcBorders>
                    <w:top w:val="single" w:color="auto" w:sz="4" w:space="0"/>
                    <w:left w:val="single" w:color="auto" w:sz="4" w:space="0"/>
                    <w:bottom w:val="single" w:color="auto" w:sz="4" w:space="0"/>
                    <w:right w:val="single" w:color="auto" w:sz="4" w:space="0"/>
                  </w:tcBorders>
                  <w:noWrap w:val="0"/>
                  <w:vAlign w:val="center"/>
                </w:tcPr>
                <w:p w14:paraId="48255E32">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p>
              </w:tc>
              <w:tc>
                <w:tcPr>
                  <w:tcW w:w="994" w:type="pct"/>
                  <w:vMerge w:val="continue"/>
                  <w:tcBorders>
                    <w:top w:val="single" w:color="auto" w:sz="4" w:space="0"/>
                    <w:left w:val="single" w:color="auto" w:sz="4" w:space="0"/>
                    <w:bottom w:val="single" w:color="auto" w:sz="4" w:space="0"/>
                    <w:right w:val="single" w:color="auto" w:sz="4" w:space="0"/>
                  </w:tcBorders>
                  <w:noWrap w:val="0"/>
                  <w:vAlign w:val="center"/>
                </w:tcPr>
                <w:p w14:paraId="5A89258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p>
              </w:tc>
            </w:tr>
            <w:tr w14:paraId="6F41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6" w:type="pct"/>
                  <w:tcBorders>
                    <w:top w:val="single" w:color="auto" w:sz="4" w:space="0"/>
                    <w:left w:val="single" w:color="auto" w:sz="4" w:space="0"/>
                    <w:bottom w:val="single" w:color="auto" w:sz="4" w:space="0"/>
                    <w:right w:val="single" w:color="auto" w:sz="4" w:space="0"/>
                  </w:tcBorders>
                  <w:noWrap w:val="0"/>
                  <w:vAlign w:val="center"/>
                </w:tcPr>
                <w:p w14:paraId="7AA83528">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G1</w:t>
                  </w:r>
                </w:p>
              </w:tc>
              <w:tc>
                <w:tcPr>
                  <w:tcW w:w="850" w:type="pct"/>
                  <w:tcBorders>
                    <w:top w:val="single" w:color="auto" w:sz="4" w:space="0"/>
                    <w:left w:val="single" w:color="auto" w:sz="4" w:space="0"/>
                    <w:bottom w:val="single" w:color="auto" w:sz="4" w:space="0"/>
                    <w:right w:val="single" w:color="auto" w:sz="4" w:space="0"/>
                  </w:tcBorders>
                  <w:noWrap w:val="0"/>
                  <w:vAlign w:val="center"/>
                </w:tcPr>
                <w:p w14:paraId="437FE2D7">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纵楼村</w:t>
                  </w:r>
                </w:p>
              </w:tc>
              <w:tc>
                <w:tcPr>
                  <w:tcW w:w="690" w:type="pct"/>
                  <w:tcBorders>
                    <w:top w:val="single" w:color="auto" w:sz="4" w:space="0"/>
                    <w:left w:val="single" w:color="auto" w:sz="4" w:space="0"/>
                    <w:right w:val="single" w:color="auto" w:sz="4" w:space="0"/>
                  </w:tcBorders>
                  <w:noWrap w:val="0"/>
                  <w:vAlign w:val="center"/>
                </w:tcPr>
                <w:p w14:paraId="3DAB41B4">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TSP</w:t>
                  </w:r>
                </w:p>
              </w:tc>
              <w:tc>
                <w:tcPr>
                  <w:tcW w:w="1017" w:type="pct"/>
                  <w:tcBorders>
                    <w:top w:val="single" w:color="auto" w:sz="4" w:space="0"/>
                    <w:left w:val="single" w:color="auto" w:sz="4" w:space="0"/>
                    <w:right w:val="single" w:color="auto" w:sz="4" w:space="0"/>
                  </w:tcBorders>
                  <w:noWrap w:val="0"/>
                  <w:vAlign w:val="center"/>
                </w:tcPr>
                <w:p w14:paraId="6F915DF9">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连续监测</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天</w:t>
                  </w:r>
                  <w:r>
                    <w:rPr>
                      <w:rFonts w:hint="eastAsia" w:ascii="Times New Roman" w:hAnsi="Times New Roman" w:eastAsia="宋体" w:cs="Times New Roman"/>
                      <w:b/>
                      <w:bCs/>
                      <w:sz w:val="21"/>
                      <w:szCs w:val="21"/>
                      <w:lang w:val="en-US" w:eastAsia="zh-CN"/>
                    </w:rPr>
                    <w:t>,24小时平均值</w:t>
                  </w:r>
                </w:p>
              </w:tc>
              <w:tc>
                <w:tcPr>
                  <w:tcW w:w="929" w:type="pct"/>
                  <w:tcBorders>
                    <w:top w:val="single" w:color="auto" w:sz="4" w:space="0"/>
                    <w:left w:val="single" w:color="auto" w:sz="4" w:space="0"/>
                    <w:bottom w:val="single" w:color="auto" w:sz="4" w:space="0"/>
                    <w:right w:val="single" w:color="auto" w:sz="4" w:space="0"/>
                  </w:tcBorders>
                  <w:noWrap w:val="0"/>
                  <w:vAlign w:val="center"/>
                </w:tcPr>
                <w:p w14:paraId="09CD7E13">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北</w:t>
                  </w:r>
                </w:p>
              </w:tc>
              <w:tc>
                <w:tcPr>
                  <w:tcW w:w="994" w:type="pct"/>
                  <w:tcBorders>
                    <w:top w:val="single" w:color="auto" w:sz="4" w:space="0"/>
                    <w:left w:val="single" w:color="auto" w:sz="4" w:space="0"/>
                    <w:bottom w:val="single" w:color="auto" w:sz="4" w:space="0"/>
                    <w:right w:val="single" w:color="auto" w:sz="4" w:space="0"/>
                  </w:tcBorders>
                  <w:noWrap w:val="0"/>
                  <w:vAlign w:val="center"/>
                </w:tcPr>
                <w:p w14:paraId="49305EA4">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400</w:t>
                  </w:r>
                </w:p>
              </w:tc>
            </w:tr>
          </w:tbl>
          <w:p w14:paraId="120701BE">
            <w:pPr>
              <w:spacing w:line="440" w:lineRule="exact"/>
              <w:ind w:firstLine="480" w:firstLineChars="200"/>
              <w:contextualSpacing/>
              <w:jc w:val="both"/>
              <w:rPr>
                <w:rFonts w:ascii="Times New Roman" w:hAnsi="Times New Roman" w:cs="Times New Roman"/>
                <w:snapToGrid w:val="0"/>
                <w:color w:val="000000"/>
              </w:rPr>
            </w:pPr>
            <w:r>
              <w:rPr>
                <w:rFonts w:ascii="Times New Roman" w:hAnsi="Times New Roman" w:cs="Times New Roman"/>
                <w:snapToGrid w:val="0"/>
                <w:color w:val="000000"/>
              </w:rPr>
              <w:t>②监测</w:t>
            </w:r>
            <w:r>
              <w:rPr>
                <w:rFonts w:hint="eastAsia" w:ascii="Times New Roman" w:hAnsi="Times New Roman" w:cs="Times New Roman"/>
                <w:snapToGrid w:val="0"/>
                <w:color w:val="000000"/>
              </w:rPr>
              <w:t>时间和频次</w:t>
            </w:r>
          </w:p>
          <w:p w14:paraId="6A70370E">
            <w:pPr>
              <w:spacing w:line="440" w:lineRule="exact"/>
              <w:ind w:firstLine="480" w:firstLineChars="200"/>
              <w:contextualSpacing/>
              <w:jc w:val="both"/>
              <w:rPr>
                <w:rFonts w:ascii="Times New Roman" w:hAnsi="Times New Roman" w:cs="Times New Roman"/>
                <w:snapToGrid w:val="0"/>
                <w:color w:val="000000"/>
              </w:rPr>
            </w:pPr>
            <w:r>
              <w:rPr>
                <w:rFonts w:ascii="Times New Roman" w:hAnsi="Times New Roman" w:cs="Times New Roman"/>
                <w:snapToGrid w:val="0"/>
                <w:color w:val="000000"/>
              </w:rPr>
              <w:t>监测日期：</w:t>
            </w:r>
            <w:r>
              <w:rPr>
                <w:rFonts w:eastAsiaTheme="minorEastAsia"/>
                <w:kern w:val="0"/>
              </w:rPr>
              <w:t>2023年7月16日-2023年7月26日</w:t>
            </w:r>
            <w:r>
              <w:rPr>
                <w:rFonts w:hint="eastAsia" w:ascii="Times New Roman" w:hAnsi="Times New Roman" w:cs="Times New Roman"/>
                <w:color w:val="000000"/>
              </w:rPr>
              <w:t>，共监测</w:t>
            </w:r>
            <w:r>
              <w:rPr>
                <w:rFonts w:hint="eastAsia" w:ascii="Times New Roman" w:hAnsi="Times New Roman" w:cs="Times New Roman"/>
                <w:color w:val="000000"/>
                <w:lang w:val="en-US" w:eastAsia="zh-CN"/>
              </w:rPr>
              <w:t>10</w:t>
            </w:r>
            <w:r>
              <w:rPr>
                <w:rFonts w:hint="eastAsia" w:ascii="Times New Roman" w:hAnsi="Times New Roman" w:cs="Times New Roman"/>
                <w:color w:val="000000"/>
              </w:rPr>
              <w:t>天</w:t>
            </w:r>
            <w:r>
              <w:rPr>
                <w:rFonts w:ascii="Times New Roman" w:hAnsi="Times New Roman" w:cs="Times New Roman"/>
                <w:color w:val="000000"/>
              </w:rPr>
              <w:t>，</w:t>
            </w:r>
            <w:r>
              <w:rPr>
                <w:rFonts w:hint="eastAsia" w:ascii="Times New Roman" w:hAnsi="Times New Roman" w:cs="Times New Roman"/>
                <w:color w:val="000000"/>
                <w:lang w:val="en-US" w:eastAsia="zh-CN"/>
              </w:rPr>
              <w:t>数据为</w:t>
            </w:r>
            <w:r>
              <w:rPr>
                <w:rFonts w:eastAsiaTheme="minorEastAsia"/>
                <w:szCs w:val="21"/>
              </w:rPr>
              <w:t>24h平均值</w:t>
            </w:r>
            <w:r>
              <w:rPr>
                <w:rFonts w:ascii="Times New Roman" w:hAnsi="Times New Roman" w:cs="Times New Roman"/>
                <w:color w:val="000000"/>
              </w:rPr>
              <w:t>。</w:t>
            </w:r>
          </w:p>
          <w:p w14:paraId="0BACA674">
            <w:pPr>
              <w:spacing w:line="440" w:lineRule="exact"/>
              <w:ind w:firstLine="480" w:firstLineChars="200"/>
              <w:jc w:val="both"/>
              <w:rPr>
                <w:rFonts w:ascii="Times New Roman" w:hAnsi="Times New Roman" w:cs="Times New Roman"/>
                <w:snapToGrid w:val="0"/>
                <w:color w:val="000000"/>
              </w:rPr>
            </w:pPr>
            <w:r>
              <w:rPr>
                <w:rFonts w:ascii="Times New Roman" w:hAnsi="Times New Roman" w:cs="Times New Roman"/>
                <w:snapToGrid w:val="0"/>
                <w:color w:val="000000"/>
              </w:rPr>
              <w:t>③监测方法</w:t>
            </w:r>
          </w:p>
          <w:p w14:paraId="57FA2FFE">
            <w:pPr>
              <w:contextualSpacing/>
              <w:jc w:val="center"/>
              <w:rPr>
                <w:rFonts w:ascii="Times New Roman" w:hAnsi="Times New Roman" w:cs="Times New Roman"/>
                <w:b/>
                <w:snapToGrid w:val="0"/>
                <w:color w:val="000000"/>
                <w:sz w:val="22"/>
                <w:szCs w:val="22"/>
              </w:rPr>
            </w:pPr>
            <w:r>
              <w:rPr>
                <w:rFonts w:ascii="Times New Roman" w:hAnsi="Times New Roman" w:cs="Times New Roman"/>
                <w:b/>
                <w:snapToGrid w:val="0"/>
                <w:color w:val="000000"/>
                <w:sz w:val="22"/>
                <w:szCs w:val="22"/>
              </w:rPr>
              <w:t>表</w:t>
            </w:r>
            <w:r>
              <w:rPr>
                <w:rFonts w:hint="eastAsia" w:ascii="Times New Roman" w:hAnsi="Times New Roman" w:cs="Times New Roman"/>
                <w:b/>
                <w:snapToGrid w:val="0"/>
                <w:color w:val="000000"/>
                <w:sz w:val="22"/>
                <w:szCs w:val="22"/>
                <w:lang w:val="en-US" w:eastAsia="zh-CN"/>
              </w:rPr>
              <w:t>3-3</w:t>
            </w:r>
            <w:r>
              <w:rPr>
                <w:rFonts w:ascii="Times New Roman" w:hAnsi="Times New Roman" w:cs="Times New Roman"/>
                <w:b/>
                <w:snapToGrid w:val="0"/>
                <w:color w:val="000000"/>
                <w:sz w:val="22"/>
                <w:szCs w:val="22"/>
              </w:rPr>
              <w:t xml:space="preserve">  环境空气监测分析方法一览表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890"/>
              <w:gridCol w:w="4143"/>
              <w:gridCol w:w="1265"/>
              <w:gridCol w:w="1322"/>
            </w:tblGrid>
            <w:tr w14:paraId="2E4A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tcBorders>
                    <w:tl2br w:val="nil"/>
                    <w:tr2bl w:val="nil"/>
                  </w:tcBorders>
                  <w:noWrap w:val="0"/>
                  <w:vAlign w:val="center"/>
                </w:tcPr>
                <w:p w14:paraId="448AC386">
                  <w:pPr>
                    <w:keepNext w:val="0"/>
                    <w:keepLines w:val="0"/>
                    <w:pageBreakBefore w:val="0"/>
                    <w:widowControl w:val="0"/>
                    <w:kinsoku/>
                    <w:wordWrap/>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样品类别</w:t>
                  </w:r>
                </w:p>
              </w:tc>
              <w:tc>
                <w:tcPr>
                  <w:tcW w:w="531" w:type="pct"/>
                  <w:tcBorders>
                    <w:tl2br w:val="nil"/>
                    <w:tr2bl w:val="nil"/>
                  </w:tcBorders>
                  <w:noWrap w:val="0"/>
                  <w:vAlign w:val="center"/>
                </w:tcPr>
                <w:p w14:paraId="476751CF">
                  <w:pPr>
                    <w:keepNext w:val="0"/>
                    <w:keepLines w:val="0"/>
                    <w:pageBreakBefore w:val="0"/>
                    <w:widowControl w:val="0"/>
                    <w:kinsoku/>
                    <w:wordWrap/>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监测项目</w:t>
                  </w:r>
                </w:p>
              </w:tc>
              <w:tc>
                <w:tcPr>
                  <w:tcW w:w="2473" w:type="pct"/>
                  <w:tcBorders>
                    <w:tl2br w:val="nil"/>
                    <w:tr2bl w:val="nil"/>
                  </w:tcBorders>
                  <w:noWrap w:val="0"/>
                  <w:vAlign w:val="center"/>
                </w:tcPr>
                <w:p w14:paraId="317CEB01">
                  <w:pPr>
                    <w:keepNext w:val="0"/>
                    <w:keepLines w:val="0"/>
                    <w:pageBreakBefore w:val="0"/>
                    <w:widowControl w:val="0"/>
                    <w:kinsoku/>
                    <w:wordWrap/>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检测依据</w:t>
                  </w:r>
                </w:p>
              </w:tc>
              <w:tc>
                <w:tcPr>
                  <w:tcW w:w="755" w:type="pct"/>
                  <w:tcBorders>
                    <w:tl2br w:val="nil"/>
                    <w:tr2bl w:val="nil"/>
                  </w:tcBorders>
                  <w:noWrap w:val="0"/>
                  <w:vAlign w:val="center"/>
                </w:tcPr>
                <w:p w14:paraId="7FEA0C29">
                  <w:pPr>
                    <w:keepNext w:val="0"/>
                    <w:keepLines w:val="0"/>
                    <w:pageBreakBefore w:val="0"/>
                    <w:widowControl w:val="0"/>
                    <w:kinsoku/>
                    <w:wordWrap/>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检测仪器</w:t>
                  </w:r>
                </w:p>
              </w:tc>
              <w:tc>
                <w:tcPr>
                  <w:tcW w:w="789" w:type="pct"/>
                  <w:tcBorders>
                    <w:tl2br w:val="nil"/>
                    <w:tr2bl w:val="nil"/>
                  </w:tcBorders>
                  <w:noWrap w:val="0"/>
                  <w:vAlign w:val="center"/>
                </w:tcPr>
                <w:p w14:paraId="06B01A20">
                  <w:pPr>
                    <w:keepNext w:val="0"/>
                    <w:keepLines w:val="0"/>
                    <w:pageBreakBefore w:val="0"/>
                    <w:widowControl w:val="0"/>
                    <w:kinsoku/>
                    <w:wordWrap/>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检出限</w:t>
                  </w:r>
                </w:p>
              </w:tc>
            </w:tr>
            <w:tr w14:paraId="129E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tcBorders>
                    <w:tl2br w:val="nil"/>
                    <w:tr2bl w:val="nil"/>
                  </w:tcBorders>
                  <w:noWrap w:val="0"/>
                  <w:vAlign w:val="center"/>
                </w:tcPr>
                <w:p w14:paraId="23F94A4B">
                  <w:pPr>
                    <w:keepNext w:val="0"/>
                    <w:keepLines w:val="0"/>
                    <w:pageBreakBefore w:val="0"/>
                    <w:widowControl w:val="0"/>
                    <w:kinsoku/>
                    <w:wordWrap/>
                    <w:topLinePunct w:val="0"/>
                    <w:autoSpaceDE/>
                    <w:autoSpaceDN/>
                    <w:bidi w:val="0"/>
                    <w:adjustRightInd/>
                    <w:snapToGrid/>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环境空气</w:t>
                  </w:r>
                </w:p>
              </w:tc>
              <w:tc>
                <w:tcPr>
                  <w:tcW w:w="531" w:type="pct"/>
                  <w:tcBorders>
                    <w:tl2br w:val="nil"/>
                    <w:tr2bl w:val="nil"/>
                  </w:tcBorders>
                  <w:noWrap w:val="0"/>
                  <w:vAlign w:val="center"/>
                </w:tcPr>
                <w:p w14:paraId="05B79BBF">
                  <w:pPr>
                    <w:keepNext w:val="0"/>
                    <w:keepLines w:val="0"/>
                    <w:pageBreakBefore w:val="0"/>
                    <w:widowControl w:val="0"/>
                    <w:kinsoku/>
                    <w:wordWrap/>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TSP</w:t>
                  </w:r>
                </w:p>
              </w:tc>
              <w:tc>
                <w:tcPr>
                  <w:tcW w:w="2473" w:type="pct"/>
                  <w:tcBorders>
                    <w:tl2br w:val="nil"/>
                    <w:tr2bl w:val="nil"/>
                  </w:tcBorders>
                  <w:noWrap w:val="0"/>
                  <w:vAlign w:val="center"/>
                </w:tcPr>
                <w:p w14:paraId="7CB49C64">
                  <w:pPr>
                    <w:keepNext w:val="0"/>
                    <w:keepLines w:val="0"/>
                    <w:pageBreakBefore w:val="0"/>
                    <w:widowControl w:val="0"/>
                    <w:kinsoku/>
                    <w:wordWrap/>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1"/>
                      <w:sz w:val="21"/>
                      <w:szCs w:val="21"/>
                      <w:lang w:bidi="ar"/>
                    </w:rPr>
                    <w:t>环境空气 总悬浮颗粒物的测定 重量法GB/T 15432-1995</w:t>
                  </w:r>
                </w:p>
              </w:tc>
              <w:tc>
                <w:tcPr>
                  <w:tcW w:w="755" w:type="pct"/>
                  <w:tcBorders>
                    <w:tl2br w:val="nil"/>
                    <w:tr2bl w:val="nil"/>
                  </w:tcBorders>
                  <w:noWrap w:val="0"/>
                  <w:vAlign w:val="center"/>
                </w:tcPr>
                <w:p w14:paraId="4F081721">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万分之一电子天平</w:t>
                  </w:r>
                </w:p>
              </w:tc>
              <w:tc>
                <w:tcPr>
                  <w:tcW w:w="789" w:type="pct"/>
                  <w:tcBorders>
                    <w:tl2br w:val="nil"/>
                    <w:tr2bl w:val="nil"/>
                  </w:tcBorders>
                  <w:noWrap w:val="0"/>
                  <w:vAlign w:val="center"/>
                </w:tcPr>
                <w:p w14:paraId="6C8BFC05">
                  <w:pPr>
                    <w:keepNext w:val="0"/>
                    <w:keepLines w:val="0"/>
                    <w:pageBreakBefore w:val="0"/>
                    <w:widowControl w:val="0"/>
                    <w:tabs>
                      <w:tab w:val="left" w:pos="3065"/>
                    </w:tabs>
                    <w:kinsoku/>
                    <w:wordWrap/>
                    <w:overflowPunct w:val="0"/>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2"/>
                      <w:sz w:val="21"/>
                      <w:szCs w:val="21"/>
                      <w:lang w:bidi="ar"/>
                    </w:rPr>
                    <w:t>0.001mg/m</w:t>
                  </w:r>
                  <w:r>
                    <w:rPr>
                      <w:rFonts w:hint="default" w:ascii="Times New Roman" w:hAnsi="Times New Roman" w:eastAsia="宋体" w:cs="Times New Roman"/>
                      <w:color w:val="000000"/>
                      <w:kern w:val="2"/>
                      <w:sz w:val="21"/>
                      <w:szCs w:val="21"/>
                      <w:vertAlign w:val="superscript"/>
                      <w:lang w:bidi="ar"/>
                    </w:rPr>
                    <w:t>3</w:t>
                  </w:r>
                </w:p>
              </w:tc>
            </w:tr>
          </w:tbl>
          <w:p w14:paraId="09DF92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④评价方法</w:t>
            </w:r>
          </w:p>
          <w:p w14:paraId="30597F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大气环境质量评价采用单因子指数评价法，其计算公式如下：</w:t>
            </w:r>
          </w:p>
          <w:p w14:paraId="7DD6C1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object>
                <v:shape id="_x0000_i1025" o:spt="75" type="#_x0000_t75" style="height:31.9pt;width:44.1pt;" o:ole="t" filled="f" o:preferrelative="t" stroked="f" coordsize="21600,21600">
                  <v:path/>
                  <v:fill on="f" focussize="0,0"/>
                  <v:stroke on="f"/>
                  <v:imagedata r:id="rId26" o:title=""/>
                  <o:lock v:ext="edit" aspectratio="t"/>
                  <w10:wrap type="none"/>
                  <w10:anchorlock/>
                </v:shape>
                <o:OLEObject Type="Embed" ProgID="" ShapeID="_x0000_i1025" DrawAspect="Content" ObjectID="_1468075725" r:id="rId25">
                  <o:LockedField>false</o:LockedField>
                </o:OLEObject>
              </w:object>
            </w:r>
          </w:p>
          <w:p w14:paraId="03294679">
            <w:pPr>
              <w:keepNext w:val="0"/>
              <w:keepLines w:val="0"/>
              <w:pageBreakBefore w:val="0"/>
              <w:widowControl w:val="0"/>
              <w:tabs>
                <w:tab w:val="left" w:pos="1469"/>
              </w:tabs>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式中：</w:t>
            </w:r>
            <w:r>
              <w:rPr>
                <w:rFonts w:ascii="Times New Roman" w:hAnsi="Times New Roman" w:cs="Times New Roman"/>
                <w:snapToGrid w:val="0"/>
                <w:color w:val="000000"/>
                <w:sz w:val="24"/>
                <w:szCs w:val="24"/>
              </w:rPr>
              <w:tab/>
            </w:r>
            <w:r>
              <w:rPr>
                <w:rFonts w:ascii="Times New Roman" w:hAnsi="Times New Roman" w:cs="Times New Roman"/>
                <w:snapToGrid w:val="0"/>
                <w:color w:val="000000"/>
                <w:sz w:val="24"/>
                <w:szCs w:val="24"/>
              </w:rPr>
              <w:t>Pi—某污染因子i的评价指数；</w:t>
            </w:r>
          </w:p>
          <w:p w14:paraId="1C99199D">
            <w:pPr>
              <w:keepNext w:val="0"/>
              <w:keepLines w:val="0"/>
              <w:pageBreakBefore w:val="0"/>
              <w:widowControl w:val="0"/>
              <w:tabs>
                <w:tab w:val="left" w:pos="1482"/>
              </w:tabs>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ab/>
            </w:r>
            <w:r>
              <w:rPr>
                <w:rFonts w:ascii="Times New Roman" w:hAnsi="Times New Roman" w:cs="Times New Roman"/>
                <w:snapToGrid w:val="0"/>
                <w:color w:val="000000"/>
                <w:sz w:val="24"/>
                <w:szCs w:val="24"/>
              </w:rPr>
              <w:t>Ci—某污染因子i的浓度值，mg/m</w:t>
            </w:r>
            <w:r>
              <w:rPr>
                <w:rFonts w:ascii="Times New Roman" w:hAnsi="Times New Roman" w:cs="Times New Roman"/>
                <w:snapToGrid w:val="0"/>
                <w:color w:val="000000"/>
                <w:sz w:val="24"/>
                <w:szCs w:val="24"/>
                <w:vertAlign w:val="superscript"/>
              </w:rPr>
              <w:t>3</w:t>
            </w:r>
            <w:r>
              <w:rPr>
                <w:rFonts w:ascii="Times New Roman" w:hAnsi="Times New Roman" w:cs="Times New Roman"/>
                <w:snapToGrid w:val="0"/>
                <w:color w:val="000000"/>
                <w:sz w:val="24"/>
                <w:szCs w:val="24"/>
              </w:rPr>
              <w:t>；</w:t>
            </w:r>
          </w:p>
          <w:p w14:paraId="6D359A58">
            <w:pPr>
              <w:keepNext w:val="0"/>
              <w:keepLines w:val="0"/>
              <w:pageBreakBefore w:val="0"/>
              <w:widowControl w:val="0"/>
              <w:tabs>
                <w:tab w:val="left" w:pos="1482"/>
              </w:tabs>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ab/>
            </w:r>
            <w:r>
              <w:rPr>
                <w:rFonts w:ascii="Times New Roman" w:hAnsi="Times New Roman" w:cs="Times New Roman"/>
                <w:snapToGrid w:val="0"/>
                <w:color w:val="000000"/>
                <w:sz w:val="24"/>
                <w:szCs w:val="24"/>
              </w:rPr>
              <w:t>Si—某污染因子i的大气环境质量标准值，mg/m</w:t>
            </w:r>
            <w:r>
              <w:rPr>
                <w:rFonts w:ascii="Times New Roman" w:hAnsi="Times New Roman" w:cs="Times New Roman"/>
                <w:snapToGrid w:val="0"/>
                <w:color w:val="000000"/>
                <w:sz w:val="24"/>
                <w:szCs w:val="24"/>
                <w:vertAlign w:val="superscript"/>
              </w:rPr>
              <w:t>3</w:t>
            </w:r>
            <w:r>
              <w:rPr>
                <w:rFonts w:ascii="Times New Roman" w:hAnsi="Times New Roman" w:cs="Times New Roman"/>
                <w:snapToGrid w:val="0"/>
                <w:color w:val="000000"/>
                <w:sz w:val="24"/>
                <w:szCs w:val="24"/>
              </w:rPr>
              <w:t>。</w:t>
            </w:r>
          </w:p>
          <w:p w14:paraId="566415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⑤监测结果</w:t>
            </w:r>
          </w:p>
          <w:p w14:paraId="37687D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本项目大气污染物特征因子监测数据见表3-4。</w:t>
            </w:r>
          </w:p>
          <w:p w14:paraId="1FCE3DB3">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ascii="Times New Roman" w:hAnsi="Times New Roman" w:cs="Times New Roman"/>
                <w:b/>
                <w:snapToGrid w:val="0"/>
                <w:color w:val="000000"/>
                <w:sz w:val="22"/>
                <w:szCs w:val="22"/>
              </w:rPr>
            </w:pPr>
            <w:r>
              <w:rPr>
                <w:rFonts w:ascii="Times New Roman" w:hAnsi="Times New Roman" w:cs="Times New Roman"/>
                <w:b/>
                <w:snapToGrid w:val="0"/>
                <w:color w:val="000000"/>
                <w:sz w:val="22"/>
                <w:szCs w:val="22"/>
              </w:rPr>
              <w:t>表3-</w:t>
            </w:r>
            <w:r>
              <w:rPr>
                <w:rFonts w:hint="eastAsia" w:cs="Times New Roman"/>
                <w:b/>
                <w:snapToGrid w:val="0"/>
                <w:color w:val="000000"/>
                <w:sz w:val="22"/>
                <w:szCs w:val="22"/>
                <w:lang w:val="en-US" w:eastAsia="zh-CN"/>
              </w:rPr>
              <w:t xml:space="preserve">4 </w:t>
            </w:r>
            <w:r>
              <w:rPr>
                <w:rFonts w:ascii="Times New Roman" w:hAnsi="Times New Roman" w:cs="Times New Roman"/>
                <w:b/>
                <w:snapToGrid w:val="0"/>
                <w:color w:val="000000"/>
                <w:sz w:val="22"/>
                <w:szCs w:val="22"/>
              </w:rPr>
              <w:t>大气污染物现状监测数据一览表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041"/>
              <w:gridCol w:w="935"/>
              <w:gridCol w:w="1101"/>
              <w:gridCol w:w="1235"/>
              <w:gridCol w:w="1242"/>
              <w:gridCol w:w="689"/>
              <w:gridCol w:w="1044"/>
            </w:tblGrid>
            <w:tr w14:paraId="76EE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648" w:type="pct"/>
                  <w:tcBorders>
                    <w:tl2br w:val="nil"/>
                    <w:tr2bl w:val="nil"/>
                  </w:tcBorders>
                  <w:noWrap w:val="0"/>
                  <w:vAlign w:val="center"/>
                </w:tcPr>
                <w:p w14:paraId="00B6F15F">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监测代码</w:t>
                  </w:r>
                </w:p>
              </w:tc>
              <w:tc>
                <w:tcPr>
                  <w:tcW w:w="621" w:type="pct"/>
                  <w:tcBorders>
                    <w:tl2br w:val="nil"/>
                    <w:tr2bl w:val="nil"/>
                  </w:tcBorders>
                  <w:noWrap w:val="0"/>
                  <w:vAlign w:val="center"/>
                </w:tcPr>
                <w:p w14:paraId="638AE0CB">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点位名称</w:t>
                  </w:r>
                </w:p>
              </w:tc>
              <w:tc>
                <w:tcPr>
                  <w:tcW w:w="558" w:type="pct"/>
                  <w:tcBorders>
                    <w:tl2br w:val="nil"/>
                    <w:tr2bl w:val="nil"/>
                  </w:tcBorders>
                  <w:noWrap w:val="0"/>
                  <w:vAlign w:val="center"/>
                </w:tcPr>
                <w:p w14:paraId="68332E06">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污染物</w:t>
                  </w:r>
                </w:p>
              </w:tc>
              <w:tc>
                <w:tcPr>
                  <w:tcW w:w="657" w:type="pct"/>
                  <w:tcBorders>
                    <w:tl2br w:val="nil"/>
                    <w:tr2bl w:val="nil"/>
                  </w:tcBorders>
                  <w:noWrap w:val="0"/>
                  <w:vAlign w:val="center"/>
                </w:tcPr>
                <w:p w14:paraId="252592AE">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评价标准/（mg/ m</w:t>
                  </w:r>
                  <w:r>
                    <w:rPr>
                      <w:rFonts w:ascii="Times New Roman" w:hAnsi="Times New Roman" w:cs="Times New Roman"/>
                      <w:b/>
                      <w:color w:val="000000"/>
                      <w:sz w:val="21"/>
                      <w:szCs w:val="21"/>
                      <w:vertAlign w:val="superscript"/>
                    </w:rPr>
                    <w:t>3</w:t>
                  </w:r>
                  <w:r>
                    <w:rPr>
                      <w:rFonts w:ascii="Times New Roman" w:hAnsi="Times New Roman" w:cs="Times New Roman"/>
                      <w:b/>
                      <w:color w:val="000000"/>
                      <w:sz w:val="21"/>
                      <w:szCs w:val="21"/>
                    </w:rPr>
                    <w:t>）</w:t>
                  </w:r>
                </w:p>
              </w:tc>
              <w:tc>
                <w:tcPr>
                  <w:tcW w:w="737" w:type="pct"/>
                  <w:tcBorders>
                    <w:tl2br w:val="nil"/>
                    <w:tr2bl w:val="nil"/>
                  </w:tcBorders>
                  <w:noWrap w:val="0"/>
                  <w:vAlign w:val="center"/>
                </w:tcPr>
                <w:p w14:paraId="04BCCD20">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监测浓度范围/（mg/m</w:t>
                  </w:r>
                  <w:r>
                    <w:rPr>
                      <w:rFonts w:ascii="Times New Roman" w:hAnsi="Times New Roman" w:cs="Times New Roman"/>
                      <w:b/>
                      <w:color w:val="000000"/>
                      <w:sz w:val="21"/>
                      <w:szCs w:val="21"/>
                      <w:vertAlign w:val="superscript"/>
                    </w:rPr>
                    <w:t>3</w:t>
                  </w:r>
                  <w:r>
                    <w:rPr>
                      <w:rFonts w:ascii="Times New Roman" w:hAnsi="Times New Roman" w:cs="Times New Roman"/>
                      <w:b/>
                      <w:color w:val="000000"/>
                      <w:sz w:val="21"/>
                      <w:szCs w:val="21"/>
                    </w:rPr>
                    <w:t>）</w:t>
                  </w:r>
                </w:p>
              </w:tc>
              <w:tc>
                <w:tcPr>
                  <w:tcW w:w="741" w:type="pct"/>
                  <w:tcBorders>
                    <w:tl2br w:val="nil"/>
                    <w:tr2bl w:val="nil"/>
                  </w:tcBorders>
                  <w:noWrap w:val="0"/>
                  <w:vAlign w:val="center"/>
                </w:tcPr>
                <w:p w14:paraId="380D30F6">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最大浓度占标率/%</w:t>
                  </w:r>
                </w:p>
              </w:tc>
              <w:tc>
                <w:tcPr>
                  <w:tcW w:w="411" w:type="pct"/>
                  <w:tcBorders>
                    <w:tl2br w:val="nil"/>
                    <w:tr2bl w:val="nil"/>
                  </w:tcBorders>
                  <w:noWrap w:val="0"/>
                  <w:vAlign w:val="center"/>
                </w:tcPr>
                <w:p w14:paraId="6AABB90B">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超标率/%</w:t>
                  </w:r>
                </w:p>
              </w:tc>
              <w:tc>
                <w:tcPr>
                  <w:tcW w:w="623" w:type="pct"/>
                  <w:tcBorders>
                    <w:tl2br w:val="nil"/>
                    <w:tr2bl w:val="nil"/>
                  </w:tcBorders>
                  <w:noWrap w:val="0"/>
                  <w:vAlign w:val="center"/>
                </w:tcPr>
                <w:p w14:paraId="07E4442D">
                  <w:pPr>
                    <w:adjustRightInd w:val="0"/>
                    <w:snapToGrid w:val="0"/>
                    <w:jc w:val="center"/>
                    <w:rPr>
                      <w:rFonts w:ascii="Times New Roman" w:hAnsi="Times New Roman" w:cs="Times New Roman"/>
                      <w:b/>
                      <w:color w:val="000000"/>
                      <w:sz w:val="21"/>
                      <w:szCs w:val="21"/>
                    </w:rPr>
                  </w:pPr>
                  <w:r>
                    <w:rPr>
                      <w:rFonts w:ascii="Times New Roman" w:hAnsi="Times New Roman" w:cs="Times New Roman"/>
                      <w:b/>
                      <w:color w:val="000000"/>
                      <w:sz w:val="21"/>
                      <w:szCs w:val="21"/>
                    </w:rPr>
                    <w:t>达标情况</w:t>
                  </w:r>
                </w:p>
              </w:tc>
            </w:tr>
            <w:tr w14:paraId="7A37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648" w:type="pct"/>
                  <w:tcBorders>
                    <w:tl2br w:val="nil"/>
                    <w:tr2bl w:val="nil"/>
                  </w:tcBorders>
                  <w:noWrap w:val="0"/>
                  <w:vAlign w:val="center"/>
                </w:tcPr>
                <w:p w14:paraId="4DB37711">
                  <w:pPr>
                    <w:adjustRightInd w:val="0"/>
                    <w:snapToGrid w:val="0"/>
                    <w:spacing w:line="20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G1</w:t>
                  </w:r>
                </w:p>
              </w:tc>
              <w:tc>
                <w:tcPr>
                  <w:tcW w:w="621" w:type="pct"/>
                  <w:tcBorders>
                    <w:tl2br w:val="nil"/>
                    <w:tr2bl w:val="nil"/>
                  </w:tcBorders>
                  <w:noWrap w:val="0"/>
                  <w:vAlign w:val="center"/>
                </w:tcPr>
                <w:p w14:paraId="25F88E8E">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纵楼村</w:t>
                  </w:r>
                </w:p>
              </w:tc>
              <w:tc>
                <w:tcPr>
                  <w:tcW w:w="558" w:type="pct"/>
                  <w:tcBorders>
                    <w:tl2br w:val="nil"/>
                    <w:tr2bl w:val="nil"/>
                  </w:tcBorders>
                  <w:noWrap w:val="0"/>
                  <w:vAlign w:val="center"/>
                </w:tcPr>
                <w:p w14:paraId="223F74D7">
                  <w:pPr>
                    <w:adjustRightInd w:val="0"/>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TSP</w:t>
                  </w:r>
                </w:p>
              </w:tc>
              <w:tc>
                <w:tcPr>
                  <w:tcW w:w="657" w:type="pct"/>
                  <w:tcBorders>
                    <w:tl2br w:val="nil"/>
                    <w:tr2bl w:val="nil"/>
                  </w:tcBorders>
                  <w:noWrap w:val="0"/>
                  <w:vAlign w:val="center"/>
                </w:tcPr>
                <w:p w14:paraId="5BE3292E">
                  <w:pPr>
                    <w:adjustRightInd w:val="0"/>
                    <w:snapToGrid w:val="0"/>
                    <w:spacing w:line="20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0.3</w:t>
                  </w:r>
                </w:p>
              </w:tc>
              <w:tc>
                <w:tcPr>
                  <w:tcW w:w="737" w:type="pct"/>
                  <w:tcBorders>
                    <w:tl2br w:val="nil"/>
                    <w:tr2bl w:val="nil"/>
                  </w:tcBorders>
                  <w:noWrap w:val="0"/>
                  <w:vAlign w:val="center"/>
                </w:tcPr>
                <w:p w14:paraId="57091D67">
                  <w:pPr>
                    <w:adjustRightInd w:val="0"/>
                    <w:snapToGrid w:val="0"/>
                    <w:spacing w:line="200" w:lineRule="exact"/>
                    <w:jc w:val="center"/>
                    <w:rPr>
                      <w:rFonts w:ascii="Times New Roman" w:hAnsi="Times New Roman" w:cs="Times New Roman"/>
                      <w:color w:val="000000"/>
                      <w:sz w:val="21"/>
                      <w:szCs w:val="21"/>
                      <w:lang w:val="en-US" w:eastAsia="zh-CN" w:bidi="ar-SA"/>
                    </w:rPr>
                  </w:pPr>
                  <w:r>
                    <w:rPr>
                      <w:rFonts w:ascii="Times New Roman" w:hAnsi="Times New Roman" w:cs="Times New Roman"/>
                      <w:color w:val="000000"/>
                      <w:sz w:val="21"/>
                      <w:szCs w:val="21"/>
                    </w:rPr>
                    <w:t>0.1</w:t>
                  </w:r>
                  <w:r>
                    <w:rPr>
                      <w:rFonts w:hint="eastAsia" w:ascii="Times New Roman" w:hAnsi="Times New Roman" w:cs="Times New Roman"/>
                      <w:color w:val="000000"/>
                      <w:sz w:val="21"/>
                      <w:szCs w:val="21"/>
                      <w:lang w:val="en-US" w:eastAsia="zh-CN"/>
                    </w:rPr>
                    <w:t>01</w:t>
                  </w:r>
                  <w:r>
                    <w:rPr>
                      <w:rFonts w:ascii="Times New Roman" w:hAnsi="Times New Roman" w:cs="Times New Roman"/>
                      <w:color w:val="000000"/>
                      <w:sz w:val="21"/>
                      <w:szCs w:val="21"/>
                    </w:rPr>
                    <w:t>-0.1</w:t>
                  </w:r>
                  <w:r>
                    <w:rPr>
                      <w:rFonts w:hint="eastAsia" w:ascii="Times New Roman" w:hAnsi="Times New Roman" w:cs="Times New Roman"/>
                      <w:color w:val="000000"/>
                      <w:sz w:val="21"/>
                      <w:szCs w:val="21"/>
                      <w:lang w:val="en-US" w:eastAsia="zh-CN"/>
                    </w:rPr>
                    <w:t>3</w:t>
                  </w:r>
                  <w:r>
                    <w:rPr>
                      <w:rFonts w:ascii="Times New Roman" w:hAnsi="Times New Roman" w:cs="Times New Roman"/>
                      <w:color w:val="000000"/>
                      <w:sz w:val="21"/>
                      <w:szCs w:val="21"/>
                    </w:rPr>
                    <w:t>6</w:t>
                  </w:r>
                </w:p>
              </w:tc>
              <w:tc>
                <w:tcPr>
                  <w:tcW w:w="741" w:type="pct"/>
                  <w:tcBorders>
                    <w:tl2br w:val="nil"/>
                    <w:tr2bl w:val="nil"/>
                  </w:tcBorders>
                  <w:noWrap w:val="0"/>
                  <w:vAlign w:val="center"/>
                </w:tcPr>
                <w:p w14:paraId="4AC837FD">
                  <w:pPr>
                    <w:adjustRightInd w:val="0"/>
                    <w:snapToGrid w:val="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cs="Times New Roman"/>
                      <w:color w:val="000000"/>
                      <w:sz w:val="21"/>
                      <w:szCs w:val="21"/>
                      <w:lang w:val="en-US" w:eastAsia="zh-CN"/>
                    </w:rPr>
                    <w:t>45.3</w:t>
                  </w:r>
                </w:p>
              </w:tc>
              <w:tc>
                <w:tcPr>
                  <w:tcW w:w="411" w:type="pct"/>
                  <w:tcBorders>
                    <w:tl2br w:val="nil"/>
                    <w:tr2bl w:val="nil"/>
                  </w:tcBorders>
                  <w:noWrap w:val="0"/>
                  <w:vAlign w:val="center"/>
                </w:tcPr>
                <w:p w14:paraId="73DA5FCC">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0</w:t>
                  </w:r>
                </w:p>
              </w:tc>
              <w:tc>
                <w:tcPr>
                  <w:tcW w:w="623" w:type="pct"/>
                  <w:tcBorders>
                    <w:tl2br w:val="nil"/>
                    <w:tr2bl w:val="nil"/>
                  </w:tcBorders>
                  <w:noWrap w:val="0"/>
                  <w:vAlign w:val="center"/>
                </w:tcPr>
                <w:p w14:paraId="765825AF">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达标</w:t>
                  </w:r>
                </w:p>
              </w:tc>
            </w:tr>
          </w:tbl>
          <w:p w14:paraId="269526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ascii="Times New Roman" w:hAnsi="Times New Roman" w:cs="Times New Roman"/>
                <w:snapToGrid w:val="0"/>
                <w:color w:val="000000"/>
              </w:rPr>
              <w:t>由上表可以看出，</w:t>
            </w:r>
            <w:r>
              <w:rPr>
                <w:rFonts w:hint="eastAsia" w:ascii="Times New Roman" w:hAnsi="Times New Roman" w:cs="Times New Roman"/>
                <w:snapToGrid w:val="0"/>
                <w:color w:val="000000"/>
                <w:lang w:eastAsia="zh-CN"/>
              </w:rPr>
              <w:t>监测点</w:t>
            </w:r>
            <w:r>
              <w:rPr>
                <w:rFonts w:hint="eastAsia" w:ascii="Times New Roman" w:hAnsi="Times New Roman" w:cs="Times New Roman"/>
                <w:color w:val="000000"/>
              </w:rPr>
              <w:t>TSP</w:t>
            </w:r>
            <w:r>
              <w:rPr>
                <w:rFonts w:hint="eastAsia"/>
                <w:color w:val="auto"/>
                <w:kern w:val="0"/>
                <w:sz w:val="24"/>
                <w:szCs w:val="24"/>
              </w:rPr>
              <w:t>满足《环境空气质量标准》（GB3095-2012）表2中的二级</w:t>
            </w:r>
            <w:r>
              <w:rPr>
                <w:rFonts w:hint="eastAsia"/>
                <w:color w:val="auto"/>
                <w:kern w:val="0"/>
                <w:sz w:val="24"/>
                <w:szCs w:val="24"/>
                <w:lang w:eastAsia="zh-CN"/>
              </w:rPr>
              <w:t>浓度限值要求</w:t>
            </w:r>
            <w:r>
              <w:rPr>
                <w:rFonts w:hint="eastAsia" w:ascii="Times New Roman" w:hAnsi="Times New Roman" w:cs="Times New Roman"/>
                <w:color w:val="000000"/>
                <w:lang w:eastAsia="zh-CN"/>
              </w:rPr>
              <w:t>，</w:t>
            </w:r>
            <w:r>
              <w:rPr>
                <w:rFonts w:ascii="Times New Roman" w:hAnsi="Times New Roman" w:cs="Times New Roman"/>
                <w:color w:val="000000"/>
              </w:rPr>
              <w:t>项目周围大气环境质量较好</w:t>
            </w:r>
            <w:r>
              <w:rPr>
                <w:rFonts w:hint="eastAsia" w:ascii="Times New Roman" w:hAnsi="Times New Roman" w:cs="Times New Roman"/>
                <w:color w:val="000000"/>
                <w:lang w:eastAsia="zh-CN"/>
              </w:rPr>
              <w:t>。</w:t>
            </w:r>
          </w:p>
          <w:p w14:paraId="7218AEB4">
            <w:pPr>
              <w:spacing w:line="360" w:lineRule="auto"/>
              <w:jc w:val="left"/>
              <w:rPr>
                <w:rFonts w:hint="eastAsia"/>
                <w:b/>
                <w:sz w:val="24"/>
                <w:lang w:val="en-US" w:eastAsia="zh-CN"/>
              </w:rPr>
            </w:pPr>
            <w:r>
              <w:rPr>
                <w:rFonts w:hint="eastAsia"/>
                <w:b/>
                <w:bCs/>
                <w:sz w:val="24"/>
                <w:lang w:val="en-US" w:eastAsia="zh-CN"/>
              </w:rPr>
              <w:t>2</w:t>
            </w:r>
            <w:r>
              <w:rPr>
                <w:b/>
                <w:bCs/>
                <w:sz w:val="24"/>
              </w:rPr>
              <w:t>、</w:t>
            </w:r>
            <w:r>
              <w:rPr>
                <w:rFonts w:hint="eastAsia"/>
                <w:b/>
                <w:sz w:val="24"/>
                <w:lang w:val="en-US" w:eastAsia="zh-CN"/>
              </w:rPr>
              <w:t>地表水环境</w:t>
            </w:r>
          </w:p>
          <w:p w14:paraId="0E9A8347">
            <w:pPr>
              <w:autoSpaceDE w:val="0"/>
              <w:autoSpaceDN w:val="0"/>
              <w:adjustRightInd w:val="0"/>
              <w:snapToGrid w:val="0"/>
              <w:spacing w:line="360" w:lineRule="auto"/>
              <w:ind w:firstLine="480" w:firstLineChars="200"/>
              <w:jc w:val="both"/>
              <w:rPr>
                <w:rFonts w:hint="default"/>
                <w:lang w:val="en-US" w:eastAsia="zh-CN"/>
              </w:rPr>
            </w:pPr>
            <w:r>
              <w:rPr>
                <w:rFonts w:hint="eastAsia"/>
                <w:color w:val="000000"/>
                <w:kern w:val="0"/>
                <w:sz w:val="24"/>
                <w:lang w:val="en-US" w:eastAsia="zh-CN"/>
              </w:rPr>
              <w:t>根据《建设项目环境影响报告表编制技术指南（污染影响类）》（试行）的文件要求，地表水环境引用与建设项目距离近的有效数据，包括近3年的规划环境影响评价的监测数据，所在流域控制单元内国家、地方控制断面监测数据，生态环境主管部门发布的水环境质量数据或地表水达标情况的结论。本次评价引用《安徽淮北杜集经济开发区总体发展规划（2023-2035年）环境影响报告书》中现状检测数据，采样日期为2023年7月16日至7月18日，采样点位在东山北路断面、北外环路断面和青年路断面，检测结果详见下表。</w:t>
            </w:r>
          </w:p>
          <w:p w14:paraId="5E6FF939">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Times New Roman" w:hAnsi="Times New Roman" w:cs="Times New Roman" w:eastAsiaTheme="minorEastAsia"/>
                <w:b/>
                <w:bCs/>
                <w:sz w:val="22"/>
                <w:szCs w:val="22"/>
                <w:lang w:val="en-US" w:eastAsia="zh-CN"/>
              </w:rPr>
              <w:t>表3-</w:t>
            </w:r>
            <w:r>
              <w:rPr>
                <w:rFonts w:hint="eastAsia" w:ascii="Times New Roman" w:hAnsi="Times New Roman" w:cs="Times New Roman" w:eastAsiaTheme="minorEastAsia"/>
                <w:b/>
                <w:bCs/>
                <w:sz w:val="22"/>
                <w:szCs w:val="22"/>
                <w:lang w:val="en-US" w:eastAsia="zh-CN"/>
              </w:rPr>
              <w:t>5</w:t>
            </w:r>
            <w:r>
              <w:rPr>
                <w:rFonts w:hint="default" w:ascii="Times New Roman" w:hAnsi="Times New Roman" w:cs="Times New Roman" w:eastAsiaTheme="minorEastAsia"/>
                <w:b/>
                <w:bCs/>
                <w:sz w:val="22"/>
                <w:szCs w:val="22"/>
                <w:lang w:val="en-US" w:eastAsia="zh-CN"/>
              </w:rPr>
              <w:t xml:space="preserve"> </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龙</w:t>
            </w:r>
            <w:r>
              <w:rPr>
                <w:rFonts w:hint="eastAsia" w:ascii="宋体" w:hAnsi="宋体" w:eastAsia="宋体" w:cs="宋体"/>
                <w:b/>
                <w:bCs/>
                <w:sz w:val="22"/>
                <w:szCs w:val="22"/>
                <w:lang w:val="en-US" w:eastAsia="zh-CN"/>
              </w:rPr>
              <w:t>岱河环境质量现状检测结果一览表</w:t>
            </w:r>
          </w:p>
          <w:tbl>
            <w:tblPr>
              <w:tblStyle w:val="24"/>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8"/>
              <w:gridCol w:w="1632"/>
              <w:gridCol w:w="646"/>
              <w:gridCol w:w="646"/>
              <w:gridCol w:w="646"/>
              <w:gridCol w:w="646"/>
              <w:gridCol w:w="646"/>
              <w:gridCol w:w="646"/>
              <w:gridCol w:w="767"/>
              <w:gridCol w:w="845"/>
            </w:tblGrid>
            <w:tr w14:paraId="58AB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3" w:type="pct"/>
                  <w:vMerge w:val="restart"/>
                  <w:tcBorders>
                    <w:tl2br w:val="nil"/>
                    <w:tr2bl w:val="nil"/>
                  </w:tcBorders>
                  <w:noWrap/>
                  <w:tcMar>
                    <w:top w:w="57" w:type="dxa"/>
                    <w:left w:w="57" w:type="dxa"/>
                    <w:bottom w:w="57" w:type="dxa"/>
                    <w:right w:w="57" w:type="dxa"/>
                  </w:tcMar>
                  <w:vAlign w:val="center"/>
                </w:tcPr>
                <w:p w14:paraId="515D384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采样日期</w:t>
                  </w:r>
                </w:p>
              </w:tc>
              <w:tc>
                <w:tcPr>
                  <w:tcW w:w="1025" w:type="pct"/>
                  <w:vMerge w:val="restart"/>
                  <w:tcBorders>
                    <w:tl2br w:val="nil"/>
                    <w:tr2bl w:val="nil"/>
                  </w:tcBorders>
                  <w:noWrap/>
                  <w:tcMar>
                    <w:top w:w="57" w:type="dxa"/>
                    <w:left w:w="57" w:type="dxa"/>
                    <w:bottom w:w="57" w:type="dxa"/>
                    <w:right w:w="57" w:type="dxa"/>
                  </w:tcMar>
                  <w:vAlign w:val="center"/>
                </w:tcPr>
                <w:p w14:paraId="76F61F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2"/>
                      <w:szCs w:val="22"/>
                      <w:highlight w:val="none"/>
                      <w:lang w:val="en-US" w:eastAsia="zh-CN"/>
                    </w:rPr>
                  </w:pPr>
                  <w:r>
                    <w:rPr>
                      <w:rFonts w:hint="eastAsia" w:ascii="Times New Roman" w:hAnsi="Times New Roman" w:eastAsia="宋体" w:cs="Times New Roman"/>
                      <w:b/>
                      <w:bCs/>
                      <w:color w:val="000000"/>
                      <w:kern w:val="2"/>
                      <w:sz w:val="22"/>
                      <w:szCs w:val="22"/>
                      <w:highlight w:val="none"/>
                      <w:lang w:val="en-US" w:eastAsia="zh-CN"/>
                    </w:rPr>
                    <w:t>采样点位</w:t>
                  </w:r>
                </w:p>
              </w:tc>
              <w:tc>
                <w:tcPr>
                  <w:tcW w:w="3540" w:type="pct"/>
                  <w:gridSpan w:val="8"/>
                  <w:tcBorders>
                    <w:tl2br w:val="nil"/>
                    <w:tr2bl w:val="nil"/>
                  </w:tcBorders>
                  <w:noWrap/>
                  <w:tcMar>
                    <w:top w:w="57" w:type="dxa"/>
                    <w:left w:w="57" w:type="dxa"/>
                    <w:bottom w:w="57" w:type="dxa"/>
                    <w:right w:w="57" w:type="dxa"/>
                  </w:tcMar>
                  <w:vAlign w:val="center"/>
                </w:tcPr>
                <w:p w14:paraId="27A624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000000"/>
                      <w:kern w:val="2"/>
                      <w:sz w:val="22"/>
                      <w:szCs w:val="22"/>
                      <w:highlight w:val="none"/>
                      <w:lang w:val="en-US" w:eastAsia="zh-CN"/>
                    </w:rPr>
                  </w:pPr>
                  <w:r>
                    <w:rPr>
                      <w:rFonts w:hint="default" w:ascii="Times New Roman" w:hAnsi="Times New Roman" w:eastAsia="宋体" w:cs="Times New Roman"/>
                      <w:b/>
                      <w:bCs/>
                      <w:color w:val="000000"/>
                      <w:kern w:val="2"/>
                      <w:sz w:val="22"/>
                      <w:szCs w:val="22"/>
                      <w:highlight w:val="none"/>
                      <w:lang w:val="en-US" w:eastAsia="zh-CN"/>
                    </w:rPr>
                    <w:t>检测结果（</w:t>
                  </w:r>
                  <w:r>
                    <w:rPr>
                      <w:rFonts w:hint="default" w:ascii="Times New Roman" w:hAnsi="Times New Roman" w:eastAsia="宋体" w:cs="Times New Roman"/>
                      <w:b/>
                      <w:bCs/>
                      <w:sz w:val="22"/>
                      <w:szCs w:val="22"/>
                      <w:lang w:val="en-US" w:eastAsia="zh-CN"/>
                    </w:rPr>
                    <w:t>mg/L，pH无量纲</w:t>
                  </w:r>
                  <w:r>
                    <w:rPr>
                      <w:rFonts w:hint="default" w:ascii="Times New Roman" w:hAnsi="Times New Roman" w:eastAsia="宋体" w:cs="Times New Roman"/>
                      <w:b/>
                      <w:bCs/>
                      <w:color w:val="000000"/>
                      <w:kern w:val="2"/>
                      <w:sz w:val="22"/>
                      <w:szCs w:val="22"/>
                      <w:highlight w:val="none"/>
                      <w:lang w:val="en-US" w:eastAsia="zh-CN"/>
                    </w:rPr>
                    <w:t>）</w:t>
                  </w:r>
                </w:p>
              </w:tc>
            </w:tr>
            <w:tr w14:paraId="588E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continue"/>
                  <w:tcBorders>
                    <w:tl2br w:val="nil"/>
                    <w:tr2bl w:val="nil"/>
                  </w:tcBorders>
                  <w:noWrap/>
                  <w:tcMar>
                    <w:top w:w="57" w:type="dxa"/>
                    <w:left w:w="57" w:type="dxa"/>
                    <w:bottom w:w="57" w:type="dxa"/>
                    <w:right w:w="57" w:type="dxa"/>
                  </w:tcMar>
                  <w:vAlign w:val="center"/>
                </w:tcPr>
                <w:p w14:paraId="798BB5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2"/>
                      <w:szCs w:val="22"/>
                      <w:highlight w:val="none"/>
                      <w:lang w:val="en-US" w:eastAsia="zh-CN"/>
                    </w:rPr>
                  </w:pPr>
                </w:p>
              </w:tc>
              <w:tc>
                <w:tcPr>
                  <w:tcW w:w="1025" w:type="pct"/>
                  <w:vMerge w:val="continue"/>
                  <w:tcBorders>
                    <w:tl2br w:val="nil"/>
                    <w:tr2bl w:val="nil"/>
                  </w:tcBorders>
                  <w:noWrap/>
                  <w:tcMar>
                    <w:top w:w="57" w:type="dxa"/>
                    <w:left w:w="57" w:type="dxa"/>
                    <w:bottom w:w="57" w:type="dxa"/>
                    <w:right w:w="57" w:type="dxa"/>
                  </w:tcMar>
                  <w:vAlign w:val="center"/>
                </w:tcPr>
                <w:p w14:paraId="78BE277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2"/>
                      <w:szCs w:val="22"/>
                      <w:highlight w:val="none"/>
                      <w:lang w:val="en-US" w:eastAsia="zh-CN"/>
                    </w:rPr>
                  </w:pPr>
                </w:p>
              </w:tc>
              <w:tc>
                <w:tcPr>
                  <w:tcW w:w="418" w:type="pct"/>
                  <w:tcBorders>
                    <w:tl2br w:val="nil"/>
                    <w:tr2bl w:val="nil"/>
                  </w:tcBorders>
                  <w:shd w:val="clear" w:color="auto" w:fill="auto"/>
                  <w:noWrap/>
                  <w:tcMar>
                    <w:top w:w="57" w:type="dxa"/>
                    <w:left w:w="57" w:type="dxa"/>
                    <w:bottom w:w="57" w:type="dxa"/>
                    <w:right w:w="57" w:type="dxa"/>
                  </w:tcMar>
                  <w:vAlign w:val="center"/>
                </w:tcPr>
                <w:p w14:paraId="59A5D17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2"/>
                      <w:szCs w:val="22"/>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PH</w:t>
                  </w:r>
                </w:p>
              </w:tc>
              <w:tc>
                <w:tcPr>
                  <w:tcW w:w="418" w:type="pct"/>
                  <w:tcBorders>
                    <w:tl2br w:val="nil"/>
                    <w:tr2bl w:val="nil"/>
                  </w:tcBorders>
                  <w:shd w:val="clear" w:color="auto" w:fill="auto"/>
                  <w:noWrap/>
                  <w:tcMar>
                    <w:top w:w="57" w:type="dxa"/>
                    <w:left w:w="57" w:type="dxa"/>
                    <w:bottom w:w="57" w:type="dxa"/>
                    <w:right w:w="57" w:type="dxa"/>
                  </w:tcMar>
                  <w:vAlign w:val="center"/>
                </w:tcPr>
                <w:p w14:paraId="724E88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2"/>
                      <w:szCs w:val="22"/>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TP</w:t>
                  </w:r>
                </w:p>
              </w:tc>
              <w:tc>
                <w:tcPr>
                  <w:tcW w:w="418" w:type="pct"/>
                  <w:tcBorders>
                    <w:tl2br w:val="nil"/>
                    <w:tr2bl w:val="nil"/>
                  </w:tcBorders>
                  <w:shd w:val="clear" w:color="auto" w:fill="auto"/>
                  <w:noWrap/>
                  <w:tcMar>
                    <w:top w:w="57" w:type="dxa"/>
                    <w:left w:w="57" w:type="dxa"/>
                    <w:bottom w:w="57" w:type="dxa"/>
                    <w:right w:w="57" w:type="dxa"/>
                  </w:tcMar>
                  <w:vAlign w:val="center"/>
                </w:tcPr>
                <w:p w14:paraId="20C634B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2"/>
                      <w:szCs w:val="22"/>
                      <w:highlight w:val="none"/>
                      <w:lang w:val="en-US" w:eastAsia="zh-CN" w:bidi="ar-SA"/>
                    </w:rPr>
                  </w:pPr>
                  <w:r>
                    <w:rPr>
                      <w:rFonts w:hint="eastAsia" w:ascii="Times New Roman" w:hAnsi="Times New Roman" w:eastAsia="宋体" w:cs="Times New Roman"/>
                      <w:color w:val="000000"/>
                      <w:kern w:val="2"/>
                      <w:sz w:val="22"/>
                      <w:szCs w:val="22"/>
                      <w:highlight w:val="none"/>
                      <w:lang w:val="en-US" w:eastAsia="zh-CN"/>
                    </w:rPr>
                    <w:t>氨氮</w:t>
                  </w:r>
                </w:p>
              </w:tc>
              <w:tc>
                <w:tcPr>
                  <w:tcW w:w="418" w:type="pct"/>
                  <w:tcBorders>
                    <w:tl2br w:val="nil"/>
                    <w:tr2bl w:val="nil"/>
                  </w:tcBorders>
                  <w:shd w:val="clear" w:color="auto" w:fill="auto"/>
                  <w:noWrap/>
                  <w:tcMar>
                    <w:top w:w="57" w:type="dxa"/>
                    <w:left w:w="57" w:type="dxa"/>
                    <w:bottom w:w="57" w:type="dxa"/>
                    <w:right w:w="57" w:type="dxa"/>
                  </w:tcMar>
                  <w:vAlign w:val="center"/>
                </w:tcPr>
                <w:p w14:paraId="194139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TN</w:t>
                  </w:r>
                </w:p>
              </w:tc>
              <w:tc>
                <w:tcPr>
                  <w:tcW w:w="418" w:type="pct"/>
                  <w:tcBorders>
                    <w:tl2br w:val="nil"/>
                    <w:tr2bl w:val="nil"/>
                  </w:tcBorders>
                  <w:shd w:val="clear" w:color="auto" w:fill="auto"/>
                  <w:noWrap/>
                  <w:tcMar>
                    <w:top w:w="57" w:type="dxa"/>
                    <w:left w:w="57" w:type="dxa"/>
                    <w:bottom w:w="57" w:type="dxa"/>
                    <w:right w:w="57" w:type="dxa"/>
                  </w:tcMar>
                  <w:vAlign w:val="center"/>
                </w:tcPr>
                <w:p w14:paraId="729F23E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SS</w:t>
                  </w:r>
                </w:p>
              </w:tc>
              <w:tc>
                <w:tcPr>
                  <w:tcW w:w="418" w:type="pct"/>
                  <w:tcBorders>
                    <w:tl2br w:val="nil"/>
                    <w:tr2bl w:val="nil"/>
                  </w:tcBorders>
                  <w:shd w:val="clear" w:color="auto" w:fill="auto"/>
                  <w:noWrap/>
                  <w:tcMar>
                    <w:top w:w="57" w:type="dxa"/>
                    <w:left w:w="57" w:type="dxa"/>
                    <w:bottom w:w="57" w:type="dxa"/>
                    <w:right w:w="57" w:type="dxa"/>
                  </w:tcMar>
                  <w:vAlign w:val="center"/>
                </w:tcPr>
                <w:p w14:paraId="178FFD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COD</w:t>
                  </w:r>
                </w:p>
              </w:tc>
              <w:tc>
                <w:tcPr>
                  <w:tcW w:w="492" w:type="pct"/>
                  <w:tcBorders>
                    <w:tl2br w:val="nil"/>
                    <w:tr2bl w:val="nil"/>
                  </w:tcBorders>
                  <w:shd w:val="clear" w:color="auto" w:fill="auto"/>
                  <w:noWrap/>
                  <w:tcMar>
                    <w:top w:w="57" w:type="dxa"/>
                    <w:left w:w="57" w:type="dxa"/>
                    <w:bottom w:w="57" w:type="dxa"/>
                    <w:right w:w="57" w:type="dxa"/>
                  </w:tcMar>
                  <w:vAlign w:val="center"/>
                </w:tcPr>
                <w:p w14:paraId="3B95A6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BOD</w:t>
                  </w:r>
                  <w:r>
                    <w:rPr>
                      <w:rFonts w:hint="eastAsia" w:ascii="Times New Roman" w:hAnsi="Times New Roman" w:eastAsia="宋体" w:cs="Times New Roman"/>
                      <w:color w:val="000000"/>
                      <w:kern w:val="2"/>
                      <w:sz w:val="22"/>
                      <w:szCs w:val="22"/>
                      <w:highlight w:val="none"/>
                      <w:vertAlign w:val="subscript"/>
                      <w:lang w:val="en-US" w:eastAsia="zh-CN"/>
                    </w:rPr>
                    <w:t>5</w:t>
                  </w:r>
                </w:p>
              </w:tc>
              <w:tc>
                <w:tcPr>
                  <w:tcW w:w="535" w:type="pct"/>
                  <w:tcBorders>
                    <w:tl2br w:val="nil"/>
                    <w:tr2bl w:val="nil"/>
                  </w:tcBorders>
                  <w:shd w:val="clear" w:color="auto" w:fill="auto"/>
                  <w:noWrap/>
                  <w:tcMar>
                    <w:top w:w="57" w:type="dxa"/>
                    <w:left w:w="57" w:type="dxa"/>
                    <w:bottom w:w="57" w:type="dxa"/>
                    <w:right w:w="57" w:type="dxa"/>
                  </w:tcMar>
                  <w:vAlign w:val="center"/>
                </w:tcPr>
                <w:p w14:paraId="2213DD6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rPr>
                  </w:pPr>
                  <w:r>
                    <w:rPr>
                      <w:rFonts w:hint="eastAsia" w:ascii="Times New Roman" w:hAnsi="Times New Roman" w:eastAsia="宋体" w:cs="Times New Roman"/>
                      <w:color w:val="000000"/>
                      <w:kern w:val="2"/>
                      <w:sz w:val="22"/>
                      <w:szCs w:val="22"/>
                      <w:highlight w:val="none"/>
                      <w:lang w:val="en-US" w:eastAsia="zh-CN"/>
                    </w:rPr>
                    <w:t>硫化物</w:t>
                  </w:r>
                </w:p>
              </w:tc>
            </w:tr>
            <w:tr w14:paraId="07E4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restart"/>
                  <w:tcBorders>
                    <w:tl2br w:val="nil"/>
                    <w:tr2bl w:val="nil"/>
                  </w:tcBorders>
                  <w:noWrap/>
                  <w:tcMar>
                    <w:top w:w="57" w:type="dxa"/>
                    <w:left w:w="57" w:type="dxa"/>
                    <w:bottom w:w="57" w:type="dxa"/>
                    <w:right w:w="57" w:type="dxa"/>
                  </w:tcMar>
                  <w:vAlign w:val="center"/>
                </w:tcPr>
                <w:p w14:paraId="33C4F73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2023.7.16</w:t>
                  </w:r>
                </w:p>
              </w:tc>
              <w:tc>
                <w:tcPr>
                  <w:tcW w:w="1025" w:type="pct"/>
                  <w:tcBorders>
                    <w:tl2br w:val="nil"/>
                    <w:tr2bl w:val="nil"/>
                  </w:tcBorders>
                  <w:noWrap/>
                  <w:tcMar>
                    <w:top w:w="57" w:type="dxa"/>
                    <w:left w:w="57" w:type="dxa"/>
                    <w:bottom w:w="57" w:type="dxa"/>
                    <w:right w:w="57" w:type="dxa"/>
                  </w:tcMar>
                  <w:vAlign w:val="center"/>
                </w:tcPr>
                <w:p w14:paraId="7ED12F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kern w:val="0"/>
                      <w:sz w:val="21"/>
                      <w:szCs w:val="21"/>
                      <w:lang w:val="en-US" w:eastAsia="zh-CN"/>
                    </w:rPr>
                    <w:t>东山北路断面</w:t>
                  </w:r>
                </w:p>
              </w:tc>
              <w:tc>
                <w:tcPr>
                  <w:tcW w:w="418" w:type="pct"/>
                  <w:tcBorders>
                    <w:tl2br w:val="nil"/>
                    <w:tr2bl w:val="nil"/>
                  </w:tcBorders>
                  <w:noWrap/>
                  <w:tcMar>
                    <w:top w:w="57" w:type="dxa"/>
                    <w:left w:w="57" w:type="dxa"/>
                    <w:bottom w:w="57" w:type="dxa"/>
                    <w:right w:w="57" w:type="dxa"/>
                  </w:tcMar>
                  <w:vAlign w:val="center"/>
                </w:tcPr>
                <w:p w14:paraId="0CC77F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7.4</w:t>
                  </w:r>
                </w:p>
              </w:tc>
              <w:tc>
                <w:tcPr>
                  <w:tcW w:w="418" w:type="pct"/>
                  <w:tcBorders>
                    <w:tl2br w:val="nil"/>
                    <w:tr2bl w:val="nil"/>
                  </w:tcBorders>
                  <w:shd w:val="clear" w:color="auto" w:fill="auto"/>
                  <w:noWrap/>
                  <w:tcMar>
                    <w:top w:w="57" w:type="dxa"/>
                    <w:left w:w="57" w:type="dxa"/>
                    <w:bottom w:w="57" w:type="dxa"/>
                    <w:right w:w="57" w:type="dxa"/>
                  </w:tcMar>
                  <w:vAlign w:val="center"/>
                </w:tcPr>
                <w:p w14:paraId="696F4A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0.14</w:t>
                  </w:r>
                </w:p>
              </w:tc>
              <w:tc>
                <w:tcPr>
                  <w:tcW w:w="418" w:type="pct"/>
                  <w:tcBorders>
                    <w:tl2br w:val="nil"/>
                    <w:tr2bl w:val="nil"/>
                  </w:tcBorders>
                  <w:shd w:val="clear" w:color="auto" w:fill="auto"/>
                  <w:noWrap/>
                  <w:tcMar>
                    <w:top w:w="57" w:type="dxa"/>
                    <w:left w:w="57" w:type="dxa"/>
                    <w:bottom w:w="57" w:type="dxa"/>
                    <w:right w:w="57" w:type="dxa"/>
                  </w:tcMar>
                  <w:vAlign w:val="center"/>
                </w:tcPr>
                <w:p w14:paraId="6136B12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0.184</w:t>
                  </w:r>
                </w:p>
              </w:tc>
              <w:tc>
                <w:tcPr>
                  <w:tcW w:w="418" w:type="pct"/>
                  <w:tcBorders>
                    <w:tl2br w:val="nil"/>
                    <w:tr2bl w:val="nil"/>
                  </w:tcBorders>
                  <w:shd w:val="clear" w:color="auto" w:fill="auto"/>
                  <w:noWrap/>
                  <w:tcMar>
                    <w:top w:w="57" w:type="dxa"/>
                    <w:left w:w="57" w:type="dxa"/>
                    <w:bottom w:w="57" w:type="dxa"/>
                    <w:right w:w="57" w:type="dxa"/>
                  </w:tcMar>
                  <w:vAlign w:val="center"/>
                </w:tcPr>
                <w:p w14:paraId="4F1AF0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0.78</w:t>
                  </w:r>
                </w:p>
              </w:tc>
              <w:tc>
                <w:tcPr>
                  <w:tcW w:w="418" w:type="pct"/>
                  <w:tcBorders>
                    <w:tl2br w:val="nil"/>
                    <w:tr2bl w:val="nil"/>
                  </w:tcBorders>
                  <w:shd w:val="clear" w:color="auto" w:fill="auto"/>
                  <w:noWrap/>
                  <w:tcMar>
                    <w:top w:w="57" w:type="dxa"/>
                    <w:left w:w="57" w:type="dxa"/>
                    <w:bottom w:w="57" w:type="dxa"/>
                    <w:right w:w="57" w:type="dxa"/>
                  </w:tcMar>
                  <w:vAlign w:val="center"/>
                </w:tcPr>
                <w:p w14:paraId="3E52C0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20</w:t>
                  </w:r>
                </w:p>
              </w:tc>
              <w:tc>
                <w:tcPr>
                  <w:tcW w:w="418" w:type="pct"/>
                  <w:tcBorders>
                    <w:tl2br w:val="nil"/>
                    <w:tr2bl w:val="nil"/>
                  </w:tcBorders>
                  <w:shd w:val="clear" w:color="auto" w:fill="auto"/>
                  <w:noWrap/>
                  <w:tcMar>
                    <w:top w:w="57" w:type="dxa"/>
                    <w:left w:w="57" w:type="dxa"/>
                    <w:bottom w:w="57" w:type="dxa"/>
                    <w:right w:w="57" w:type="dxa"/>
                  </w:tcMar>
                  <w:vAlign w:val="center"/>
                </w:tcPr>
                <w:p w14:paraId="45F9AE8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21</w:t>
                  </w:r>
                </w:p>
              </w:tc>
              <w:tc>
                <w:tcPr>
                  <w:tcW w:w="492" w:type="pct"/>
                  <w:tcBorders>
                    <w:tl2br w:val="nil"/>
                    <w:tr2bl w:val="nil"/>
                  </w:tcBorders>
                  <w:shd w:val="clear" w:color="auto" w:fill="auto"/>
                  <w:noWrap/>
                  <w:tcMar>
                    <w:top w:w="57" w:type="dxa"/>
                    <w:left w:w="57" w:type="dxa"/>
                    <w:bottom w:w="57" w:type="dxa"/>
                    <w:right w:w="57" w:type="dxa"/>
                  </w:tcMar>
                  <w:vAlign w:val="center"/>
                </w:tcPr>
                <w:p w14:paraId="3F74A1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3.6</w:t>
                  </w:r>
                </w:p>
              </w:tc>
              <w:tc>
                <w:tcPr>
                  <w:tcW w:w="535" w:type="pct"/>
                  <w:tcBorders>
                    <w:tl2br w:val="nil"/>
                    <w:tr2bl w:val="nil"/>
                  </w:tcBorders>
                  <w:shd w:val="clear" w:color="auto" w:fill="auto"/>
                  <w:noWrap/>
                  <w:tcMar>
                    <w:top w:w="57" w:type="dxa"/>
                    <w:left w:w="57" w:type="dxa"/>
                    <w:bottom w:w="57" w:type="dxa"/>
                    <w:right w:w="57" w:type="dxa"/>
                  </w:tcMar>
                  <w:vAlign w:val="center"/>
                </w:tcPr>
                <w:p w14:paraId="51C332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未检出</w:t>
                  </w:r>
                </w:p>
              </w:tc>
            </w:tr>
            <w:tr w14:paraId="6B4C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continue"/>
                  <w:tcBorders>
                    <w:tl2br w:val="nil"/>
                    <w:tr2bl w:val="nil"/>
                  </w:tcBorders>
                  <w:noWrap/>
                  <w:tcMar>
                    <w:top w:w="57" w:type="dxa"/>
                    <w:left w:w="57" w:type="dxa"/>
                    <w:bottom w:w="57" w:type="dxa"/>
                    <w:right w:w="57" w:type="dxa"/>
                  </w:tcMar>
                  <w:vAlign w:val="center"/>
                </w:tcPr>
                <w:p w14:paraId="11A74A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025" w:type="pct"/>
                  <w:tcBorders>
                    <w:tl2br w:val="nil"/>
                    <w:tr2bl w:val="nil"/>
                  </w:tcBorders>
                  <w:noWrap/>
                  <w:tcMar>
                    <w:top w:w="57" w:type="dxa"/>
                    <w:left w:w="57" w:type="dxa"/>
                    <w:bottom w:w="57" w:type="dxa"/>
                    <w:right w:w="57" w:type="dxa"/>
                  </w:tcMar>
                  <w:vAlign w:val="center"/>
                </w:tcPr>
                <w:p w14:paraId="420BF72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kern w:val="0"/>
                      <w:sz w:val="21"/>
                      <w:szCs w:val="21"/>
                      <w:lang w:val="en-US" w:eastAsia="zh-CN"/>
                    </w:rPr>
                    <w:t>北外环路断面</w:t>
                  </w:r>
                </w:p>
              </w:tc>
              <w:tc>
                <w:tcPr>
                  <w:tcW w:w="418" w:type="pct"/>
                  <w:tcBorders>
                    <w:tl2br w:val="nil"/>
                    <w:tr2bl w:val="nil"/>
                  </w:tcBorders>
                  <w:noWrap/>
                  <w:tcMar>
                    <w:top w:w="57" w:type="dxa"/>
                    <w:left w:w="57" w:type="dxa"/>
                    <w:bottom w:w="57" w:type="dxa"/>
                    <w:right w:w="57" w:type="dxa"/>
                  </w:tcMar>
                  <w:vAlign w:val="center"/>
                </w:tcPr>
                <w:p w14:paraId="3D53AE6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7.5</w:t>
                  </w:r>
                </w:p>
              </w:tc>
              <w:tc>
                <w:tcPr>
                  <w:tcW w:w="418" w:type="pct"/>
                  <w:tcBorders>
                    <w:tl2br w:val="nil"/>
                    <w:tr2bl w:val="nil"/>
                  </w:tcBorders>
                  <w:shd w:val="clear" w:color="auto" w:fill="auto"/>
                  <w:noWrap/>
                  <w:tcMar>
                    <w:top w:w="57" w:type="dxa"/>
                    <w:left w:w="57" w:type="dxa"/>
                    <w:bottom w:w="57" w:type="dxa"/>
                    <w:right w:w="57" w:type="dxa"/>
                  </w:tcMar>
                  <w:vAlign w:val="center"/>
                </w:tcPr>
                <w:p w14:paraId="70CB46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0.14</w:t>
                  </w:r>
                </w:p>
              </w:tc>
              <w:tc>
                <w:tcPr>
                  <w:tcW w:w="418" w:type="pct"/>
                  <w:tcBorders>
                    <w:tl2br w:val="nil"/>
                    <w:tr2bl w:val="nil"/>
                  </w:tcBorders>
                  <w:shd w:val="clear" w:color="auto" w:fill="auto"/>
                  <w:noWrap/>
                  <w:tcMar>
                    <w:top w:w="57" w:type="dxa"/>
                    <w:left w:w="57" w:type="dxa"/>
                    <w:bottom w:w="57" w:type="dxa"/>
                    <w:right w:w="57" w:type="dxa"/>
                  </w:tcMar>
                  <w:vAlign w:val="center"/>
                </w:tcPr>
                <w:p w14:paraId="697110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0.193</w:t>
                  </w:r>
                </w:p>
              </w:tc>
              <w:tc>
                <w:tcPr>
                  <w:tcW w:w="418" w:type="pct"/>
                  <w:tcBorders>
                    <w:tl2br w:val="nil"/>
                    <w:tr2bl w:val="nil"/>
                  </w:tcBorders>
                  <w:shd w:val="clear" w:color="auto" w:fill="auto"/>
                  <w:noWrap/>
                  <w:tcMar>
                    <w:top w:w="57" w:type="dxa"/>
                    <w:left w:w="57" w:type="dxa"/>
                    <w:bottom w:w="57" w:type="dxa"/>
                    <w:right w:w="57" w:type="dxa"/>
                  </w:tcMar>
                  <w:vAlign w:val="center"/>
                </w:tcPr>
                <w:p w14:paraId="7CBE73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0.74</w:t>
                  </w:r>
                </w:p>
              </w:tc>
              <w:tc>
                <w:tcPr>
                  <w:tcW w:w="418" w:type="pct"/>
                  <w:tcBorders>
                    <w:tl2br w:val="nil"/>
                    <w:tr2bl w:val="nil"/>
                  </w:tcBorders>
                  <w:shd w:val="clear" w:color="auto" w:fill="auto"/>
                  <w:noWrap/>
                  <w:tcMar>
                    <w:top w:w="57" w:type="dxa"/>
                    <w:left w:w="57" w:type="dxa"/>
                    <w:bottom w:w="57" w:type="dxa"/>
                    <w:right w:w="57" w:type="dxa"/>
                  </w:tcMar>
                  <w:vAlign w:val="center"/>
                </w:tcPr>
                <w:p w14:paraId="23A9A25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16</w:t>
                  </w:r>
                </w:p>
              </w:tc>
              <w:tc>
                <w:tcPr>
                  <w:tcW w:w="418" w:type="pct"/>
                  <w:tcBorders>
                    <w:tl2br w:val="nil"/>
                    <w:tr2bl w:val="nil"/>
                  </w:tcBorders>
                  <w:shd w:val="clear" w:color="auto" w:fill="auto"/>
                  <w:noWrap/>
                  <w:tcMar>
                    <w:top w:w="57" w:type="dxa"/>
                    <w:left w:w="57" w:type="dxa"/>
                    <w:bottom w:w="57" w:type="dxa"/>
                    <w:right w:w="57" w:type="dxa"/>
                  </w:tcMar>
                  <w:vAlign w:val="center"/>
                </w:tcPr>
                <w:p w14:paraId="7C0E3F6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28</w:t>
                  </w:r>
                </w:p>
              </w:tc>
              <w:tc>
                <w:tcPr>
                  <w:tcW w:w="492" w:type="pct"/>
                  <w:tcBorders>
                    <w:tl2br w:val="nil"/>
                    <w:tr2bl w:val="nil"/>
                  </w:tcBorders>
                  <w:shd w:val="clear" w:color="auto" w:fill="auto"/>
                  <w:noWrap/>
                  <w:tcMar>
                    <w:top w:w="57" w:type="dxa"/>
                    <w:left w:w="57" w:type="dxa"/>
                    <w:bottom w:w="57" w:type="dxa"/>
                    <w:right w:w="57" w:type="dxa"/>
                  </w:tcMar>
                  <w:vAlign w:val="center"/>
                </w:tcPr>
                <w:p w14:paraId="6DFBD40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4.6</w:t>
                  </w:r>
                </w:p>
              </w:tc>
              <w:tc>
                <w:tcPr>
                  <w:tcW w:w="535" w:type="pct"/>
                  <w:tcBorders>
                    <w:tl2br w:val="nil"/>
                    <w:tr2bl w:val="nil"/>
                  </w:tcBorders>
                  <w:shd w:val="clear" w:color="auto" w:fill="auto"/>
                  <w:noWrap/>
                  <w:tcMar>
                    <w:top w:w="57" w:type="dxa"/>
                    <w:left w:w="57" w:type="dxa"/>
                    <w:bottom w:w="57" w:type="dxa"/>
                    <w:right w:w="57" w:type="dxa"/>
                  </w:tcMar>
                  <w:vAlign w:val="center"/>
                </w:tcPr>
                <w:p w14:paraId="3A402F8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未检出</w:t>
                  </w:r>
                </w:p>
              </w:tc>
            </w:tr>
            <w:tr w14:paraId="4AB2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continue"/>
                  <w:tcBorders>
                    <w:tl2br w:val="nil"/>
                    <w:tr2bl w:val="nil"/>
                  </w:tcBorders>
                  <w:noWrap/>
                  <w:tcMar>
                    <w:top w:w="57" w:type="dxa"/>
                    <w:left w:w="57" w:type="dxa"/>
                    <w:bottom w:w="57" w:type="dxa"/>
                    <w:right w:w="57" w:type="dxa"/>
                  </w:tcMar>
                  <w:vAlign w:val="center"/>
                </w:tcPr>
                <w:p w14:paraId="48A5E85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p>
              </w:tc>
              <w:tc>
                <w:tcPr>
                  <w:tcW w:w="1025" w:type="pct"/>
                  <w:tcBorders>
                    <w:tl2br w:val="nil"/>
                    <w:tr2bl w:val="nil"/>
                  </w:tcBorders>
                  <w:noWrap/>
                  <w:tcMar>
                    <w:top w:w="57" w:type="dxa"/>
                    <w:left w:w="57" w:type="dxa"/>
                    <w:bottom w:w="57" w:type="dxa"/>
                    <w:right w:w="57" w:type="dxa"/>
                  </w:tcMar>
                  <w:vAlign w:val="center"/>
                </w:tcPr>
                <w:p w14:paraId="6E666F0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kern w:val="0"/>
                      <w:sz w:val="21"/>
                      <w:szCs w:val="21"/>
                      <w:lang w:val="en-US" w:eastAsia="zh-CN"/>
                    </w:rPr>
                    <w:t>青年路断面</w:t>
                  </w:r>
                </w:p>
              </w:tc>
              <w:tc>
                <w:tcPr>
                  <w:tcW w:w="418" w:type="pct"/>
                  <w:tcBorders>
                    <w:tl2br w:val="nil"/>
                    <w:tr2bl w:val="nil"/>
                  </w:tcBorders>
                  <w:noWrap/>
                  <w:tcMar>
                    <w:top w:w="57" w:type="dxa"/>
                    <w:left w:w="57" w:type="dxa"/>
                    <w:bottom w:w="57" w:type="dxa"/>
                    <w:right w:w="57" w:type="dxa"/>
                  </w:tcMar>
                  <w:vAlign w:val="center"/>
                </w:tcPr>
                <w:p w14:paraId="5A51AB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7.4</w:t>
                  </w:r>
                </w:p>
              </w:tc>
              <w:tc>
                <w:tcPr>
                  <w:tcW w:w="418" w:type="pct"/>
                  <w:tcBorders>
                    <w:tl2br w:val="nil"/>
                    <w:tr2bl w:val="nil"/>
                  </w:tcBorders>
                  <w:shd w:val="clear" w:color="auto" w:fill="auto"/>
                  <w:noWrap/>
                  <w:tcMar>
                    <w:top w:w="57" w:type="dxa"/>
                    <w:left w:w="57" w:type="dxa"/>
                    <w:bottom w:w="57" w:type="dxa"/>
                    <w:right w:w="57" w:type="dxa"/>
                  </w:tcMar>
                  <w:vAlign w:val="center"/>
                </w:tcPr>
                <w:p w14:paraId="32D0506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0.12</w:t>
                  </w:r>
                </w:p>
              </w:tc>
              <w:tc>
                <w:tcPr>
                  <w:tcW w:w="418" w:type="pct"/>
                  <w:tcBorders>
                    <w:tl2br w:val="nil"/>
                    <w:tr2bl w:val="nil"/>
                  </w:tcBorders>
                  <w:shd w:val="clear" w:color="auto" w:fill="auto"/>
                  <w:noWrap/>
                  <w:tcMar>
                    <w:top w:w="57" w:type="dxa"/>
                    <w:left w:w="57" w:type="dxa"/>
                    <w:bottom w:w="57" w:type="dxa"/>
                    <w:right w:w="57" w:type="dxa"/>
                  </w:tcMar>
                  <w:vAlign w:val="center"/>
                </w:tcPr>
                <w:p w14:paraId="67514CC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0.204</w:t>
                  </w:r>
                </w:p>
              </w:tc>
              <w:tc>
                <w:tcPr>
                  <w:tcW w:w="418" w:type="pct"/>
                  <w:tcBorders>
                    <w:tl2br w:val="nil"/>
                    <w:tr2bl w:val="nil"/>
                  </w:tcBorders>
                  <w:shd w:val="clear" w:color="auto" w:fill="auto"/>
                  <w:noWrap/>
                  <w:tcMar>
                    <w:top w:w="57" w:type="dxa"/>
                    <w:left w:w="57" w:type="dxa"/>
                    <w:bottom w:w="57" w:type="dxa"/>
                    <w:right w:w="57" w:type="dxa"/>
                  </w:tcMar>
                  <w:vAlign w:val="center"/>
                </w:tcPr>
                <w:p w14:paraId="5DF026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0.83</w:t>
                  </w:r>
                </w:p>
              </w:tc>
              <w:tc>
                <w:tcPr>
                  <w:tcW w:w="418" w:type="pct"/>
                  <w:tcBorders>
                    <w:tl2br w:val="nil"/>
                    <w:tr2bl w:val="nil"/>
                  </w:tcBorders>
                  <w:shd w:val="clear" w:color="auto" w:fill="auto"/>
                  <w:noWrap/>
                  <w:tcMar>
                    <w:top w:w="57" w:type="dxa"/>
                    <w:left w:w="57" w:type="dxa"/>
                    <w:bottom w:w="57" w:type="dxa"/>
                    <w:right w:w="57" w:type="dxa"/>
                  </w:tcMar>
                  <w:vAlign w:val="center"/>
                </w:tcPr>
                <w:p w14:paraId="4D41FA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17</w:t>
                  </w:r>
                </w:p>
              </w:tc>
              <w:tc>
                <w:tcPr>
                  <w:tcW w:w="418" w:type="pct"/>
                  <w:tcBorders>
                    <w:tl2br w:val="nil"/>
                    <w:tr2bl w:val="nil"/>
                  </w:tcBorders>
                  <w:shd w:val="clear" w:color="auto" w:fill="auto"/>
                  <w:noWrap/>
                  <w:tcMar>
                    <w:top w:w="57" w:type="dxa"/>
                    <w:left w:w="57" w:type="dxa"/>
                    <w:bottom w:w="57" w:type="dxa"/>
                    <w:right w:w="57" w:type="dxa"/>
                  </w:tcMar>
                  <w:vAlign w:val="center"/>
                </w:tcPr>
                <w:p w14:paraId="5ACECF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24</w:t>
                  </w:r>
                </w:p>
              </w:tc>
              <w:tc>
                <w:tcPr>
                  <w:tcW w:w="492" w:type="pct"/>
                  <w:tcBorders>
                    <w:tl2br w:val="nil"/>
                    <w:tr2bl w:val="nil"/>
                  </w:tcBorders>
                  <w:shd w:val="clear" w:color="auto" w:fill="auto"/>
                  <w:noWrap/>
                  <w:tcMar>
                    <w:top w:w="57" w:type="dxa"/>
                    <w:left w:w="57" w:type="dxa"/>
                    <w:bottom w:w="57" w:type="dxa"/>
                    <w:right w:w="57" w:type="dxa"/>
                  </w:tcMar>
                  <w:vAlign w:val="center"/>
                </w:tcPr>
                <w:p w14:paraId="71CF613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5.2</w:t>
                  </w:r>
                </w:p>
              </w:tc>
              <w:tc>
                <w:tcPr>
                  <w:tcW w:w="535" w:type="pct"/>
                  <w:tcBorders>
                    <w:tl2br w:val="nil"/>
                    <w:tr2bl w:val="nil"/>
                  </w:tcBorders>
                  <w:shd w:val="clear" w:color="auto" w:fill="auto"/>
                  <w:noWrap/>
                  <w:tcMar>
                    <w:top w:w="57" w:type="dxa"/>
                    <w:left w:w="57" w:type="dxa"/>
                    <w:bottom w:w="57" w:type="dxa"/>
                    <w:right w:w="57" w:type="dxa"/>
                  </w:tcMar>
                  <w:vAlign w:val="center"/>
                </w:tcPr>
                <w:p w14:paraId="25D0E9F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未检出</w:t>
                  </w:r>
                </w:p>
              </w:tc>
            </w:tr>
            <w:tr w14:paraId="3A41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restart"/>
                  <w:tcBorders>
                    <w:tl2br w:val="nil"/>
                    <w:tr2bl w:val="nil"/>
                  </w:tcBorders>
                  <w:noWrap/>
                  <w:tcMar>
                    <w:top w:w="57" w:type="dxa"/>
                    <w:left w:w="57" w:type="dxa"/>
                    <w:bottom w:w="57" w:type="dxa"/>
                    <w:right w:w="57" w:type="dxa"/>
                  </w:tcMar>
                  <w:vAlign w:val="center"/>
                </w:tcPr>
                <w:p w14:paraId="644CDFD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2023.7.17</w:t>
                  </w:r>
                </w:p>
              </w:tc>
              <w:tc>
                <w:tcPr>
                  <w:tcW w:w="1025" w:type="pct"/>
                  <w:tcBorders>
                    <w:tl2br w:val="nil"/>
                    <w:tr2bl w:val="nil"/>
                  </w:tcBorders>
                  <w:noWrap/>
                  <w:tcMar>
                    <w:top w:w="57" w:type="dxa"/>
                    <w:left w:w="57" w:type="dxa"/>
                    <w:bottom w:w="57" w:type="dxa"/>
                    <w:right w:w="57" w:type="dxa"/>
                  </w:tcMar>
                  <w:vAlign w:val="center"/>
                </w:tcPr>
                <w:p w14:paraId="282E3A7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kern w:val="0"/>
                      <w:sz w:val="21"/>
                      <w:szCs w:val="21"/>
                      <w:lang w:val="en-US" w:eastAsia="zh-CN"/>
                    </w:rPr>
                    <w:t>东山北路断面</w:t>
                  </w:r>
                </w:p>
              </w:tc>
              <w:tc>
                <w:tcPr>
                  <w:tcW w:w="418" w:type="pct"/>
                  <w:tcBorders>
                    <w:tl2br w:val="nil"/>
                    <w:tr2bl w:val="nil"/>
                  </w:tcBorders>
                  <w:noWrap/>
                  <w:tcMar>
                    <w:top w:w="57" w:type="dxa"/>
                    <w:left w:w="57" w:type="dxa"/>
                    <w:bottom w:w="57" w:type="dxa"/>
                    <w:right w:w="57" w:type="dxa"/>
                  </w:tcMar>
                  <w:vAlign w:val="center"/>
                </w:tcPr>
                <w:p w14:paraId="49921E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7.5</w:t>
                  </w:r>
                </w:p>
              </w:tc>
              <w:tc>
                <w:tcPr>
                  <w:tcW w:w="418" w:type="pct"/>
                  <w:tcBorders>
                    <w:tl2br w:val="nil"/>
                    <w:tr2bl w:val="nil"/>
                  </w:tcBorders>
                  <w:shd w:val="clear" w:color="auto" w:fill="auto"/>
                  <w:noWrap/>
                  <w:tcMar>
                    <w:top w:w="57" w:type="dxa"/>
                    <w:left w:w="57" w:type="dxa"/>
                    <w:bottom w:w="57" w:type="dxa"/>
                    <w:right w:w="57" w:type="dxa"/>
                  </w:tcMar>
                  <w:vAlign w:val="center"/>
                </w:tcPr>
                <w:p w14:paraId="4BCB801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0.16</w:t>
                  </w:r>
                </w:p>
              </w:tc>
              <w:tc>
                <w:tcPr>
                  <w:tcW w:w="418" w:type="pct"/>
                  <w:tcBorders>
                    <w:tl2br w:val="nil"/>
                    <w:tr2bl w:val="nil"/>
                  </w:tcBorders>
                  <w:shd w:val="clear" w:color="auto" w:fill="auto"/>
                  <w:noWrap/>
                  <w:tcMar>
                    <w:top w:w="57" w:type="dxa"/>
                    <w:left w:w="57" w:type="dxa"/>
                    <w:bottom w:w="57" w:type="dxa"/>
                    <w:right w:w="57" w:type="dxa"/>
                  </w:tcMar>
                  <w:vAlign w:val="center"/>
                </w:tcPr>
                <w:p w14:paraId="40E24C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0.190</w:t>
                  </w:r>
                </w:p>
              </w:tc>
              <w:tc>
                <w:tcPr>
                  <w:tcW w:w="418" w:type="pct"/>
                  <w:tcBorders>
                    <w:tl2br w:val="nil"/>
                    <w:tr2bl w:val="nil"/>
                  </w:tcBorders>
                  <w:shd w:val="clear" w:color="auto" w:fill="auto"/>
                  <w:noWrap/>
                  <w:tcMar>
                    <w:top w:w="57" w:type="dxa"/>
                    <w:left w:w="57" w:type="dxa"/>
                    <w:bottom w:w="57" w:type="dxa"/>
                    <w:right w:w="57" w:type="dxa"/>
                  </w:tcMar>
                  <w:vAlign w:val="center"/>
                </w:tcPr>
                <w:p w14:paraId="320BD9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0.76</w:t>
                  </w:r>
                </w:p>
              </w:tc>
              <w:tc>
                <w:tcPr>
                  <w:tcW w:w="418" w:type="pct"/>
                  <w:tcBorders>
                    <w:tl2br w:val="nil"/>
                    <w:tr2bl w:val="nil"/>
                  </w:tcBorders>
                  <w:shd w:val="clear" w:color="auto" w:fill="auto"/>
                  <w:noWrap/>
                  <w:tcMar>
                    <w:top w:w="57" w:type="dxa"/>
                    <w:left w:w="57" w:type="dxa"/>
                    <w:bottom w:w="57" w:type="dxa"/>
                    <w:right w:w="57" w:type="dxa"/>
                  </w:tcMar>
                  <w:vAlign w:val="center"/>
                </w:tcPr>
                <w:p w14:paraId="626D102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23</w:t>
                  </w:r>
                </w:p>
              </w:tc>
              <w:tc>
                <w:tcPr>
                  <w:tcW w:w="418" w:type="pct"/>
                  <w:tcBorders>
                    <w:tl2br w:val="nil"/>
                    <w:tr2bl w:val="nil"/>
                  </w:tcBorders>
                  <w:shd w:val="clear" w:color="auto" w:fill="auto"/>
                  <w:noWrap/>
                  <w:tcMar>
                    <w:top w:w="57" w:type="dxa"/>
                    <w:left w:w="57" w:type="dxa"/>
                    <w:bottom w:w="57" w:type="dxa"/>
                    <w:right w:w="57" w:type="dxa"/>
                  </w:tcMar>
                  <w:vAlign w:val="center"/>
                </w:tcPr>
                <w:p w14:paraId="0106083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23</w:t>
                  </w:r>
                </w:p>
              </w:tc>
              <w:tc>
                <w:tcPr>
                  <w:tcW w:w="492" w:type="pct"/>
                  <w:tcBorders>
                    <w:tl2br w:val="nil"/>
                    <w:tr2bl w:val="nil"/>
                  </w:tcBorders>
                  <w:shd w:val="clear" w:color="auto" w:fill="auto"/>
                  <w:noWrap/>
                  <w:tcMar>
                    <w:top w:w="57" w:type="dxa"/>
                    <w:left w:w="57" w:type="dxa"/>
                    <w:bottom w:w="57" w:type="dxa"/>
                    <w:right w:w="57" w:type="dxa"/>
                  </w:tcMar>
                  <w:vAlign w:val="center"/>
                </w:tcPr>
                <w:p w14:paraId="3DAA091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4.2</w:t>
                  </w:r>
                </w:p>
              </w:tc>
              <w:tc>
                <w:tcPr>
                  <w:tcW w:w="535" w:type="pct"/>
                  <w:tcBorders>
                    <w:tl2br w:val="nil"/>
                    <w:tr2bl w:val="nil"/>
                  </w:tcBorders>
                  <w:shd w:val="clear" w:color="auto" w:fill="auto"/>
                  <w:noWrap/>
                  <w:tcMar>
                    <w:top w:w="57" w:type="dxa"/>
                    <w:left w:w="57" w:type="dxa"/>
                    <w:bottom w:w="57" w:type="dxa"/>
                    <w:right w:w="57" w:type="dxa"/>
                  </w:tcMar>
                  <w:vAlign w:val="center"/>
                </w:tcPr>
                <w:p w14:paraId="74C2052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未检出</w:t>
                  </w:r>
                </w:p>
              </w:tc>
            </w:tr>
            <w:tr w14:paraId="277E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continue"/>
                  <w:tcBorders>
                    <w:tl2br w:val="nil"/>
                    <w:tr2bl w:val="nil"/>
                  </w:tcBorders>
                  <w:noWrap/>
                  <w:tcMar>
                    <w:top w:w="57" w:type="dxa"/>
                    <w:left w:w="57" w:type="dxa"/>
                    <w:bottom w:w="57" w:type="dxa"/>
                    <w:right w:w="57" w:type="dxa"/>
                  </w:tcMar>
                  <w:vAlign w:val="center"/>
                </w:tcPr>
                <w:p w14:paraId="50E2E98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p>
              </w:tc>
              <w:tc>
                <w:tcPr>
                  <w:tcW w:w="1025" w:type="pct"/>
                  <w:tcBorders>
                    <w:tl2br w:val="nil"/>
                    <w:tr2bl w:val="nil"/>
                  </w:tcBorders>
                  <w:noWrap/>
                  <w:tcMar>
                    <w:top w:w="57" w:type="dxa"/>
                    <w:left w:w="57" w:type="dxa"/>
                    <w:bottom w:w="57" w:type="dxa"/>
                    <w:right w:w="57" w:type="dxa"/>
                  </w:tcMar>
                  <w:vAlign w:val="center"/>
                </w:tcPr>
                <w:p w14:paraId="4200A3E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kern w:val="0"/>
                      <w:sz w:val="21"/>
                      <w:szCs w:val="21"/>
                      <w:lang w:val="en-US" w:eastAsia="zh-CN"/>
                    </w:rPr>
                    <w:t>北外环路断面</w:t>
                  </w:r>
                </w:p>
              </w:tc>
              <w:tc>
                <w:tcPr>
                  <w:tcW w:w="418" w:type="pct"/>
                  <w:tcBorders>
                    <w:tl2br w:val="nil"/>
                    <w:tr2bl w:val="nil"/>
                  </w:tcBorders>
                  <w:noWrap/>
                  <w:tcMar>
                    <w:top w:w="57" w:type="dxa"/>
                    <w:left w:w="57" w:type="dxa"/>
                    <w:bottom w:w="57" w:type="dxa"/>
                    <w:right w:w="57" w:type="dxa"/>
                  </w:tcMar>
                  <w:vAlign w:val="center"/>
                </w:tcPr>
                <w:p w14:paraId="0ACCC8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7.5</w:t>
                  </w:r>
                </w:p>
              </w:tc>
              <w:tc>
                <w:tcPr>
                  <w:tcW w:w="418" w:type="pct"/>
                  <w:tcBorders>
                    <w:tl2br w:val="nil"/>
                    <w:tr2bl w:val="nil"/>
                  </w:tcBorders>
                  <w:shd w:val="clear" w:color="auto" w:fill="auto"/>
                  <w:noWrap/>
                  <w:tcMar>
                    <w:top w:w="57" w:type="dxa"/>
                    <w:left w:w="57" w:type="dxa"/>
                    <w:bottom w:w="57" w:type="dxa"/>
                    <w:right w:w="57" w:type="dxa"/>
                  </w:tcMar>
                  <w:vAlign w:val="center"/>
                </w:tcPr>
                <w:p w14:paraId="3AC137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0.15</w:t>
                  </w:r>
                </w:p>
              </w:tc>
              <w:tc>
                <w:tcPr>
                  <w:tcW w:w="418" w:type="pct"/>
                  <w:tcBorders>
                    <w:tl2br w:val="nil"/>
                    <w:tr2bl w:val="nil"/>
                  </w:tcBorders>
                  <w:shd w:val="clear" w:color="auto" w:fill="auto"/>
                  <w:noWrap/>
                  <w:tcMar>
                    <w:top w:w="57" w:type="dxa"/>
                    <w:left w:w="57" w:type="dxa"/>
                    <w:bottom w:w="57" w:type="dxa"/>
                    <w:right w:w="57" w:type="dxa"/>
                  </w:tcMar>
                  <w:vAlign w:val="center"/>
                </w:tcPr>
                <w:p w14:paraId="397CBE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0.196</w:t>
                  </w:r>
                </w:p>
              </w:tc>
              <w:tc>
                <w:tcPr>
                  <w:tcW w:w="418" w:type="pct"/>
                  <w:tcBorders>
                    <w:tl2br w:val="nil"/>
                    <w:tr2bl w:val="nil"/>
                  </w:tcBorders>
                  <w:shd w:val="clear" w:color="auto" w:fill="auto"/>
                  <w:noWrap/>
                  <w:tcMar>
                    <w:top w:w="57" w:type="dxa"/>
                    <w:left w:w="57" w:type="dxa"/>
                    <w:bottom w:w="57" w:type="dxa"/>
                    <w:right w:w="57" w:type="dxa"/>
                  </w:tcMar>
                  <w:vAlign w:val="center"/>
                </w:tcPr>
                <w:p w14:paraId="64E03B8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0.72</w:t>
                  </w:r>
                </w:p>
              </w:tc>
              <w:tc>
                <w:tcPr>
                  <w:tcW w:w="418" w:type="pct"/>
                  <w:tcBorders>
                    <w:tl2br w:val="nil"/>
                    <w:tr2bl w:val="nil"/>
                  </w:tcBorders>
                  <w:shd w:val="clear" w:color="auto" w:fill="auto"/>
                  <w:noWrap/>
                  <w:tcMar>
                    <w:top w:w="57" w:type="dxa"/>
                    <w:left w:w="57" w:type="dxa"/>
                    <w:bottom w:w="57" w:type="dxa"/>
                    <w:right w:w="57" w:type="dxa"/>
                  </w:tcMar>
                  <w:vAlign w:val="center"/>
                </w:tcPr>
                <w:p w14:paraId="049E05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15</w:t>
                  </w:r>
                </w:p>
              </w:tc>
              <w:tc>
                <w:tcPr>
                  <w:tcW w:w="418" w:type="pct"/>
                  <w:tcBorders>
                    <w:tl2br w:val="nil"/>
                    <w:tr2bl w:val="nil"/>
                  </w:tcBorders>
                  <w:shd w:val="clear" w:color="auto" w:fill="auto"/>
                  <w:noWrap/>
                  <w:tcMar>
                    <w:top w:w="57" w:type="dxa"/>
                    <w:left w:w="57" w:type="dxa"/>
                    <w:bottom w:w="57" w:type="dxa"/>
                    <w:right w:w="57" w:type="dxa"/>
                  </w:tcMar>
                  <w:vAlign w:val="center"/>
                </w:tcPr>
                <w:p w14:paraId="2E6FD0C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28</w:t>
                  </w:r>
                </w:p>
              </w:tc>
              <w:tc>
                <w:tcPr>
                  <w:tcW w:w="492" w:type="pct"/>
                  <w:tcBorders>
                    <w:tl2br w:val="nil"/>
                    <w:tr2bl w:val="nil"/>
                  </w:tcBorders>
                  <w:shd w:val="clear" w:color="auto" w:fill="auto"/>
                  <w:noWrap/>
                  <w:tcMar>
                    <w:top w:w="57" w:type="dxa"/>
                    <w:left w:w="57" w:type="dxa"/>
                    <w:bottom w:w="57" w:type="dxa"/>
                    <w:right w:w="57" w:type="dxa"/>
                  </w:tcMar>
                  <w:vAlign w:val="center"/>
                </w:tcPr>
                <w:p w14:paraId="25248F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4.9</w:t>
                  </w:r>
                </w:p>
              </w:tc>
              <w:tc>
                <w:tcPr>
                  <w:tcW w:w="535" w:type="pct"/>
                  <w:tcBorders>
                    <w:tl2br w:val="nil"/>
                    <w:tr2bl w:val="nil"/>
                  </w:tcBorders>
                  <w:shd w:val="clear" w:color="auto" w:fill="auto"/>
                  <w:noWrap/>
                  <w:tcMar>
                    <w:top w:w="57" w:type="dxa"/>
                    <w:left w:w="57" w:type="dxa"/>
                    <w:bottom w:w="57" w:type="dxa"/>
                    <w:right w:w="57" w:type="dxa"/>
                  </w:tcMar>
                  <w:vAlign w:val="center"/>
                </w:tcPr>
                <w:p w14:paraId="22DDF7C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未检出</w:t>
                  </w:r>
                </w:p>
              </w:tc>
            </w:tr>
            <w:tr w14:paraId="2F3D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continue"/>
                  <w:tcBorders>
                    <w:tl2br w:val="nil"/>
                    <w:tr2bl w:val="nil"/>
                  </w:tcBorders>
                  <w:noWrap/>
                  <w:tcMar>
                    <w:top w:w="57" w:type="dxa"/>
                    <w:left w:w="57" w:type="dxa"/>
                    <w:bottom w:w="57" w:type="dxa"/>
                    <w:right w:w="57" w:type="dxa"/>
                  </w:tcMar>
                  <w:vAlign w:val="center"/>
                </w:tcPr>
                <w:p w14:paraId="2642105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025" w:type="pct"/>
                  <w:tcBorders>
                    <w:tl2br w:val="nil"/>
                    <w:tr2bl w:val="nil"/>
                  </w:tcBorders>
                  <w:noWrap/>
                  <w:tcMar>
                    <w:top w:w="57" w:type="dxa"/>
                    <w:left w:w="57" w:type="dxa"/>
                    <w:bottom w:w="57" w:type="dxa"/>
                    <w:right w:w="57" w:type="dxa"/>
                  </w:tcMar>
                  <w:vAlign w:val="center"/>
                </w:tcPr>
                <w:p w14:paraId="6AA34F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kern w:val="0"/>
                      <w:sz w:val="21"/>
                      <w:szCs w:val="21"/>
                      <w:lang w:val="en-US" w:eastAsia="zh-CN"/>
                    </w:rPr>
                    <w:t>青年路断面</w:t>
                  </w:r>
                </w:p>
              </w:tc>
              <w:tc>
                <w:tcPr>
                  <w:tcW w:w="418" w:type="pct"/>
                  <w:tcBorders>
                    <w:tl2br w:val="nil"/>
                    <w:tr2bl w:val="nil"/>
                  </w:tcBorders>
                  <w:noWrap/>
                  <w:tcMar>
                    <w:top w:w="57" w:type="dxa"/>
                    <w:left w:w="57" w:type="dxa"/>
                    <w:bottom w:w="57" w:type="dxa"/>
                    <w:right w:w="57" w:type="dxa"/>
                  </w:tcMar>
                  <w:vAlign w:val="center"/>
                </w:tcPr>
                <w:p w14:paraId="327AED1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7.4</w:t>
                  </w:r>
                </w:p>
              </w:tc>
              <w:tc>
                <w:tcPr>
                  <w:tcW w:w="418" w:type="pct"/>
                  <w:tcBorders>
                    <w:tl2br w:val="nil"/>
                    <w:tr2bl w:val="nil"/>
                  </w:tcBorders>
                  <w:shd w:val="clear" w:color="auto" w:fill="auto"/>
                  <w:noWrap/>
                  <w:tcMar>
                    <w:top w:w="57" w:type="dxa"/>
                    <w:left w:w="57" w:type="dxa"/>
                    <w:bottom w:w="57" w:type="dxa"/>
                    <w:right w:w="57" w:type="dxa"/>
                  </w:tcMar>
                  <w:vAlign w:val="center"/>
                </w:tcPr>
                <w:p w14:paraId="4461A0C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0.15</w:t>
                  </w:r>
                </w:p>
              </w:tc>
              <w:tc>
                <w:tcPr>
                  <w:tcW w:w="418" w:type="pct"/>
                  <w:tcBorders>
                    <w:tl2br w:val="nil"/>
                    <w:tr2bl w:val="nil"/>
                  </w:tcBorders>
                  <w:shd w:val="clear" w:color="auto" w:fill="auto"/>
                  <w:noWrap/>
                  <w:tcMar>
                    <w:top w:w="57" w:type="dxa"/>
                    <w:left w:w="57" w:type="dxa"/>
                    <w:bottom w:w="57" w:type="dxa"/>
                    <w:right w:w="57" w:type="dxa"/>
                  </w:tcMar>
                  <w:vAlign w:val="center"/>
                </w:tcPr>
                <w:p w14:paraId="0BDC86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0.210</w:t>
                  </w:r>
                </w:p>
              </w:tc>
              <w:tc>
                <w:tcPr>
                  <w:tcW w:w="418" w:type="pct"/>
                  <w:tcBorders>
                    <w:tl2br w:val="nil"/>
                    <w:tr2bl w:val="nil"/>
                  </w:tcBorders>
                  <w:shd w:val="clear" w:color="auto" w:fill="auto"/>
                  <w:noWrap/>
                  <w:tcMar>
                    <w:top w:w="57" w:type="dxa"/>
                    <w:left w:w="57" w:type="dxa"/>
                    <w:bottom w:w="57" w:type="dxa"/>
                    <w:right w:w="57" w:type="dxa"/>
                  </w:tcMar>
                  <w:vAlign w:val="center"/>
                </w:tcPr>
                <w:p w14:paraId="74D1F05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0.81</w:t>
                  </w:r>
                </w:p>
              </w:tc>
              <w:tc>
                <w:tcPr>
                  <w:tcW w:w="418" w:type="pct"/>
                  <w:tcBorders>
                    <w:tl2br w:val="nil"/>
                    <w:tr2bl w:val="nil"/>
                  </w:tcBorders>
                  <w:shd w:val="clear" w:color="auto" w:fill="auto"/>
                  <w:noWrap/>
                  <w:tcMar>
                    <w:top w:w="57" w:type="dxa"/>
                    <w:left w:w="57" w:type="dxa"/>
                    <w:bottom w:w="57" w:type="dxa"/>
                    <w:right w:w="57" w:type="dxa"/>
                  </w:tcMar>
                  <w:vAlign w:val="center"/>
                </w:tcPr>
                <w:p w14:paraId="7CEB5E1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18</w:t>
                  </w:r>
                </w:p>
              </w:tc>
              <w:tc>
                <w:tcPr>
                  <w:tcW w:w="418" w:type="pct"/>
                  <w:tcBorders>
                    <w:tl2br w:val="nil"/>
                    <w:tr2bl w:val="nil"/>
                  </w:tcBorders>
                  <w:shd w:val="clear" w:color="auto" w:fill="auto"/>
                  <w:noWrap/>
                  <w:tcMar>
                    <w:top w:w="57" w:type="dxa"/>
                    <w:left w:w="57" w:type="dxa"/>
                    <w:bottom w:w="57" w:type="dxa"/>
                    <w:right w:w="57" w:type="dxa"/>
                  </w:tcMar>
                  <w:vAlign w:val="center"/>
                </w:tcPr>
                <w:p w14:paraId="65CC4F5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22</w:t>
                  </w:r>
                </w:p>
              </w:tc>
              <w:tc>
                <w:tcPr>
                  <w:tcW w:w="492" w:type="pct"/>
                  <w:tcBorders>
                    <w:tl2br w:val="nil"/>
                    <w:tr2bl w:val="nil"/>
                  </w:tcBorders>
                  <w:shd w:val="clear" w:color="auto" w:fill="auto"/>
                  <w:noWrap/>
                  <w:tcMar>
                    <w:top w:w="57" w:type="dxa"/>
                    <w:left w:w="57" w:type="dxa"/>
                    <w:bottom w:w="57" w:type="dxa"/>
                    <w:right w:w="57" w:type="dxa"/>
                  </w:tcMar>
                  <w:vAlign w:val="center"/>
                </w:tcPr>
                <w:p w14:paraId="5C7632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5.5</w:t>
                  </w:r>
                </w:p>
              </w:tc>
              <w:tc>
                <w:tcPr>
                  <w:tcW w:w="535" w:type="pct"/>
                  <w:tcBorders>
                    <w:tl2br w:val="nil"/>
                    <w:tr2bl w:val="nil"/>
                  </w:tcBorders>
                  <w:shd w:val="clear" w:color="auto" w:fill="auto"/>
                  <w:noWrap/>
                  <w:tcMar>
                    <w:top w:w="57" w:type="dxa"/>
                    <w:left w:w="57" w:type="dxa"/>
                    <w:bottom w:w="57" w:type="dxa"/>
                    <w:right w:w="57" w:type="dxa"/>
                  </w:tcMar>
                  <w:vAlign w:val="center"/>
                </w:tcPr>
                <w:p w14:paraId="19E58E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未检出</w:t>
                  </w:r>
                </w:p>
              </w:tc>
            </w:tr>
            <w:tr w14:paraId="5FDF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restart"/>
                  <w:tcBorders>
                    <w:tl2br w:val="nil"/>
                    <w:tr2bl w:val="nil"/>
                  </w:tcBorders>
                  <w:noWrap/>
                  <w:tcMar>
                    <w:top w:w="57" w:type="dxa"/>
                    <w:left w:w="57" w:type="dxa"/>
                    <w:bottom w:w="57" w:type="dxa"/>
                    <w:right w:w="57" w:type="dxa"/>
                  </w:tcMar>
                  <w:vAlign w:val="center"/>
                </w:tcPr>
                <w:p w14:paraId="3034772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2023.7.18</w:t>
                  </w:r>
                </w:p>
              </w:tc>
              <w:tc>
                <w:tcPr>
                  <w:tcW w:w="1025" w:type="pct"/>
                  <w:tcBorders>
                    <w:tl2br w:val="nil"/>
                    <w:tr2bl w:val="nil"/>
                  </w:tcBorders>
                  <w:noWrap/>
                  <w:tcMar>
                    <w:top w:w="57" w:type="dxa"/>
                    <w:left w:w="57" w:type="dxa"/>
                    <w:bottom w:w="57" w:type="dxa"/>
                    <w:right w:w="57" w:type="dxa"/>
                  </w:tcMar>
                  <w:vAlign w:val="center"/>
                </w:tcPr>
                <w:p w14:paraId="643496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kern w:val="0"/>
                      <w:sz w:val="21"/>
                      <w:szCs w:val="21"/>
                      <w:lang w:val="en-US" w:eastAsia="zh-CN"/>
                    </w:rPr>
                    <w:t>东山北路断面</w:t>
                  </w:r>
                </w:p>
              </w:tc>
              <w:tc>
                <w:tcPr>
                  <w:tcW w:w="418" w:type="pct"/>
                  <w:tcBorders>
                    <w:tl2br w:val="nil"/>
                    <w:tr2bl w:val="nil"/>
                  </w:tcBorders>
                  <w:noWrap/>
                  <w:tcMar>
                    <w:top w:w="57" w:type="dxa"/>
                    <w:left w:w="57" w:type="dxa"/>
                    <w:bottom w:w="57" w:type="dxa"/>
                    <w:right w:w="57" w:type="dxa"/>
                  </w:tcMar>
                  <w:vAlign w:val="center"/>
                </w:tcPr>
                <w:p w14:paraId="434E18A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7.4</w:t>
                  </w:r>
                </w:p>
              </w:tc>
              <w:tc>
                <w:tcPr>
                  <w:tcW w:w="418" w:type="pct"/>
                  <w:tcBorders>
                    <w:tl2br w:val="nil"/>
                    <w:tr2bl w:val="nil"/>
                  </w:tcBorders>
                  <w:shd w:val="clear" w:color="auto" w:fill="auto"/>
                  <w:noWrap/>
                  <w:tcMar>
                    <w:top w:w="57" w:type="dxa"/>
                    <w:left w:w="57" w:type="dxa"/>
                    <w:bottom w:w="57" w:type="dxa"/>
                    <w:right w:w="57" w:type="dxa"/>
                  </w:tcMar>
                  <w:vAlign w:val="center"/>
                </w:tcPr>
                <w:p w14:paraId="4863F3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0.19</w:t>
                  </w:r>
                </w:p>
              </w:tc>
              <w:tc>
                <w:tcPr>
                  <w:tcW w:w="418" w:type="pct"/>
                  <w:tcBorders>
                    <w:tl2br w:val="nil"/>
                    <w:tr2bl w:val="nil"/>
                  </w:tcBorders>
                  <w:shd w:val="clear" w:color="auto" w:fill="auto"/>
                  <w:noWrap/>
                  <w:tcMar>
                    <w:top w:w="57" w:type="dxa"/>
                    <w:left w:w="57" w:type="dxa"/>
                    <w:bottom w:w="57" w:type="dxa"/>
                    <w:right w:w="57" w:type="dxa"/>
                  </w:tcMar>
                  <w:vAlign w:val="center"/>
                </w:tcPr>
                <w:p w14:paraId="3397E7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0.181</w:t>
                  </w:r>
                </w:p>
              </w:tc>
              <w:tc>
                <w:tcPr>
                  <w:tcW w:w="418" w:type="pct"/>
                  <w:tcBorders>
                    <w:tl2br w:val="nil"/>
                    <w:tr2bl w:val="nil"/>
                  </w:tcBorders>
                  <w:shd w:val="clear" w:color="auto" w:fill="auto"/>
                  <w:noWrap/>
                  <w:tcMar>
                    <w:top w:w="57" w:type="dxa"/>
                    <w:left w:w="57" w:type="dxa"/>
                    <w:bottom w:w="57" w:type="dxa"/>
                    <w:right w:w="57" w:type="dxa"/>
                  </w:tcMar>
                  <w:vAlign w:val="center"/>
                </w:tcPr>
                <w:p w14:paraId="0C1D180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0.80</w:t>
                  </w:r>
                </w:p>
              </w:tc>
              <w:tc>
                <w:tcPr>
                  <w:tcW w:w="418" w:type="pct"/>
                  <w:tcBorders>
                    <w:tl2br w:val="nil"/>
                    <w:tr2bl w:val="nil"/>
                  </w:tcBorders>
                  <w:shd w:val="clear" w:color="auto" w:fill="auto"/>
                  <w:noWrap/>
                  <w:tcMar>
                    <w:top w:w="57" w:type="dxa"/>
                    <w:left w:w="57" w:type="dxa"/>
                    <w:bottom w:w="57" w:type="dxa"/>
                    <w:right w:w="57" w:type="dxa"/>
                  </w:tcMar>
                  <w:vAlign w:val="center"/>
                </w:tcPr>
                <w:p w14:paraId="58A5B6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21</w:t>
                  </w:r>
                </w:p>
              </w:tc>
              <w:tc>
                <w:tcPr>
                  <w:tcW w:w="418" w:type="pct"/>
                  <w:tcBorders>
                    <w:tl2br w:val="nil"/>
                    <w:tr2bl w:val="nil"/>
                  </w:tcBorders>
                  <w:shd w:val="clear" w:color="auto" w:fill="auto"/>
                  <w:noWrap/>
                  <w:tcMar>
                    <w:top w:w="57" w:type="dxa"/>
                    <w:left w:w="57" w:type="dxa"/>
                    <w:bottom w:w="57" w:type="dxa"/>
                    <w:right w:w="57" w:type="dxa"/>
                  </w:tcMar>
                  <w:vAlign w:val="center"/>
                </w:tcPr>
                <w:p w14:paraId="47F18EC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18</w:t>
                  </w:r>
                </w:p>
              </w:tc>
              <w:tc>
                <w:tcPr>
                  <w:tcW w:w="492" w:type="pct"/>
                  <w:tcBorders>
                    <w:tl2br w:val="nil"/>
                    <w:tr2bl w:val="nil"/>
                  </w:tcBorders>
                  <w:shd w:val="clear" w:color="auto" w:fill="auto"/>
                  <w:noWrap/>
                  <w:tcMar>
                    <w:top w:w="57" w:type="dxa"/>
                    <w:left w:w="57" w:type="dxa"/>
                    <w:bottom w:w="57" w:type="dxa"/>
                    <w:right w:w="57" w:type="dxa"/>
                  </w:tcMar>
                  <w:vAlign w:val="center"/>
                </w:tcPr>
                <w:p w14:paraId="77B107C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3.9</w:t>
                  </w:r>
                </w:p>
              </w:tc>
              <w:tc>
                <w:tcPr>
                  <w:tcW w:w="535" w:type="pct"/>
                  <w:tcBorders>
                    <w:tl2br w:val="nil"/>
                    <w:tr2bl w:val="nil"/>
                  </w:tcBorders>
                  <w:shd w:val="clear" w:color="auto" w:fill="auto"/>
                  <w:noWrap/>
                  <w:tcMar>
                    <w:top w:w="57" w:type="dxa"/>
                    <w:left w:w="57" w:type="dxa"/>
                    <w:bottom w:w="57" w:type="dxa"/>
                    <w:right w:w="57" w:type="dxa"/>
                  </w:tcMar>
                  <w:vAlign w:val="center"/>
                </w:tcPr>
                <w:p w14:paraId="06DD131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未检出</w:t>
                  </w:r>
                </w:p>
              </w:tc>
            </w:tr>
            <w:tr w14:paraId="04FD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continue"/>
                  <w:tcBorders>
                    <w:tl2br w:val="nil"/>
                    <w:tr2bl w:val="nil"/>
                  </w:tcBorders>
                  <w:noWrap/>
                  <w:tcMar>
                    <w:top w:w="57" w:type="dxa"/>
                    <w:left w:w="57" w:type="dxa"/>
                    <w:bottom w:w="57" w:type="dxa"/>
                    <w:right w:w="57" w:type="dxa"/>
                  </w:tcMar>
                  <w:vAlign w:val="center"/>
                </w:tcPr>
                <w:p w14:paraId="4770494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rPr>
                  </w:pPr>
                </w:p>
              </w:tc>
              <w:tc>
                <w:tcPr>
                  <w:tcW w:w="1025" w:type="pct"/>
                  <w:tcBorders>
                    <w:tl2br w:val="nil"/>
                    <w:tr2bl w:val="nil"/>
                  </w:tcBorders>
                  <w:noWrap/>
                  <w:tcMar>
                    <w:top w:w="57" w:type="dxa"/>
                    <w:left w:w="57" w:type="dxa"/>
                    <w:bottom w:w="57" w:type="dxa"/>
                    <w:right w:w="57" w:type="dxa"/>
                  </w:tcMar>
                  <w:vAlign w:val="center"/>
                </w:tcPr>
                <w:p w14:paraId="7E2BBAC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kern w:val="0"/>
                      <w:sz w:val="21"/>
                      <w:szCs w:val="21"/>
                      <w:lang w:val="en-US" w:eastAsia="zh-CN"/>
                    </w:rPr>
                    <w:t>北外环路断面</w:t>
                  </w:r>
                </w:p>
              </w:tc>
              <w:tc>
                <w:tcPr>
                  <w:tcW w:w="418" w:type="pct"/>
                  <w:tcBorders>
                    <w:tl2br w:val="nil"/>
                    <w:tr2bl w:val="nil"/>
                  </w:tcBorders>
                  <w:noWrap/>
                  <w:tcMar>
                    <w:top w:w="57" w:type="dxa"/>
                    <w:left w:w="57" w:type="dxa"/>
                    <w:bottom w:w="57" w:type="dxa"/>
                    <w:right w:w="57" w:type="dxa"/>
                  </w:tcMar>
                  <w:vAlign w:val="center"/>
                </w:tcPr>
                <w:p w14:paraId="1FDFFE7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7.5</w:t>
                  </w:r>
                </w:p>
              </w:tc>
              <w:tc>
                <w:tcPr>
                  <w:tcW w:w="418" w:type="pct"/>
                  <w:tcBorders>
                    <w:tl2br w:val="nil"/>
                    <w:tr2bl w:val="nil"/>
                  </w:tcBorders>
                  <w:shd w:val="clear" w:color="auto" w:fill="auto"/>
                  <w:noWrap/>
                  <w:tcMar>
                    <w:top w:w="57" w:type="dxa"/>
                    <w:left w:w="57" w:type="dxa"/>
                    <w:bottom w:w="57" w:type="dxa"/>
                    <w:right w:w="57" w:type="dxa"/>
                  </w:tcMar>
                  <w:vAlign w:val="center"/>
                </w:tcPr>
                <w:p w14:paraId="77ED87C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0.17</w:t>
                  </w:r>
                </w:p>
              </w:tc>
              <w:tc>
                <w:tcPr>
                  <w:tcW w:w="418" w:type="pct"/>
                  <w:tcBorders>
                    <w:tl2br w:val="nil"/>
                    <w:tr2bl w:val="nil"/>
                  </w:tcBorders>
                  <w:shd w:val="clear" w:color="auto" w:fill="auto"/>
                  <w:noWrap/>
                  <w:tcMar>
                    <w:top w:w="57" w:type="dxa"/>
                    <w:left w:w="57" w:type="dxa"/>
                    <w:bottom w:w="57" w:type="dxa"/>
                    <w:right w:w="57" w:type="dxa"/>
                  </w:tcMar>
                  <w:vAlign w:val="center"/>
                </w:tcPr>
                <w:p w14:paraId="5ECD79D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0.190</w:t>
                  </w:r>
                </w:p>
              </w:tc>
              <w:tc>
                <w:tcPr>
                  <w:tcW w:w="418" w:type="pct"/>
                  <w:tcBorders>
                    <w:tl2br w:val="nil"/>
                    <w:tr2bl w:val="nil"/>
                  </w:tcBorders>
                  <w:shd w:val="clear" w:color="auto" w:fill="auto"/>
                  <w:noWrap/>
                  <w:tcMar>
                    <w:top w:w="57" w:type="dxa"/>
                    <w:left w:w="57" w:type="dxa"/>
                    <w:bottom w:w="57" w:type="dxa"/>
                    <w:right w:w="57" w:type="dxa"/>
                  </w:tcMar>
                  <w:vAlign w:val="center"/>
                </w:tcPr>
                <w:p w14:paraId="4A35CA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0.75</w:t>
                  </w:r>
                </w:p>
              </w:tc>
              <w:tc>
                <w:tcPr>
                  <w:tcW w:w="418" w:type="pct"/>
                  <w:tcBorders>
                    <w:tl2br w:val="nil"/>
                    <w:tr2bl w:val="nil"/>
                  </w:tcBorders>
                  <w:shd w:val="clear" w:color="auto" w:fill="auto"/>
                  <w:noWrap/>
                  <w:tcMar>
                    <w:top w:w="57" w:type="dxa"/>
                    <w:left w:w="57" w:type="dxa"/>
                    <w:bottom w:w="57" w:type="dxa"/>
                    <w:right w:w="57" w:type="dxa"/>
                  </w:tcMar>
                  <w:vAlign w:val="center"/>
                </w:tcPr>
                <w:p w14:paraId="4CF89AB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18</w:t>
                  </w:r>
                </w:p>
              </w:tc>
              <w:tc>
                <w:tcPr>
                  <w:tcW w:w="418" w:type="pct"/>
                  <w:tcBorders>
                    <w:tl2br w:val="nil"/>
                    <w:tr2bl w:val="nil"/>
                  </w:tcBorders>
                  <w:shd w:val="clear" w:color="auto" w:fill="auto"/>
                  <w:noWrap/>
                  <w:tcMar>
                    <w:top w:w="57" w:type="dxa"/>
                    <w:left w:w="57" w:type="dxa"/>
                    <w:bottom w:w="57" w:type="dxa"/>
                    <w:right w:w="57" w:type="dxa"/>
                  </w:tcMar>
                  <w:vAlign w:val="center"/>
                </w:tcPr>
                <w:p w14:paraId="59D2E7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25</w:t>
                  </w:r>
                </w:p>
              </w:tc>
              <w:tc>
                <w:tcPr>
                  <w:tcW w:w="492" w:type="pct"/>
                  <w:tcBorders>
                    <w:tl2br w:val="nil"/>
                    <w:tr2bl w:val="nil"/>
                  </w:tcBorders>
                  <w:shd w:val="clear" w:color="auto" w:fill="auto"/>
                  <w:noWrap/>
                  <w:tcMar>
                    <w:top w:w="57" w:type="dxa"/>
                    <w:left w:w="57" w:type="dxa"/>
                    <w:bottom w:w="57" w:type="dxa"/>
                    <w:right w:w="57" w:type="dxa"/>
                  </w:tcMar>
                  <w:vAlign w:val="center"/>
                </w:tcPr>
                <w:p w14:paraId="75BA1C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5.2</w:t>
                  </w:r>
                </w:p>
              </w:tc>
              <w:tc>
                <w:tcPr>
                  <w:tcW w:w="535" w:type="pct"/>
                  <w:tcBorders>
                    <w:tl2br w:val="nil"/>
                    <w:tr2bl w:val="nil"/>
                  </w:tcBorders>
                  <w:shd w:val="clear" w:color="auto" w:fill="auto"/>
                  <w:noWrap/>
                  <w:tcMar>
                    <w:top w:w="57" w:type="dxa"/>
                    <w:left w:w="57" w:type="dxa"/>
                    <w:bottom w:w="57" w:type="dxa"/>
                    <w:right w:w="57" w:type="dxa"/>
                  </w:tcMar>
                  <w:vAlign w:val="center"/>
                </w:tcPr>
                <w:p w14:paraId="68B66C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未检出</w:t>
                  </w:r>
                </w:p>
              </w:tc>
            </w:tr>
            <w:tr w14:paraId="6DE6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3" w:type="pct"/>
                  <w:vMerge w:val="continue"/>
                  <w:tcBorders>
                    <w:tl2br w:val="nil"/>
                    <w:tr2bl w:val="nil"/>
                  </w:tcBorders>
                  <w:noWrap/>
                  <w:tcMar>
                    <w:top w:w="57" w:type="dxa"/>
                    <w:left w:w="57" w:type="dxa"/>
                    <w:bottom w:w="57" w:type="dxa"/>
                    <w:right w:w="57" w:type="dxa"/>
                  </w:tcMar>
                  <w:vAlign w:val="center"/>
                </w:tcPr>
                <w:p w14:paraId="2C6A8D9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p>
              </w:tc>
              <w:tc>
                <w:tcPr>
                  <w:tcW w:w="1025" w:type="pct"/>
                  <w:tcBorders>
                    <w:tl2br w:val="nil"/>
                    <w:tr2bl w:val="nil"/>
                  </w:tcBorders>
                  <w:noWrap/>
                  <w:tcMar>
                    <w:top w:w="57" w:type="dxa"/>
                    <w:left w:w="57" w:type="dxa"/>
                    <w:bottom w:w="57" w:type="dxa"/>
                    <w:right w:w="57" w:type="dxa"/>
                  </w:tcMar>
                  <w:vAlign w:val="center"/>
                </w:tcPr>
                <w:p w14:paraId="53C6CF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kern w:val="0"/>
                      <w:sz w:val="21"/>
                      <w:szCs w:val="21"/>
                      <w:lang w:val="en-US" w:eastAsia="zh-CN"/>
                    </w:rPr>
                    <w:t>青年路断面</w:t>
                  </w:r>
                </w:p>
              </w:tc>
              <w:tc>
                <w:tcPr>
                  <w:tcW w:w="418" w:type="pct"/>
                  <w:tcBorders>
                    <w:tl2br w:val="nil"/>
                    <w:tr2bl w:val="nil"/>
                  </w:tcBorders>
                  <w:noWrap/>
                  <w:tcMar>
                    <w:top w:w="57" w:type="dxa"/>
                    <w:left w:w="57" w:type="dxa"/>
                    <w:bottom w:w="57" w:type="dxa"/>
                    <w:right w:w="57" w:type="dxa"/>
                  </w:tcMar>
                  <w:vAlign w:val="center"/>
                </w:tcPr>
                <w:p w14:paraId="03130D9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7.5</w:t>
                  </w:r>
                </w:p>
              </w:tc>
              <w:tc>
                <w:tcPr>
                  <w:tcW w:w="418" w:type="pct"/>
                  <w:tcBorders>
                    <w:tl2br w:val="nil"/>
                    <w:tr2bl w:val="nil"/>
                  </w:tcBorders>
                  <w:shd w:val="clear" w:color="auto" w:fill="auto"/>
                  <w:noWrap/>
                  <w:tcMar>
                    <w:top w:w="57" w:type="dxa"/>
                    <w:left w:w="57" w:type="dxa"/>
                    <w:bottom w:w="57" w:type="dxa"/>
                    <w:right w:w="57" w:type="dxa"/>
                  </w:tcMar>
                  <w:vAlign w:val="center"/>
                </w:tcPr>
                <w:p w14:paraId="1FE7B9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0.16</w:t>
                  </w:r>
                </w:p>
              </w:tc>
              <w:tc>
                <w:tcPr>
                  <w:tcW w:w="418" w:type="pct"/>
                  <w:tcBorders>
                    <w:tl2br w:val="nil"/>
                    <w:tr2bl w:val="nil"/>
                  </w:tcBorders>
                  <w:shd w:val="clear" w:color="auto" w:fill="auto"/>
                  <w:noWrap/>
                  <w:tcMar>
                    <w:top w:w="57" w:type="dxa"/>
                    <w:left w:w="57" w:type="dxa"/>
                    <w:bottom w:w="57" w:type="dxa"/>
                    <w:right w:w="57" w:type="dxa"/>
                  </w:tcMar>
                  <w:vAlign w:val="center"/>
                </w:tcPr>
                <w:p w14:paraId="249AADC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0.207</w:t>
                  </w:r>
                </w:p>
              </w:tc>
              <w:tc>
                <w:tcPr>
                  <w:tcW w:w="418" w:type="pct"/>
                  <w:tcBorders>
                    <w:tl2br w:val="nil"/>
                    <w:tr2bl w:val="nil"/>
                  </w:tcBorders>
                  <w:shd w:val="clear" w:color="auto" w:fill="auto"/>
                  <w:noWrap/>
                  <w:tcMar>
                    <w:top w:w="57" w:type="dxa"/>
                    <w:left w:w="57" w:type="dxa"/>
                    <w:bottom w:w="57" w:type="dxa"/>
                    <w:right w:w="57" w:type="dxa"/>
                  </w:tcMar>
                  <w:vAlign w:val="center"/>
                </w:tcPr>
                <w:p w14:paraId="7CE2DB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0.84</w:t>
                  </w:r>
                </w:p>
              </w:tc>
              <w:tc>
                <w:tcPr>
                  <w:tcW w:w="418" w:type="pct"/>
                  <w:tcBorders>
                    <w:tl2br w:val="nil"/>
                    <w:tr2bl w:val="nil"/>
                  </w:tcBorders>
                  <w:shd w:val="clear" w:color="auto" w:fill="auto"/>
                  <w:noWrap/>
                  <w:tcMar>
                    <w:top w:w="57" w:type="dxa"/>
                    <w:left w:w="57" w:type="dxa"/>
                    <w:bottom w:w="57" w:type="dxa"/>
                    <w:right w:w="57" w:type="dxa"/>
                  </w:tcMar>
                  <w:vAlign w:val="center"/>
                </w:tcPr>
                <w:p w14:paraId="6F933F2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20</w:t>
                  </w:r>
                </w:p>
              </w:tc>
              <w:tc>
                <w:tcPr>
                  <w:tcW w:w="418" w:type="pct"/>
                  <w:tcBorders>
                    <w:tl2br w:val="nil"/>
                    <w:tr2bl w:val="nil"/>
                  </w:tcBorders>
                  <w:shd w:val="clear" w:color="auto" w:fill="auto"/>
                  <w:noWrap/>
                  <w:tcMar>
                    <w:top w:w="57" w:type="dxa"/>
                    <w:left w:w="57" w:type="dxa"/>
                    <w:bottom w:w="57" w:type="dxa"/>
                    <w:right w:w="57" w:type="dxa"/>
                  </w:tcMar>
                  <w:vAlign w:val="center"/>
                </w:tcPr>
                <w:p w14:paraId="55ABAB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23</w:t>
                  </w:r>
                </w:p>
              </w:tc>
              <w:tc>
                <w:tcPr>
                  <w:tcW w:w="492" w:type="pct"/>
                  <w:tcBorders>
                    <w:tl2br w:val="nil"/>
                    <w:tr2bl w:val="nil"/>
                  </w:tcBorders>
                  <w:shd w:val="clear" w:color="auto" w:fill="auto"/>
                  <w:noWrap/>
                  <w:tcMar>
                    <w:top w:w="57" w:type="dxa"/>
                    <w:left w:w="57" w:type="dxa"/>
                    <w:bottom w:w="57" w:type="dxa"/>
                    <w:right w:w="57" w:type="dxa"/>
                  </w:tcMar>
                  <w:vAlign w:val="center"/>
                </w:tcPr>
                <w:p w14:paraId="18191B4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5.7</w:t>
                  </w:r>
                </w:p>
              </w:tc>
              <w:tc>
                <w:tcPr>
                  <w:tcW w:w="535" w:type="pct"/>
                  <w:tcBorders>
                    <w:tl2br w:val="nil"/>
                    <w:tr2bl w:val="nil"/>
                  </w:tcBorders>
                  <w:shd w:val="clear" w:color="auto" w:fill="auto"/>
                  <w:noWrap/>
                  <w:tcMar>
                    <w:top w:w="57" w:type="dxa"/>
                    <w:left w:w="57" w:type="dxa"/>
                    <w:bottom w:w="57" w:type="dxa"/>
                    <w:right w:w="57" w:type="dxa"/>
                  </w:tcMar>
                  <w:vAlign w:val="center"/>
                </w:tcPr>
                <w:p w14:paraId="5A95751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未检出</w:t>
                  </w:r>
                </w:p>
              </w:tc>
            </w:tr>
          </w:tbl>
          <w:p w14:paraId="2ECD36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eastAsiaTheme="minorEastAsia"/>
                <w:sz w:val="24"/>
                <w:szCs w:val="24"/>
                <w:lang w:val="en-US" w:eastAsia="zh-CN"/>
              </w:rPr>
            </w:pPr>
            <w:r>
              <w:rPr>
                <w:rFonts w:hint="eastAsia"/>
                <w:color w:val="000000"/>
                <w:kern w:val="0"/>
                <w:sz w:val="24"/>
                <w:lang w:val="en-US" w:eastAsia="zh-CN"/>
              </w:rPr>
              <w:t>由上表可知，龙岱河水质各监测断面的污染物因子均可满足《地表水环境质量标准》(GB3838-2002)中IV类标准要求</w:t>
            </w:r>
            <w:r>
              <w:rPr>
                <w:rFonts w:hint="eastAsia" w:eastAsiaTheme="minorEastAsia"/>
                <w:sz w:val="24"/>
                <w:szCs w:val="24"/>
                <w:lang w:eastAsia="zh-CN"/>
              </w:rPr>
              <w:t>。</w:t>
            </w:r>
          </w:p>
          <w:p w14:paraId="4527BB65">
            <w:pPr>
              <w:spacing w:line="360" w:lineRule="auto"/>
              <w:jc w:val="left"/>
              <w:rPr>
                <w:rFonts w:hint="eastAsia"/>
                <w:b/>
                <w:sz w:val="24"/>
                <w:lang w:val="en-US" w:eastAsia="zh-CN"/>
              </w:rPr>
            </w:pPr>
            <w:r>
              <w:rPr>
                <w:rFonts w:hint="eastAsia"/>
                <w:b/>
                <w:bCs/>
                <w:sz w:val="24"/>
                <w:lang w:val="en-US" w:eastAsia="zh-CN"/>
              </w:rPr>
              <w:t>3</w:t>
            </w:r>
            <w:r>
              <w:rPr>
                <w:b/>
                <w:bCs/>
                <w:sz w:val="24"/>
              </w:rPr>
              <w:t>、</w:t>
            </w:r>
            <w:r>
              <w:rPr>
                <w:rFonts w:hint="eastAsia"/>
                <w:b/>
                <w:sz w:val="24"/>
                <w:lang w:val="en-US" w:eastAsia="zh-CN"/>
              </w:rPr>
              <w:t>声环境</w:t>
            </w:r>
          </w:p>
          <w:p w14:paraId="056C155B">
            <w:pPr>
              <w:spacing w:line="360" w:lineRule="auto"/>
              <w:ind w:firstLine="480" w:firstLineChars="200"/>
              <w:jc w:val="left"/>
              <w:rPr>
                <w:rFonts w:hint="eastAsia" w:cs="Times New Roman"/>
                <w:b w:val="0"/>
                <w:bCs w:val="0"/>
                <w:color w:val="auto"/>
                <w:sz w:val="24"/>
                <w:lang w:val="en-US" w:eastAsia="zh-CN"/>
              </w:rPr>
            </w:pPr>
            <w:r>
              <w:rPr>
                <w:rFonts w:hint="eastAsia"/>
                <w:color w:val="000000"/>
                <w:kern w:val="0"/>
                <w:sz w:val="24"/>
                <w:lang w:val="en-US" w:eastAsia="zh-CN"/>
              </w:rPr>
              <w:t>根据《建设项目环境影响报告表编制技术指南（污染影响类）》（试行）文件要求，厂界外周边50米范围内存在声环境保护目标，应监测保护目标声环境质量现状并评价达标情况。</w:t>
            </w:r>
          </w:p>
          <w:p w14:paraId="40E7525C">
            <w:pPr>
              <w:numPr>
                <w:ilvl w:val="0"/>
                <w:numId w:val="7"/>
              </w:numPr>
              <w:spacing w:line="360" w:lineRule="auto"/>
              <w:ind w:firstLine="480" w:firstLineChars="200"/>
              <w:jc w:val="left"/>
              <w:rPr>
                <w:rFonts w:hint="eastAsia" w:cs="Times New Roman"/>
                <w:b w:val="0"/>
                <w:bCs w:val="0"/>
                <w:sz w:val="24"/>
                <w:lang w:val="en-US" w:eastAsia="zh-CN"/>
              </w:rPr>
            </w:pPr>
            <w:r>
              <w:rPr>
                <w:rFonts w:hint="eastAsia" w:ascii="Times New Roman" w:hAnsi="Times New Roman" w:eastAsia="宋体" w:cs="Times New Roman"/>
                <w:b w:val="0"/>
                <w:bCs w:val="0"/>
                <w:sz w:val="24"/>
                <w:lang w:val="en-US" w:eastAsia="zh-CN"/>
              </w:rPr>
              <w:t>监测点位</w:t>
            </w:r>
          </w:p>
          <w:p w14:paraId="04C58D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sz w:val="24"/>
                <w:lang w:val="en-US" w:eastAsia="zh-CN"/>
              </w:rPr>
            </w:pPr>
            <w:r>
              <w:rPr>
                <w:rFonts w:hint="eastAsia" w:ascii="Times New Roman" w:hAnsi="Times New Roman" w:eastAsia="宋体" w:cs="Times New Roman"/>
                <w:b w:val="0"/>
                <w:bCs w:val="0"/>
                <w:sz w:val="24"/>
                <w:lang w:val="en-US" w:eastAsia="zh-CN"/>
              </w:rPr>
              <w:t>为了解项目建设地区域的声环境质量现状，</w:t>
            </w:r>
            <w:r>
              <w:rPr>
                <w:rFonts w:hint="eastAsia" w:cs="Times New Roman"/>
                <w:b w:val="0"/>
                <w:bCs w:val="0"/>
                <w:sz w:val="24"/>
                <w:lang w:val="en-US" w:eastAsia="zh-CN"/>
              </w:rPr>
              <w:t>委托</w:t>
            </w:r>
            <w:r>
              <w:rPr>
                <w:rFonts w:hint="eastAsia"/>
                <w:lang w:val="en-US" w:eastAsia="zh-CN"/>
              </w:rPr>
              <w:t>安徽鑫程检测科技有限公司对声环境保护目标进行了现状监测</w:t>
            </w:r>
            <w:r>
              <w:rPr>
                <w:rFonts w:hint="eastAsia" w:cs="Times New Roman"/>
                <w:b w:val="0"/>
                <w:bCs w:val="0"/>
                <w:sz w:val="24"/>
                <w:lang w:val="en-US" w:eastAsia="zh-CN"/>
              </w:rPr>
              <w:t>（附件9），保护目标为位于</w:t>
            </w:r>
            <w:r>
              <w:rPr>
                <w:rFonts w:hint="eastAsia" w:ascii="Times New Roman" w:hAnsi="Times New Roman" w:eastAsia="宋体" w:cs="Times New Roman"/>
                <w:b w:val="0"/>
                <w:bCs w:val="0"/>
                <w:sz w:val="24"/>
                <w:lang w:val="en-US" w:eastAsia="zh-CN"/>
              </w:rPr>
              <w:t>淮北</w:t>
            </w:r>
            <w:r>
              <w:rPr>
                <w:rFonts w:hint="eastAsia" w:cs="Times New Roman"/>
                <w:b w:val="0"/>
                <w:bCs w:val="0"/>
                <w:sz w:val="24"/>
                <w:lang w:val="en-US" w:eastAsia="zh-CN"/>
              </w:rPr>
              <w:t>市平祥感应炉有限公司</w:t>
            </w:r>
            <w:r>
              <w:rPr>
                <w:rFonts w:hint="eastAsia" w:ascii="Times New Roman" w:hAnsi="Times New Roman" w:eastAsia="宋体" w:cs="Times New Roman"/>
                <w:b w:val="0"/>
                <w:bCs w:val="0"/>
                <w:sz w:val="24"/>
                <w:lang w:val="en-US" w:eastAsia="zh-CN"/>
              </w:rPr>
              <w:t>厂界</w:t>
            </w:r>
            <w:r>
              <w:rPr>
                <w:rFonts w:hint="eastAsia" w:cs="Times New Roman"/>
                <w:b w:val="0"/>
                <w:bCs w:val="0"/>
                <w:sz w:val="24"/>
                <w:lang w:val="en-US" w:eastAsia="zh-CN"/>
              </w:rPr>
              <w:t>北侧的纵楼，</w:t>
            </w:r>
            <w:r>
              <w:rPr>
                <w:rFonts w:hint="eastAsia" w:ascii="Times New Roman" w:hAnsi="Times New Roman" w:eastAsia="宋体" w:cs="Times New Roman"/>
                <w:b w:val="0"/>
                <w:bCs w:val="0"/>
                <w:sz w:val="24"/>
                <w:lang w:val="en-US" w:eastAsia="zh-CN"/>
              </w:rPr>
              <w:t>具体点位布设在淮北</w:t>
            </w:r>
            <w:r>
              <w:rPr>
                <w:rFonts w:hint="eastAsia" w:cs="Times New Roman"/>
                <w:b w:val="0"/>
                <w:bCs w:val="0"/>
                <w:sz w:val="24"/>
                <w:lang w:val="en-US" w:eastAsia="zh-CN"/>
              </w:rPr>
              <w:t>市平祥感应炉有限公司</w:t>
            </w:r>
            <w:r>
              <w:rPr>
                <w:rFonts w:hint="eastAsia" w:ascii="Times New Roman" w:hAnsi="Times New Roman" w:eastAsia="宋体" w:cs="Times New Roman"/>
                <w:b w:val="0"/>
                <w:bCs w:val="0"/>
                <w:sz w:val="24"/>
                <w:lang w:val="en-US" w:eastAsia="zh-CN"/>
              </w:rPr>
              <w:t>厂界</w:t>
            </w:r>
            <w:r>
              <w:rPr>
                <w:rFonts w:hint="eastAsia" w:cs="Times New Roman"/>
                <w:b w:val="0"/>
                <w:bCs w:val="0"/>
                <w:sz w:val="24"/>
                <w:lang w:val="en-US" w:eastAsia="zh-CN"/>
              </w:rPr>
              <w:t>北侧20米杜集区坡里卫生院（现已关停，见附件11）</w:t>
            </w:r>
            <w:r>
              <w:rPr>
                <w:rFonts w:hint="eastAsia" w:ascii="Times New Roman" w:hAnsi="Times New Roman" w:eastAsia="宋体" w:cs="Times New Roman"/>
                <w:b w:val="0"/>
                <w:bCs w:val="0"/>
                <w:sz w:val="24"/>
                <w:lang w:val="en-US" w:eastAsia="zh-CN"/>
              </w:rPr>
              <w:t>。</w:t>
            </w:r>
          </w:p>
          <w:p w14:paraId="2E40C44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监测时间</w:t>
            </w:r>
          </w:p>
          <w:p w14:paraId="624015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lang w:val="en-US" w:eastAsia="zh-CN"/>
              </w:rPr>
            </w:pPr>
            <w:r>
              <w:rPr>
                <w:rFonts w:hint="eastAsia"/>
                <w:lang w:val="en-US" w:eastAsia="zh-CN"/>
              </w:rPr>
              <w:t>安徽鑫程检测科技有限公司在2025年8月16日对项目区域环境噪声进行了监测，项目夜间不进行生产，故监测在昼间（06:00~22:00）进行，统计 Leg。</w:t>
            </w:r>
          </w:p>
          <w:p w14:paraId="5DE2A5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(3)监测方法</w:t>
            </w:r>
          </w:p>
          <w:p w14:paraId="16BBEC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按照《声环境质量标准》（GB3096-2008）中相关技术规范进行检测。</w:t>
            </w:r>
          </w:p>
          <w:p w14:paraId="32B672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(4)监测结果</w:t>
            </w:r>
          </w:p>
          <w:p w14:paraId="397B0B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lang w:val="en-US" w:eastAsia="zh-CN"/>
              </w:rPr>
              <w:t>按照检测结果见下表。</w:t>
            </w:r>
          </w:p>
          <w:p w14:paraId="42495B73">
            <w:pPr>
              <w:jc w:val="center"/>
              <w:rPr>
                <w:rFonts w:hint="default" w:ascii="Times New Roman" w:hAnsi="Times New Roman" w:cs="Times New Roman"/>
                <w:b/>
                <w:bCs/>
                <w:sz w:val="22"/>
                <w:szCs w:val="22"/>
                <w:vertAlign w:val="baseline"/>
                <w:lang w:val="en-US" w:eastAsia="zh-CN"/>
              </w:rPr>
            </w:pPr>
            <w:r>
              <w:rPr>
                <w:rFonts w:hint="default" w:ascii="Times New Roman" w:hAnsi="Times New Roman" w:cs="Times New Roman"/>
                <w:b/>
                <w:bCs/>
                <w:sz w:val="22"/>
                <w:szCs w:val="22"/>
                <w:lang w:val="en-US" w:eastAsia="zh-CN"/>
              </w:rPr>
              <w:t>表3-</w:t>
            </w:r>
            <w:r>
              <w:rPr>
                <w:rFonts w:hint="eastAsia" w:cs="Times New Roman"/>
                <w:b/>
                <w:bCs/>
                <w:sz w:val="22"/>
                <w:szCs w:val="22"/>
                <w:lang w:val="en-US" w:eastAsia="zh-CN"/>
              </w:rPr>
              <w:t>6</w:t>
            </w:r>
            <w:r>
              <w:rPr>
                <w:rFonts w:hint="default" w:ascii="Times New Roman" w:hAnsi="Times New Roman" w:cs="Times New Roman"/>
                <w:b/>
                <w:bCs/>
                <w:sz w:val="22"/>
                <w:szCs w:val="22"/>
                <w:lang w:val="en-US" w:eastAsia="zh-CN"/>
              </w:rPr>
              <w:t xml:space="preserve"> 噪声限值监测结果统计一览表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3600"/>
              <w:gridCol w:w="2479"/>
            </w:tblGrid>
            <w:tr w14:paraId="35C3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5" w:type="dxa"/>
                  <w:gridSpan w:val="3"/>
                  <w:vAlign w:val="center"/>
                </w:tcPr>
                <w:p w14:paraId="66AB9555">
                  <w:pPr>
                    <w:jc w:val="center"/>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检测类别：厂界噪声</w:t>
                  </w:r>
                  <w:r>
                    <w:rPr>
                      <w:rFonts w:hint="eastAsia"/>
                      <w:sz w:val="21"/>
                      <w:szCs w:val="21"/>
                      <w:lang w:val="en-US" w:eastAsia="zh-CN"/>
                    </w:rPr>
                    <w:t>Leg（单位：dB(A））</w:t>
                  </w:r>
                </w:p>
              </w:tc>
            </w:tr>
            <w:tr w14:paraId="0EE9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6" w:type="dxa"/>
                  <w:vAlign w:val="center"/>
                </w:tcPr>
                <w:p w14:paraId="2FF10325">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测点编号</w:t>
                  </w:r>
                </w:p>
              </w:tc>
              <w:tc>
                <w:tcPr>
                  <w:tcW w:w="3600" w:type="dxa"/>
                  <w:shd w:val="clear" w:color="auto" w:fill="auto"/>
                  <w:vAlign w:val="center"/>
                </w:tcPr>
                <w:p w14:paraId="27D9BB2D">
                  <w:pPr>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b w:val="0"/>
                      <w:bCs w:val="0"/>
                      <w:sz w:val="21"/>
                      <w:szCs w:val="21"/>
                      <w:vertAlign w:val="baseline"/>
                      <w:lang w:val="en-US" w:eastAsia="zh-CN"/>
                    </w:rPr>
                    <w:t>测点位置</w:t>
                  </w:r>
                </w:p>
              </w:tc>
              <w:tc>
                <w:tcPr>
                  <w:tcW w:w="2479" w:type="dxa"/>
                  <w:shd w:val="clear" w:color="auto" w:fill="auto"/>
                  <w:vAlign w:val="center"/>
                </w:tcPr>
                <w:p w14:paraId="179ACA0E">
                  <w:pPr>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cs="Times New Roman"/>
                      <w:b w:val="0"/>
                      <w:bCs w:val="0"/>
                      <w:sz w:val="21"/>
                      <w:szCs w:val="21"/>
                      <w:vertAlign w:val="baseline"/>
                      <w:lang w:val="en-US" w:eastAsia="zh-CN"/>
                    </w:rPr>
                    <w:t>监测结果</w:t>
                  </w:r>
                </w:p>
              </w:tc>
            </w:tr>
            <w:tr w14:paraId="7BD4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6" w:type="dxa"/>
                  <w:vAlign w:val="center"/>
                </w:tcPr>
                <w:p w14:paraId="2960AAFA">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N1</w:t>
                  </w:r>
                </w:p>
              </w:tc>
              <w:tc>
                <w:tcPr>
                  <w:tcW w:w="3600" w:type="dxa"/>
                  <w:vAlign w:val="center"/>
                </w:tcPr>
                <w:p w14:paraId="4965A28A">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杜集区坡里卫生院</w:t>
                  </w:r>
                </w:p>
              </w:tc>
              <w:tc>
                <w:tcPr>
                  <w:tcW w:w="2479" w:type="dxa"/>
                  <w:vAlign w:val="center"/>
                </w:tcPr>
                <w:p w14:paraId="5B4D486C">
                  <w:pPr>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57.8</w:t>
                  </w:r>
                </w:p>
              </w:tc>
            </w:tr>
          </w:tbl>
          <w:p w14:paraId="62EAB178">
            <w:pPr>
              <w:bidi w:val="0"/>
              <w:rPr>
                <w:rFonts w:hint="default"/>
                <w:lang w:val="en-US" w:eastAsia="zh-CN"/>
              </w:rPr>
            </w:pPr>
          </w:p>
          <w:p w14:paraId="40613B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highlight w:val="none"/>
                <w:lang w:val="en-US" w:eastAsia="zh-CN"/>
              </w:rPr>
              <w:t>由上表结果可知，项目厂界昼间的声环境质量均能满足《声环境质量标准》(GB3096-2008)中</w:t>
            </w:r>
            <w:r>
              <w:rPr>
                <w:rFonts w:hint="eastAsia"/>
                <w:highlight w:val="none"/>
                <w:lang w:val="en-US" w:eastAsia="zh-CN"/>
              </w:rPr>
              <w:t>3</w:t>
            </w:r>
            <w:r>
              <w:rPr>
                <w:rFonts w:hint="default"/>
                <w:highlight w:val="none"/>
                <w:lang w:val="en-US" w:eastAsia="zh-CN"/>
              </w:rPr>
              <w:t>类标准</w:t>
            </w:r>
            <w:r>
              <w:rPr>
                <w:rFonts w:hint="eastAsia"/>
                <w:highlight w:val="none"/>
                <w:lang w:val="en-US" w:eastAsia="zh-CN"/>
              </w:rPr>
              <w:t>，</w:t>
            </w:r>
            <w:r>
              <w:rPr>
                <w:rFonts w:hint="default"/>
                <w:highlight w:val="none"/>
                <w:lang w:val="en-US" w:eastAsia="zh-CN"/>
              </w:rPr>
              <w:t>项目所在区域声环境质量较好</w:t>
            </w:r>
            <w:r>
              <w:rPr>
                <w:rFonts w:hint="default"/>
                <w:lang w:val="en-US" w:eastAsia="zh-CN"/>
              </w:rPr>
              <w:t>。</w:t>
            </w:r>
          </w:p>
          <w:p w14:paraId="65F29648">
            <w:pPr>
              <w:spacing w:line="360" w:lineRule="auto"/>
              <w:jc w:val="left"/>
              <w:rPr>
                <w:rFonts w:hint="eastAsia"/>
                <w:b/>
                <w:sz w:val="24"/>
                <w:lang w:val="en-US" w:eastAsia="zh-CN"/>
              </w:rPr>
            </w:pPr>
            <w:r>
              <w:rPr>
                <w:rFonts w:hint="eastAsia"/>
                <w:b/>
                <w:bCs/>
                <w:sz w:val="24"/>
                <w:lang w:val="en-US" w:eastAsia="zh-CN"/>
              </w:rPr>
              <w:t>4</w:t>
            </w:r>
            <w:r>
              <w:rPr>
                <w:b/>
                <w:bCs/>
                <w:sz w:val="24"/>
              </w:rPr>
              <w:t>、</w:t>
            </w:r>
            <w:r>
              <w:rPr>
                <w:rFonts w:hint="eastAsia"/>
                <w:b/>
                <w:sz w:val="24"/>
                <w:lang w:val="en-US" w:eastAsia="zh-CN"/>
              </w:rPr>
              <w:t>地下水</w:t>
            </w:r>
            <w:r>
              <w:rPr>
                <w:rFonts w:hint="eastAsia" w:ascii="Times New Roman" w:hAnsi="Times New Roman" w:eastAsia="宋体" w:cs="Times New Roman"/>
                <w:b/>
                <w:bCs/>
                <w:color w:val="auto"/>
                <w:kern w:val="0"/>
                <w:sz w:val="24"/>
                <w:lang w:eastAsia="zh-CN"/>
              </w:rPr>
              <w:t>、土壤</w:t>
            </w:r>
            <w:r>
              <w:rPr>
                <w:rFonts w:hint="eastAsia" w:ascii="Times New Roman" w:hAnsi="Times New Roman" w:eastAsia="宋体" w:cs="Times New Roman"/>
                <w:b/>
                <w:bCs/>
                <w:color w:val="auto"/>
                <w:kern w:val="0"/>
                <w:sz w:val="24"/>
              </w:rPr>
              <w:t>环境</w:t>
            </w:r>
          </w:p>
          <w:p w14:paraId="5ECAFE74">
            <w:pPr>
              <w:spacing w:line="360" w:lineRule="auto"/>
              <w:ind w:firstLine="480" w:firstLineChars="200"/>
              <w:jc w:val="left"/>
              <w:rPr>
                <w:rFonts w:hint="eastAsia" w:cs="Times New Roman"/>
                <w:b w:val="0"/>
                <w:bCs w:val="0"/>
                <w:sz w:val="24"/>
                <w:lang w:val="en-US" w:eastAsia="zh-CN"/>
              </w:rPr>
            </w:pPr>
            <w:r>
              <w:rPr>
                <w:rFonts w:hint="default" w:ascii="Times New Roman" w:hAnsi="Times New Roman" w:eastAsia="宋体" w:cs="Times New Roman"/>
                <w:color w:val="auto"/>
                <w:sz w:val="24"/>
                <w:szCs w:val="24"/>
              </w:rPr>
              <w:t>根据《建设项目环境影响报告表编制技术指南（污染影响类）（试行）》，本项目采取有效的防渗防漏措施，</w:t>
            </w:r>
            <w:r>
              <w:rPr>
                <w:rFonts w:hint="eastAsia" w:ascii="Times New Roman" w:hAnsi="Times New Roman" w:eastAsia="宋体" w:cs="Times New Roman"/>
                <w:color w:val="auto"/>
                <w:sz w:val="24"/>
                <w:szCs w:val="24"/>
                <w:lang w:eastAsia="zh-CN"/>
              </w:rPr>
              <w:t>对</w:t>
            </w:r>
            <w:r>
              <w:rPr>
                <w:rFonts w:hint="default" w:ascii="Times New Roman" w:hAnsi="Times New Roman" w:eastAsia="宋体" w:cs="Times New Roman"/>
                <w:color w:val="auto"/>
                <w:sz w:val="24"/>
                <w:szCs w:val="24"/>
              </w:rPr>
              <w:t>地下水、土壤环境</w:t>
            </w:r>
            <w:r>
              <w:rPr>
                <w:rFonts w:hint="eastAsia" w:ascii="Times New Roman" w:hAnsi="Times New Roman" w:eastAsia="宋体" w:cs="Times New Roman"/>
                <w:color w:val="auto"/>
                <w:sz w:val="24"/>
                <w:szCs w:val="24"/>
                <w:lang w:eastAsia="zh-CN"/>
              </w:rPr>
              <w:t>影响较小</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原则上</w:t>
            </w:r>
            <w:r>
              <w:rPr>
                <w:rFonts w:hint="default" w:ascii="Times New Roman" w:hAnsi="Times New Roman" w:eastAsia="宋体" w:cs="Times New Roman"/>
                <w:color w:val="auto"/>
                <w:sz w:val="24"/>
                <w:szCs w:val="24"/>
              </w:rPr>
              <w:t>可不开展地下水、土壤环境现状调查</w:t>
            </w:r>
            <w:r>
              <w:rPr>
                <w:rFonts w:hint="eastAsia" w:cs="Times New Roman"/>
                <w:b w:val="0"/>
                <w:bCs w:val="0"/>
                <w:sz w:val="24"/>
                <w:lang w:val="en-US" w:eastAsia="zh-CN"/>
              </w:rPr>
              <w:t>。</w:t>
            </w:r>
          </w:p>
          <w:p w14:paraId="11004CC9">
            <w:pPr>
              <w:pStyle w:val="2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5、生态环境</w:t>
            </w:r>
          </w:p>
          <w:p w14:paraId="199B32BF">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根据《建设项目环境影响报告表编制技术指南（污染影响类）（试行）》，本项目</w:t>
            </w:r>
            <w:r>
              <w:rPr>
                <w:rFonts w:hint="eastAsia" w:ascii="Times New Roman" w:hAnsi="Times New Roman" w:eastAsia="宋体" w:cs="Times New Roman"/>
                <w:color w:val="auto"/>
                <w:sz w:val="24"/>
                <w:szCs w:val="24"/>
                <w:lang w:val="en-US" w:eastAsia="zh-CN"/>
              </w:rPr>
              <w:t>不涉及新增用地</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故不</w:t>
            </w:r>
            <w:r>
              <w:rPr>
                <w:rFonts w:hint="default" w:ascii="Times New Roman" w:hAnsi="Times New Roman" w:eastAsia="宋体" w:cs="Times New Roman"/>
                <w:color w:val="auto"/>
                <w:sz w:val="24"/>
                <w:szCs w:val="24"/>
                <w:lang w:val="en-US" w:eastAsia="zh-CN"/>
              </w:rPr>
              <w:t>进行生态现状调查</w:t>
            </w:r>
            <w:r>
              <w:rPr>
                <w:rFonts w:hint="eastAsia" w:ascii="Times New Roman" w:hAnsi="Times New Roman" w:eastAsia="宋体" w:cs="Times New Roman"/>
                <w:color w:val="auto"/>
                <w:sz w:val="24"/>
                <w:szCs w:val="24"/>
                <w:lang w:val="en-US" w:eastAsia="zh-CN"/>
              </w:rPr>
              <w:t>。</w:t>
            </w:r>
          </w:p>
          <w:p w14:paraId="3B01F916">
            <w:pPr>
              <w:pStyle w:val="2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6、电磁辐射</w:t>
            </w:r>
          </w:p>
          <w:p w14:paraId="13233DA5">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不涉及。</w:t>
            </w:r>
          </w:p>
        </w:tc>
      </w:tr>
      <w:tr w14:paraId="4CA40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04" w:hRule="atLeast"/>
          <w:jc w:val="center"/>
        </w:trPr>
        <w:tc>
          <w:tcPr>
            <w:tcW w:w="520" w:type="dxa"/>
            <w:noWrap w:val="0"/>
            <w:vAlign w:val="center"/>
          </w:tcPr>
          <w:p w14:paraId="6A06E260">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14:paraId="44563BF6">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14:paraId="7D9A9BE5">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目标</w:t>
            </w:r>
          </w:p>
        </w:tc>
        <w:tc>
          <w:tcPr>
            <w:tcW w:w="8470" w:type="dxa"/>
            <w:noWrap w:val="0"/>
            <w:vAlign w:val="center"/>
          </w:tcPr>
          <w:p w14:paraId="73888F04">
            <w:pPr>
              <w:spacing w:line="360" w:lineRule="auto"/>
              <w:ind w:firstLine="480" w:firstLineChars="200"/>
              <w:jc w:val="left"/>
              <w:rPr>
                <w:rFonts w:hint="eastAsia"/>
                <w:b w:val="0"/>
                <w:bCs w:val="0"/>
                <w:sz w:val="24"/>
                <w:lang w:val="en-US" w:eastAsia="zh-CN"/>
              </w:rPr>
            </w:pPr>
            <w:r>
              <w:rPr>
                <w:rFonts w:hint="eastAsia"/>
                <w:b w:val="0"/>
                <w:bCs w:val="0"/>
                <w:sz w:val="24"/>
                <w:lang w:val="en-US" w:eastAsia="zh-CN"/>
              </w:rPr>
              <w:t>本项目具体环境保护范围及主要环境保护目标见下表及附图9。</w:t>
            </w:r>
          </w:p>
          <w:p w14:paraId="3B220097">
            <w:pPr>
              <w:spacing w:line="360" w:lineRule="auto"/>
              <w:jc w:val="left"/>
              <w:rPr>
                <w:rFonts w:hint="eastAsia"/>
                <w:b/>
                <w:sz w:val="24"/>
                <w:lang w:val="en-US" w:eastAsia="zh-CN"/>
              </w:rPr>
            </w:pPr>
            <w:r>
              <w:rPr>
                <w:rFonts w:hint="eastAsia"/>
                <w:b/>
                <w:bCs/>
                <w:sz w:val="24"/>
                <w:lang w:val="en-US" w:eastAsia="zh-CN"/>
              </w:rPr>
              <w:t>1</w:t>
            </w:r>
            <w:r>
              <w:rPr>
                <w:b/>
                <w:bCs/>
                <w:sz w:val="24"/>
              </w:rPr>
              <w:t>、</w:t>
            </w:r>
            <w:r>
              <w:rPr>
                <w:rFonts w:hint="eastAsia"/>
                <w:b/>
                <w:sz w:val="24"/>
                <w:lang w:val="en-US" w:eastAsia="zh-CN"/>
              </w:rPr>
              <w:t>大气环境</w:t>
            </w:r>
          </w:p>
          <w:p w14:paraId="52C73BE9">
            <w:pPr>
              <w:spacing w:line="360" w:lineRule="auto"/>
              <w:ind w:firstLine="480" w:firstLineChars="200"/>
              <w:jc w:val="left"/>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szCs w:val="24"/>
                <w:lang w:val="en-US" w:eastAsia="zh-CN"/>
              </w:rPr>
              <w:t>项目厂界外500米范围内有居住区等环境保护目标，具体见下表</w:t>
            </w:r>
            <w:r>
              <w:rPr>
                <w:rFonts w:hint="eastAsia" w:ascii="Times New Roman" w:hAnsi="Times New Roman" w:eastAsia="宋体" w:cs="Times New Roman"/>
                <w:b w:val="0"/>
                <w:bCs w:val="0"/>
                <w:sz w:val="24"/>
                <w:lang w:val="en-US" w:eastAsia="zh-CN"/>
              </w:rPr>
              <w:t>。</w:t>
            </w:r>
          </w:p>
          <w:p w14:paraId="2836DAB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宋体" w:hAnsi="宋体" w:eastAsia="宋体" w:cs="宋体"/>
                <w:b/>
                <w:bCs/>
                <w:sz w:val="22"/>
                <w:szCs w:val="22"/>
                <w:lang w:val="en-US" w:eastAsia="zh-CN"/>
              </w:rPr>
              <w:t>表</w:t>
            </w:r>
            <w:r>
              <w:rPr>
                <w:rFonts w:hint="eastAsia" w:cs="Times New Roman"/>
                <w:b/>
                <w:bCs/>
                <w:sz w:val="22"/>
                <w:szCs w:val="22"/>
                <w:lang w:val="en-US" w:eastAsia="zh-CN"/>
              </w:rPr>
              <w:t>3-7</w:t>
            </w:r>
            <w:r>
              <w:rPr>
                <w:rFonts w:hint="default" w:ascii="宋体" w:hAnsi="宋体" w:eastAsia="宋体" w:cs="宋体"/>
                <w:b/>
                <w:bCs/>
                <w:sz w:val="22"/>
                <w:szCs w:val="22"/>
                <w:lang w:val="en-US" w:eastAsia="zh-CN"/>
              </w:rPr>
              <w:t xml:space="preserve">  </w:t>
            </w:r>
            <w:r>
              <w:rPr>
                <w:rFonts w:hint="eastAsia" w:ascii="宋体" w:hAnsi="宋体" w:cs="宋体"/>
                <w:b/>
                <w:bCs/>
                <w:sz w:val="22"/>
                <w:szCs w:val="22"/>
                <w:lang w:val="en-US" w:eastAsia="zh-CN"/>
              </w:rPr>
              <w:t>大气环境保护目标</w:t>
            </w:r>
            <w:r>
              <w:rPr>
                <w:rFonts w:hint="default" w:ascii="Times New Roman" w:hAnsi="Times New Roman" w:eastAsia="宋体" w:cs="Times New Roman"/>
                <w:b/>
                <w:bCs/>
                <w:sz w:val="22"/>
                <w:szCs w:val="22"/>
                <w:lang w:val="en-US" w:eastAsia="zh-CN"/>
              </w:rPr>
              <w:t>一览表</w:t>
            </w:r>
          </w:p>
          <w:tbl>
            <w:tblPr>
              <w:tblStyle w:val="24"/>
              <w:tblW w:w="8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7"/>
              <w:gridCol w:w="1704"/>
              <w:gridCol w:w="1194"/>
              <w:gridCol w:w="1333"/>
              <w:gridCol w:w="1379"/>
              <w:gridCol w:w="1397"/>
            </w:tblGrid>
            <w:tr w14:paraId="764C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698" w:type="pct"/>
                  <w:tcBorders>
                    <w:tl2br w:val="nil"/>
                    <w:tr2bl w:val="nil"/>
                  </w:tcBorders>
                  <w:noWrap/>
                  <w:tcMar>
                    <w:top w:w="57" w:type="dxa"/>
                    <w:left w:w="57" w:type="dxa"/>
                    <w:bottom w:w="57" w:type="dxa"/>
                    <w:right w:w="57" w:type="dxa"/>
                  </w:tcMar>
                  <w:vAlign w:val="center"/>
                </w:tcPr>
                <w:p w14:paraId="0DD9EC3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1"/>
                      <w:szCs w:val="21"/>
                      <w:highlight w:val="none"/>
                      <w:lang w:val="en-US" w:eastAsia="zh-CN"/>
                    </w:rPr>
                  </w:pPr>
                  <w:r>
                    <w:rPr>
                      <w:rFonts w:hint="eastAsia" w:ascii="Times New Roman" w:hAnsi="Times New Roman" w:eastAsia="宋体" w:cs="Times New Roman"/>
                      <w:b/>
                      <w:bCs/>
                      <w:color w:val="000000"/>
                      <w:kern w:val="2"/>
                      <w:sz w:val="21"/>
                      <w:szCs w:val="21"/>
                      <w:highlight w:val="none"/>
                      <w:lang w:val="en-US" w:eastAsia="zh-CN"/>
                    </w:rPr>
                    <w:t>名称</w:t>
                  </w:r>
                </w:p>
              </w:tc>
              <w:tc>
                <w:tcPr>
                  <w:tcW w:w="1046" w:type="pct"/>
                  <w:tcBorders>
                    <w:tl2br w:val="nil"/>
                    <w:tr2bl w:val="nil"/>
                  </w:tcBorders>
                  <w:noWrap/>
                  <w:tcMar>
                    <w:top w:w="57" w:type="dxa"/>
                    <w:left w:w="57" w:type="dxa"/>
                    <w:bottom w:w="57" w:type="dxa"/>
                    <w:right w:w="57" w:type="dxa"/>
                  </w:tcMar>
                  <w:vAlign w:val="center"/>
                </w:tcPr>
                <w:p w14:paraId="14BEE2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eastAsia" w:cs="Times New Roman"/>
                      <w:b/>
                      <w:bCs/>
                      <w:color w:val="000000"/>
                      <w:kern w:val="2"/>
                      <w:sz w:val="21"/>
                      <w:szCs w:val="21"/>
                      <w:highlight w:val="none"/>
                      <w:lang w:val="en-US" w:eastAsia="zh-CN"/>
                    </w:rPr>
                    <w:t>规模</w:t>
                  </w:r>
                </w:p>
              </w:tc>
              <w:tc>
                <w:tcPr>
                  <w:tcW w:w="733" w:type="pct"/>
                  <w:tcBorders>
                    <w:tl2br w:val="nil"/>
                    <w:tr2bl w:val="nil"/>
                  </w:tcBorders>
                  <w:shd w:val="clear" w:color="auto" w:fill="auto"/>
                  <w:noWrap/>
                  <w:tcMar>
                    <w:top w:w="57" w:type="dxa"/>
                    <w:left w:w="57" w:type="dxa"/>
                    <w:bottom w:w="57" w:type="dxa"/>
                    <w:right w:w="57" w:type="dxa"/>
                  </w:tcMar>
                  <w:vAlign w:val="center"/>
                </w:tcPr>
                <w:p w14:paraId="0F8684A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1"/>
                      <w:szCs w:val="21"/>
                      <w:highlight w:val="none"/>
                      <w:lang w:val="en-US" w:eastAsia="zh-CN"/>
                    </w:rPr>
                  </w:pPr>
                  <w:r>
                    <w:rPr>
                      <w:rFonts w:hint="default" w:ascii="宋体" w:hAnsi="宋体" w:eastAsia="宋体" w:cs="宋体"/>
                      <w:b/>
                      <w:bCs/>
                      <w:color w:val="000000"/>
                      <w:kern w:val="2"/>
                      <w:sz w:val="21"/>
                      <w:szCs w:val="21"/>
                      <w:highlight w:val="none"/>
                      <w:lang w:val="en-US" w:eastAsia="zh-CN"/>
                    </w:rPr>
                    <w:t>保护内容</w:t>
                  </w:r>
                </w:p>
              </w:tc>
              <w:tc>
                <w:tcPr>
                  <w:tcW w:w="818" w:type="pct"/>
                  <w:tcBorders>
                    <w:tl2br w:val="nil"/>
                    <w:tr2bl w:val="nil"/>
                  </w:tcBorders>
                  <w:shd w:val="clear" w:color="auto" w:fill="auto"/>
                  <w:noWrap/>
                  <w:tcMar>
                    <w:top w:w="57" w:type="dxa"/>
                    <w:left w:w="57" w:type="dxa"/>
                    <w:bottom w:w="57" w:type="dxa"/>
                    <w:right w:w="57" w:type="dxa"/>
                  </w:tcMar>
                  <w:vAlign w:val="center"/>
                </w:tcPr>
                <w:p w14:paraId="38178D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1"/>
                      <w:szCs w:val="21"/>
                      <w:highlight w:val="none"/>
                      <w:lang w:val="en-US" w:eastAsia="zh-CN"/>
                    </w:rPr>
                  </w:pPr>
                  <w:r>
                    <w:rPr>
                      <w:rFonts w:hint="default" w:ascii="宋体" w:hAnsi="宋体" w:eastAsia="宋体" w:cs="宋体"/>
                      <w:b/>
                      <w:bCs/>
                      <w:color w:val="000000"/>
                      <w:kern w:val="2"/>
                      <w:sz w:val="21"/>
                      <w:szCs w:val="21"/>
                      <w:highlight w:val="none"/>
                      <w:lang w:val="en-US" w:eastAsia="zh-CN"/>
                    </w:rPr>
                    <w:t>环境功能区</w:t>
                  </w:r>
                </w:p>
              </w:tc>
              <w:tc>
                <w:tcPr>
                  <w:tcW w:w="846" w:type="pct"/>
                  <w:tcBorders>
                    <w:tl2br w:val="nil"/>
                    <w:tr2bl w:val="nil"/>
                  </w:tcBorders>
                  <w:shd w:val="clear" w:color="auto" w:fill="auto"/>
                  <w:noWrap/>
                  <w:tcMar>
                    <w:top w:w="57" w:type="dxa"/>
                    <w:left w:w="57" w:type="dxa"/>
                    <w:bottom w:w="57" w:type="dxa"/>
                    <w:right w:w="57" w:type="dxa"/>
                  </w:tcMar>
                  <w:vAlign w:val="center"/>
                </w:tcPr>
                <w:p w14:paraId="76A049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1"/>
                      <w:szCs w:val="21"/>
                      <w:highlight w:val="none"/>
                      <w:lang w:val="en-US" w:eastAsia="zh-CN"/>
                    </w:rPr>
                  </w:pPr>
                  <w:r>
                    <w:rPr>
                      <w:rFonts w:hint="default" w:ascii="宋体" w:hAnsi="宋体" w:eastAsia="宋体" w:cs="宋体"/>
                      <w:b/>
                      <w:bCs/>
                      <w:color w:val="000000"/>
                      <w:kern w:val="2"/>
                      <w:sz w:val="21"/>
                      <w:szCs w:val="21"/>
                      <w:highlight w:val="none"/>
                      <w:lang w:val="en-US" w:eastAsia="zh-CN"/>
                    </w:rPr>
                    <w:t>相对厂址方位</w:t>
                  </w:r>
                </w:p>
              </w:tc>
              <w:tc>
                <w:tcPr>
                  <w:tcW w:w="857" w:type="pct"/>
                  <w:tcBorders>
                    <w:tl2br w:val="nil"/>
                    <w:tr2bl w:val="nil"/>
                  </w:tcBorders>
                  <w:shd w:val="clear" w:color="auto" w:fill="auto"/>
                  <w:noWrap/>
                  <w:tcMar>
                    <w:top w:w="57" w:type="dxa"/>
                    <w:left w:w="57" w:type="dxa"/>
                    <w:bottom w:w="57" w:type="dxa"/>
                    <w:right w:w="57" w:type="dxa"/>
                  </w:tcMar>
                  <w:vAlign w:val="center"/>
                </w:tcPr>
                <w:p w14:paraId="1C2B47F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b/>
                      <w:bCs/>
                      <w:color w:val="000000"/>
                      <w:kern w:val="2"/>
                      <w:sz w:val="21"/>
                      <w:szCs w:val="21"/>
                      <w:highlight w:val="none"/>
                      <w:lang w:val="en-US" w:eastAsia="zh-CN"/>
                    </w:rPr>
                  </w:pPr>
                  <w:r>
                    <w:rPr>
                      <w:rFonts w:hint="default" w:ascii="宋体" w:hAnsi="宋体" w:eastAsia="宋体" w:cs="宋体"/>
                      <w:b/>
                      <w:bCs/>
                      <w:color w:val="000000"/>
                      <w:kern w:val="2"/>
                      <w:sz w:val="21"/>
                      <w:szCs w:val="21"/>
                      <w:highlight w:val="none"/>
                      <w:lang w:val="en-US" w:eastAsia="zh-CN"/>
                    </w:rPr>
                    <w:t>距厂界距离</w:t>
                  </w:r>
                  <w:r>
                    <w:rPr>
                      <w:rFonts w:hint="default" w:ascii="Times New Roman" w:hAnsi="Times New Roman" w:eastAsia="宋体" w:cs="Times New Roman"/>
                      <w:b/>
                      <w:bCs/>
                      <w:color w:val="000000"/>
                      <w:kern w:val="2"/>
                      <w:sz w:val="21"/>
                      <w:szCs w:val="21"/>
                      <w:highlight w:val="none"/>
                      <w:lang w:val="en-US" w:eastAsia="zh-CN"/>
                    </w:rPr>
                    <w:t>m</w:t>
                  </w:r>
                </w:p>
              </w:tc>
            </w:tr>
            <w:tr w14:paraId="424C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8" w:type="pct"/>
                  <w:tcBorders>
                    <w:tl2br w:val="nil"/>
                    <w:tr2bl w:val="nil"/>
                  </w:tcBorders>
                  <w:noWrap/>
                  <w:tcMar>
                    <w:top w:w="57" w:type="dxa"/>
                    <w:left w:w="57" w:type="dxa"/>
                    <w:bottom w:w="57" w:type="dxa"/>
                    <w:right w:w="57" w:type="dxa"/>
                  </w:tcMar>
                  <w:vAlign w:val="center"/>
                </w:tcPr>
                <w:p w14:paraId="517499D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纵楼</w:t>
                  </w:r>
                </w:p>
              </w:tc>
              <w:tc>
                <w:tcPr>
                  <w:tcW w:w="1046" w:type="pct"/>
                  <w:tcBorders>
                    <w:tl2br w:val="nil"/>
                    <w:tr2bl w:val="nil"/>
                  </w:tcBorders>
                  <w:noWrap/>
                  <w:tcMar>
                    <w:top w:w="57" w:type="dxa"/>
                    <w:left w:w="57" w:type="dxa"/>
                    <w:bottom w:w="57" w:type="dxa"/>
                    <w:right w:w="57" w:type="dxa"/>
                  </w:tcMar>
                  <w:vAlign w:val="center"/>
                </w:tcPr>
                <w:p w14:paraId="23ECEBCD">
                  <w:pPr>
                    <w:widowControl/>
                    <w:spacing w:line="240" w:lineRule="auto"/>
                    <w:ind w:firstLine="0" w:firstLineChars="0"/>
                    <w:jc w:val="center"/>
                    <w:rPr>
                      <w:rFonts w:hint="default" w:ascii="Times New Roman" w:hAnsi="Times New Roman" w:eastAsia="宋体" w:cs="Times New Roman"/>
                      <w:b w:val="0"/>
                      <w:bCs w:val="0"/>
                      <w:sz w:val="21"/>
                      <w:szCs w:val="21"/>
                      <w:lang w:val="en-US" w:eastAsia="zh-CN"/>
                    </w:rPr>
                  </w:pPr>
                  <w:r>
                    <w:rPr>
                      <w:rFonts w:hint="eastAsia" w:eastAsiaTheme="minorEastAsia"/>
                      <w:kern w:val="0"/>
                      <w:sz w:val="21"/>
                      <w:szCs w:val="21"/>
                      <w:lang w:val="en-US" w:eastAsia="zh-CN"/>
                    </w:rPr>
                    <w:t>10</w:t>
                  </w:r>
                  <w:r>
                    <w:rPr>
                      <w:rFonts w:eastAsiaTheme="minorEastAsia"/>
                      <w:kern w:val="0"/>
                      <w:sz w:val="21"/>
                      <w:szCs w:val="21"/>
                    </w:rPr>
                    <w:t>户/</w:t>
                  </w:r>
                  <w:r>
                    <w:rPr>
                      <w:rFonts w:hint="eastAsia" w:eastAsiaTheme="minorEastAsia"/>
                      <w:kern w:val="0"/>
                      <w:sz w:val="21"/>
                      <w:szCs w:val="21"/>
                      <w:lang w:val="en-US" w:eastAsia="zh-CN"/>
                    </w:rPr>
                    <w:t>25</w:t>
                  </w:r>
                  <w:r>
                    <w:rPr>
                      <w:rFonts w:eastAsiaTheme="minorEastAsia"/>
                      <w:kern w:val="0"/>
                      <w:sz w:val="21"/>
                      <w:szCs w:val="21"/>
                    </w:rPr>
                    <w:t>人</w:t>
                  </w:r>
                </w:p>
              </w:tc>
              <w:tc>
                <w:tcPr>
                  <w:tcW w:w="733" w:type="pct"/>
                  <w:tcBorders>
                    <w:tl2br w:val="nil"/>
                    <w:tr2bl w:val="nil"/>
                  </w:tcBorders>
                  <w:noWrap/>
                  <w:tcMar>
                    <w:top w:w="57" w:type="dxa"/>
                    <w:left w:w="57" w:type="dxa"/>
                    <w:bottom w:w="57" w:type="dxa"/>
                    <w:right w:w="57" w:type="dxa"/>
                  </w:tcMar>
                  <w:vAlign w:val="center"/>
                </w:tcPr>
                <w:p w14:paraId="504381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住户</w:t>
                  </w:r>
                </w:p>
              </w:tc>
              <w:tc>
                <w:tcPr>
                  <w:tcW w:w="818" w:type="pct"/>
                  <w:tcBorders>
                    <w:tl2br w:val="nil"/>
                    <w:tr2bl w:val="nil"/>
                  </w:tcBorders>
                  <w:noWrap/>
                  <w:tcMar>
                    <w:top w:w="57" w:type="dxa"/>
                    <w:left w:w="57" w:type="dxa"/>
                    <w:bottom w:w="57" w:type="dxa"/>
                    <w:right w:w="57" w:type="dxa"/>
                  </w:tcMar>
                  <w:vAlign w:val="center"/>
                </w:tcPr>
                <w:p w14:paraId="162CC7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二类区</w:t>
                  </w:r>
                </w:p>
              </w:tc>
              <w:tc>
                <w:tcPr>
                  <w:tcW w:w="846" w:type="pct"/>
                  <w:tcBorders>
                    <w:tl2br w:val="nil"/>
                    <w:tr2bl w:val="nil"/>
                  </w:tcBorders>
                  <w:noWrap/>
                  <w:tcMar>
                    <w:top w:w="57" w:type="dxa"/>
                    <w:left w:w="57" w:type="dxa"/>
                    <w:bottom w:w="57" w:type="dxa"/>
                    <w:right w:w="57" w:type="dxa"/>
                  </w:tcMar>
                  <w:vAlign w:val="center"/>
                </w:tcPr>
                <w:p w14:paraId="1A01B3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N</w:t>
                  </w:r>
                </w:p>
              </w:tc>
              <w:tc>
                <w:tcPr>
                  <w:tcW w:w="857" w:type="pct"/>
                  <w:tcBorders>
                    <w:tl2br w:val="nil"/>
                    <w:tr2bl w:val="nil"/>
                  </w:tcBorders>
                  <w:noWrap/>
                  <w:tcMar>
                    <w:top w:w="57" w:type="dxa"/>
                    <w:left w:w="57" w:type="dxa"/>
                    <w:bottom w:w="57" w:type="dxa"/>
                    <w:right w:w="57" w:type="dxa"/>
                  </w:tcMar>
                  <w:vAlign w:val="center"/>
                </w:tcPr>
                <w:p w14:paraId="73D111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15</w:t>
                  </w:r>
                </w:p>
              </w:tc>
            </w:tr>
            <w:tr w14:paraId="4AEF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8" w:type="pct"/>
                  <w:tcBorders>
                    <w:tl2br w:val="nil"/>
                    <w:tr2bl w:val="nil"/>
                  </w:tcBorders>
                  <w:noWrap/>
                  <w:tcMar>
                    <w:top w:w="57" w:type="dxa"/>
                    <w:left w:w="57" w:type="dxa"/>
                    <w:bottom w:w="57" w:type="dxa"/>
                    <w:right w:w="57" w:type="dxa"/>
                  </w:tcMar>
                  <w:vAlign w:val="center"/>
                </w:tcPr>
                <w:p w14:paraId="4EA9E0B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刘楼村</w:t>
                  </w:r>
                </w:p>
              </w:tc>
              <w:tc>
                <w:tcPr>
                  <w:tcW w:w="1046" w:type="pct"/>
                  <w:tcBorders>
                    <w:tl2br w:val="nil"/>
                    <w:tr2bl w:val="nil"/>
                  </w:tcBorders>
                  <w:noWrap/>
                  <w:tcMar>
                    <w:top w:w="57" w:type="dxa"/>
                    <w:left w:w="57" w:type="dxa"/>
                    <w:bottom w:w="57" w:type="dxa"/>
                    <w:right w:w="57" w:type="dxa"/>
                  </w:tcMar>
                  <w:vAlign w:val="center"/>
                </w:tcPr>
                <w:p w14:paraId="3D834E7A">
                  <w:pPr>
                    <w:widowControl/>
                    <w:spacing w:line="240" w:lineRule="auto"/>
                    <w:ind w:firstLine="0" w:firstLineChars="0"/>
                    <w:jc w:val="center"/>
                    <w:rPr>
                      <w:rFonts w:hint="default" w:eastAsiaTheme="minorEastAsia"/>
                      <w:kern w:val="0"/>
                      <w:sz w:val="21"/>
                      <w:szCs w:val="21"/>
                      <w:lang w:val="en-US" w:eastAsia="zh-CN"/>
                    </w:rPr>
                  </w:pPr>
                  <w:r>
                    <w:rPr>
                      <w:rFonts w:hint="eastAsia" w:eastAsiaTheme="minorEastAsia"/>
                      <w:kern w:val="0"/>
                      <w:sz w:val="21"/>
                      <w:szCs w:val="21"/>
                      <w:lang w:val="en-US" w:eastAsia="zh-CN"/>
                    </w:rPr>
                    <w:t>535</w:t>
                  </w:r>
                  <w:r>
                    <w:rPr>
                      <w:rFonts w:eastAsiaTheme="minorEastAsia"/>
                      <w:kern w:val="0"/>
                      <w:sz w:val="21"/>
                      <w:szCs w:val="21"/>
                    </w:rPr>
                    <w:t>户/</w:t>
                  </w:r>
                  <w:r>
                    <w:rPr>
                      <w:rFonts w:hint="eastAsia" w:eastAsiaTheme="minorEastAsia"/>
                      <w:kern w:val="0"/>
                      <w:sz w:val="21"/>
                      <w:szCs w:val="21"/>
                      <w:lang w:val="en-US" w:eastAsia="zh-CN"/>
                    </w:rPr>
                    <w:t>2316</w:t>
                  </w:r>
                  <w:r>
                    <w:rPr>
                      <w:rFonts w:eastAsiaTheme="minorEastAsia"/>
                      <w:kern w:val="0"/>
                      <w:sz w:val="21"/>
                      <w:szCs w:val="21"/>
                    </w:rPr>
                    <w:t>人</w:t>
                  </w:r>
                </w:p>
              </w:tc>
              <w:tc>
                <w:tcPr>
                  <w:tcW w:w="733" w:type="pct"/>
                  <w:tcBorders>
                    <w:tl2br w:val="nil"/>
                    <w:tr2bl w:val="nil"/>
                  </w:tcBorders>
                  <w:noWrap/>
                  <w:tcMar>
                    <w:top w:w="57" w:type="dxa"/>
                    <w:left w:w="57" w:type="dxa"/>
                    <w:bottom w:w="57" w:type="dxa"/>
                    <w:right w:w="57" w:type="dxa"/>
                  </w:tcMar>
                  <w:vAlign w:val="center"/>
                </w:tcPr>
                <w:p w14:paraId="076B67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住户</w:t>
                  </w:r>
                </w:p>
              </w:tc>
              <w:tc>
                <w:tcPr>
                  <w:tcW w:w="818" w:type="pct"/>
                  <w:tcBorders>
                    <w:tl2br w:val="nil"/>
                    <w:tr2bl w:val="nil"/>
                  </w:tcBorders>
                  <w:noWrap/>
                  <w:tcMar>
                    <w:top w:w="57" w:type="dxa"/>
                    <w:left w:w="57" w:type="dxa"/>
                    <w:bottom w:w="57" w:type="dxa"/>
                    <w:right w:w="57" w:type="dxa"/>
                  </w:tcMar>
                  <w:vAlign w:val="center"/>
                </w:tcPr>
                <w:p w14:paraId="2A9CA69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二类区</w:t>
                  </w:r>
                </w:p>
              </w:tc>
              <w:tc>
                <w:tcPr>
                  <w:tcW w:w="846" w:type="pct"/>
                  <w:tcBorders>
                    <w:tl2br w:val="nil"/>
                    <w:tr2bl w:val="nil"/>
                  </w:tcBorders>
                  <w:noWrap/>
                  <w:tcMar>
                    <w:top w:w="57" w:type="dxa"/>
                    <w:left w:w="57" w:type="dxa"/>
                    <w:bottom w:w="57" w:type="dxa"/>
                    <w:right w:w="57" w:type="dxa"/>
                  </w:tcMar>
                  <w:vAlign w:val="center"/>
                </w:tcPr>
                <w:p w14:paraId="4FC03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lang w:val="en-US" w:eastAsia="zh-CN"/>
                    </w:rPr>
                  </w:pPr>
                  <w:r>
                    <w:rPr>
                      <w:rFonts w:hint="eastAsia" w:cs="Times New Roman"/>
                      <w:b w:val="0"/>
                      <w:bCs w:val="0"/>
                      <w:sz w:val="21"/>
                      <w:szCs w:val="21"/>
                      <w:lang w:val="en-US" w:eastAsia="zh-CN"/>
                    </w:rPr>
                    <w:t>S</w:t>
                  </w:r>
                </w:p>
              </w:tc>
              <w:tc>
                <w:tcPr>
                  <w:tcW w:w="857" w:type="pct"/>
                  <w:tcBorders>
                    <w:tl2br w:val="nil"/>
                    <w:tr2bl w:val="nil"/>
                  </w:tcBorders>
                  <w:noWrap/>
                  <w:tcMar>
                    <w:top w:w="57" w:type="dxa"/>
                    <w:left w:w="57" w:type="dxa"/>
                    <w:bottom w:w="57" w:type="dxa"/>
                    <w:right w:w="57" w:type="dxa"/>
                  </w:tcMar>
                  <w:vAlign w:val="center"/>
                </w:tcPr>
                <w:p w14:paraId="7451F3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lang w:val="en-US" w:eastAsia="zh-CN"/>
                    </w:rPr>
                  </w:pPr>
                  <w:r>
                    <w:rPr>
                      <w:rFonts w:hint="eastAsia" w:cs="Times New Roman"/>
                      <w:b w:val="0"/>
                      <w:bCs w:val="0"/>
                      <w:sz w:val="21"/>
                      <w:szCs w:val="21"/>
                      <w:lang w:val="en-US" w:eastAsia="zh-CN"/>
                    </w:rPr>
                    <w:t>280</w:t>
                  </w:r>
                </w:p>
              </w:tc>
            </w:tr>
            <w:tr w14:paraId="72D9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8" w:type="pct"/>
                  <w:tcBorders>
                    <w:tl2br w:val="nil"/>
                    <w:tr2bl w:val="nil"/>
                  </w:tcBorders>
                  <w:noWrap/>
                  <w:tcMar>
                    <w:top w:w="57" w:type="dxa"/>
                    <w:left w:w="57" w:type="dxa"/>
                    <w:bottom w:w="57" w:type="dxa"/>
                    <w:right w:w="57" w:type="dxa"/>
                  </w:tcMar>
                  <w:vAlign w:val="center"/>
                </w:tcPr>
                <w:p w14:paraId="7926761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宋体" w:hAnsi="宋体" w:cs="宋体"/>
                      <w:color w:val="000000"/>
                      <w:kern w:val="2"/>
                      <w:sz w:val="21"/>
                      <w:szCs w:val="21"/>
                      <w:highlight w:val="none"/>
                      <w:lang w:val="en-US" w:eastAsia="zh-CN"/>
                    </w:rPr>
                  </w:pPr>
                  <w:r>
                    <w:rPr>
                      <w:rFonts w:hint="eastAsia" w:ascii="宋体" w:hAnsi="宋体" w:cs="宋体"/>
                      <w:color w:val="000000"/>
                      <w:kern w:val="2"/>
                      <w:sz w:val="21"/>
                      <w:szCs w:val="21"/>
                      <w:highlight w:val="none"/>
                      <w:lang w:val="en-US" w:eastAsia="zh-CN"/>
                    </w:rPr>
                    <w:t>孟镇寺</w:t>
                  </w:r>
                </w:p>
              </w:tc>
              <w:tc>
                <w:tcPr>
                  <w:tcW w:w="1046" w:type="pct"/>
                  <w:tcBorders>
                    <w:tl2br w:val="nil"/>
                    <w:tr2bl w:val="nil"/>
                  </w:tcBorders>
                  <w:noWrap/>
                  <w:tcMar>
                    <w:top w:w="57" w:type="dxa"/>
                    <w:left w:w="57" w:type="dxa"/>
                    <w:bottom w:w="57" w:type="dxa"/>
                    <w:right w:w="57" w:type="dxa"/>
                  </w:tcMar>
                  <w:vAlign w:val="center"/>
                </w:tcPr>
                <w:p w14:paraId="2C2E1E05">
                  <w:pPr>
                    <w:widowControl/>
                    <w:spacing w:line="240" w:lineRule="auto"/>
                    <w:ind w:firstLine="0" w:firstLineChars="0"/>
                    <w:jc w:val="center"/>
                    <w:rPr>
                      <w:rFonts w:hint="default" w:eastAsiaTheme="minorEastAsia"/>
                      <w:kern w:val="0"/>
                      <w:sz w:val="21"/>
                      <w:szCs w:val="21"/>
                      <w:lang w:val="en-US" w:eastAsia="zh-CN"/>
                    </w:rPr>
                  </w:pPr>
                  <w:r>
                    <w:rPr>
                      <w:rFonts w:hint="eastAsia" w:eastAsiaTheme="minorEastAsia"/>
                      <w:kern w:val="0"/>
                      <w:sz w:val="21"/>
                      <w:szCs w:val="21"/>
                      <w:lang w:val="en-US" w:eastAsia="zh-CN"/>
                    </w:rPr>
                    <w:t>952</w:t>
                  </w:r>
                  <w:r>
                    <w:rPr>
                      <w:rFonts w:eastAsiaTheme="minorEastAsia"/>
                      <w:kern w:val="0"/>
                      <w:sz w:val="21"/>
                      <w:szCs w:val="21"/>
                    </w:rPr>
                    <w:t>户/</w:t>
                  </w:r>
                  <w:r>
                    <w:rPr>
                      <w:rFonts w:hint="eastAsia" w:eastAsiaTheme="minorEastAsia"/>
                      <w:kern w:val="0"/>
                      <w:sz w:val="21"/>
                      <w:szCs w:val="21"/>
                      <w:lang w:val="en-US" w:eastAsia="zh-CN"/>
                    </w:rPr>
                    <w:t>514</w:t>
                  </w:r>
                  <w:r>
                    <w:rPr>
                      <w:rFonts w:eastAsiaTheme="minorEastAsia"/>
                      <w:kern w:val="0"/>
                      <w:sz w:val="21"/>
                      <w:szCs w:val="21"/>
                    </w:rPr>
                    <w:t>8人</w:t>
                  </w:r>
                </w:p>
              </w:tc>
              <w:tc>
                <w:tcPr>
                  <w:tcW w:w="733" w:type="pct"/>
                  <w:tcBorders>
                    <w:tl2br w:val="nil"/>
                    <w:tr2bl w:val="nil"/>
                  </w:tcBorders>
                  <w:noWrap/>
                  <w:tcMar>
                    <w:top w:w="57" w:type="dxa"/>
                    <w:left w:w="57" w:type="dxa"/>
                    <w:bottom w:w="57" w:type="dxa"/>
                    <w:right w:w="57" w:type="dxa"/>
                  </w:tcMar>
                  <w:vAlign w:val="center"/>
                </w:tcPr>
                <w:p w14:paraId="5A30E5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住户</w:t>
                  </w:r>
                </w:p>
              </w:tc>
              <w:tc>
                <w:tcPr>
                  <w:tcW w:w="818" w:type="pct"/>
                  <w:tcBorders>
                    <w:tl2br w:val="nil"/>
                    <w:tr2bl w:val="nil"/>
                  </w:tcBorders>
                  <w:noWrap/>
                  <w:tcMar>
                    <w:top w:w="57" w:type="dxa"/>
                    <w:left w:w="57" w:type="dxa"/>
                    <w:bottom w:w="57" w:type="dxa"/>
                    <w:right w:w="57" w:type="dxa"/>
                  </w:tcMar>
                  <w:vAlign w:val="center"/>
                </w:tcPr>
                <w:p w14:paraId="6DB708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二类区</w:t>
                  </w:r>
                </w:p>
              </w:tc>
              <w:tc>
                <w:tcPr>
                  <w:tcW w:w="846" w:type="pct"/>
                  <w:tcBorders>
                    <w:tl2br w:val="nil"/>
                    <w:tr2bl w:val="nil"/>
                  </w:tcBorders>
                  <w:noWrap/>
                  <w:tcMar>
                    <w:top w:w="57" w:type="dxa"/>
                    <w:left w:w="57" w:type="dxa"/>
                    <w:bottom w:w="57" w:type="dxa"/>
                    <w:right w:w="57" w:type="dxa"/>
                  </w:tcMar>
                  <w:vAlign w:val="center"/>
                </w:tcPr>
                <w:p w14:paraId="7DBC2D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lang w:val="en-US" w:eastAsia="zh-CN"/>
                    </w:rPr>
                  </w:pPr>
                  <w:r>
                    <w:rPr>
                      <w:rFonts w:hint="eastAsia" w:cs="Times New Roman"/>
                      <w:b w:val="0"/>
                      <w:bCs w:val="0"/>
                      <w:sz w:val="21"/>
                      <w:szCs w:val="21"/>
                      <w:lang w:val="en-US" w:eastAsia="zh-CN"/>
                    </w:rPr>
                    <w:t>SE</w:t>
                  </w:r>
                </w:p>
              </w:tc>
              <w:tc>
                <w:tcPr>
                  <w:tcW w:w="857" w:type="pct"/>
                  <w:tcBorders>
                    <w:tl2br w:val="nil"/>
                    <w:tr2bl w:val="nil"/>
                  </w:tcBorders>
                  <w:noWrap/>
                  <w:tcMar>
                    <w:top w:w="57" w:type="dxa"/>
                    <w:left w:w="57" w:type="dxa"/>
                    <w:bottom w:w="57" w:type="dxa"/>
                    <w:right w:w="57" w:type="dxa"/>
                  </w:tcMar>
                  <w:vAlign w:val="center"/>
                </w:tcPr>
                <w:p w14:paraId="76BDD1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sz w:val="21"/>
                      <w:szCs w:val="21"/>
                      <w:lang w:val="en-US" w:eastAsia="zh-CN"/>
                    </w:rPr>
                  </w:pPr>
                  <w:r>
                    <w:rPr>
                      <w:rFonts w:hint="eastAsia" w:cs="Times New Roman"/>
                      <w:b w:val="0"/>
                      <w:bCs w:val="0"/>
                      <w:sz w:val="21"/>
                      <w:szCs w:val="21"/>
                      <w:lang w:val="en-US" w:eastAsia="zh-CN"/>
                    </w:rPr>
                    <w:t>420</w:t>
                  </w:r>
                </w:p>
              </w:tc>
            </w:tr>
          </w:tbl>
          <w:p w14:paraId="0D467F5E">
            <w:pPr>
              <w:bidi w:val="0"/>
              <w:rPr>
                <w:rFonts w:hint="eastAsia"/>
                <w:lang w:val="en-US" w:eastAsia="zh-CN"/>
              </w:rPr>
            </w:pPr>
          </w:p>
          <w:p w14:paraId="5831BA84">
            <w:pPr>
              <w:spacing w:line="360" w:lineRule="auto"/>
              <w:jc w:val="left"/>
              <w:rPr>
                <w:rFonts w:hint="eastAsia"/>
                <w:b/>
                <w:sz w:val="24"/>
                <w:lang w:val="en-US" w:eastAsia="zh-CN"/>
              </w:rPr>
            </w:pPr>
            <w:r>
              <w:rPr>
                <w:rFonts w:hint="eastAsia"/>
                <w:b/>
                <w:bCs/>
                <w:sz w:val="24"/>
                <w:lang w:val="en-US" w:eastAsia="zh-CN"/>
              </w:rPr>
              <w:t>2</w:t>
            </w:r>
            <w:r>
              <w:rPr>
                <w:b/>
                <w:bCs/>
                <w:sz w:val="24"/>
              </w:rPr>
              <w:t>、</w:t>
            </w:r>
            <w:r>
              <w:rPr>
                <w:rFonts w:hint="eastAsia"/>
                <w:b/>
                <w:sz w:val="24"/>
                <w:lang w:val="en-US" w:eastAsia="zh-CN"/>
              </w:rPr>
              <w:t>声环境</w:t>
            </w:r>
          </w:p>
          <w:p w14:paraId="7F93FC27">
            <w:pPr>
              <w:spacing w:line="360" w:lineRule="auto"/>
              <w:ind w:firstLine="480" w:firstLineChars="200"/>
              <w:jc w:val="left"/>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项目厂界外50米范围内有</w:t>
            </w:r>
            <w:r>
              <w:rPr>
                <w:rFonts w:hint="eastAsia" w:cs="Times New Roman"/>
                <w:b w:val="0"/>
                <w:bCs w:val="0"/>
                <w:sz w:val="24"/>
                <w:lang w:val="en-US" w:eastAsia="zh-CN"/>
              </w:rPr>
              <w:t>声</w:t>
            </w:r>
            <w:r>
              <w:rPr>
                <w:rFonts w:hint="eastAsia" w:ascii="Times New Roman" w:hAnsi="Times New Roman" w:eastAsia="宋体" w:cs="Times New Roman"/>
                <w:b w:val="0"/>
                <w:bCs w:val="0"/>
                <w:sz w:val="24"/>
                <w:lang w:val="en-US" w:eastAsia="zh-CN"/>
              </w:rPr>
              <w:t>环境保护目标，具体见下表。</w:t>
            </w:r>
          </w:p>
          <w:p w14:paraId="7B717406">
            <w:pPr>
              <w:keepNext w:val="0"/>
              <w:keepLines w:val="0"/>
              <w:pageBreakBefore w:val="0"/>
              <w:widowControl w:val="0"/>
              <w:kinsoku/>
              <w:wordWrap/>
              <w:overflowPunct/>
              <w:topLinePunct w:val="0"/>
              <w:autoSpaceDE/>
              <w:autoSpaceDN/>
              <w:bidi w:val="0"/>
              <w:adjustRightInd w:val="0"/>
              <w:snapToGrid w:val="0"/>
              <w:spacing w:line="240" w:lineRule="auto"/>
              <w:ind w:firstLine="221" w:firstLineChars="100"/>
              <w:jc w:val="center"/>
              <w:textAlignment w:val="auto"/>
              <w:rPr>
                <w:rFonts w:hint="default" w:ascii="宋体" w:hAnsi="宋体" w:eastAsia="宋体" w:cs="宋体"/>
                <w:b/>
                <w:bCs/>
                <w:sz w:val="22"/>
                <w:szCs w:val="22"/>
                <w:highlight w:val="none"/>
                <w:lang w:val="en-US" w:eastAsia="zh-CN"/>
              </w:rPr>
            </w:pPr>
            <w:r>
              <w:rPr>
                <w:rFonts w:hint="default" w:ascii="宋体" w:hAnsi="宋体" w:eastAsia="宋体" w:cs="宋体"/>
                <w:b/>
                <w:bCs/>
                <w:sz w:val="22"/>
                <w:szCs w:val="22"/>
                <w:highlight w:val="none"/>
                <w:lang w:val="en-US" w:eastAsia="zh-CN"/>
              </w:rPr>
              <w:t>表</w:t>
            </w:r>
            <w:r>
              <w:rPr>
                <w:rFonts w:hint="eastAsia" w:cs="Times New Roman"/>
                <w:b/>
                <w:bCs/>
                <w:sz w:val="22"/>
                <w:szCs w:val="22"/>
                <w:highlight w:val="none"/>
                <w:lang w:val="en-US" w:eastAsia="zh-CN"/>
              </w:rPr>
              <w:t>3-8</w:t>
            </w:r>
            <w:r>
              <w:rPr>
                <w:rFonts w:hint="default" w:ascii="宋体" w:hAnsi="宋体" w:eastAsia="宋体" w:cs="宋体"/>
                <w:b/>
                <w:bCs/>
                <w:sz w:val="22"/>
                <w:szCs w:val="22"/>
                <w:highlight w:val="none"/>
                <w:lang w:val="en-US" w:eastAsia="zh-CN"/>
              </w:rPr>
              <w:t xml:space="preserve">  </w:t>
            </w:r>
            <w:r>
              <w:rPr>
                <w:rFonts w:hint="eastAsia" w:ascii="宋体" w:hAnsi="宋体" w:cs="宋体"/>
                <w:b/>
                <w:bCs/>
                <w:sz w:val="22"/>
                <w:szCs w:val="22"/>
                <w:highlight w:val="none"/>
                <w:lang w:val="en-US" w:eastAsia="zh-CN"/>
              </w:rPr>
              <w:t>声环境保护目标</w:t>
            </w:r>
            <w:r>
              <w:rPr>
                <w:rFonts w:hint="default" w:ascii="Times New Roman" w:hAnsi="Times New Roman" w:eastAsia="宋体" w:cs="Times New Roman"/>
                <w:b/>
                <w:bCs/>
                <w:sz w:val="22"/>
                <w:szCs w:val="22"/>
                <w:highlight w:val="none"/>
                <w:lang w:val="en-US" w:eastAsia="zh-CN"/>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7"/>
              <w:gridCol w:w="1327"/>
              <w:gridCol w:w="1622"/>
              <w:gridCol w:w="1920"/>
              <w:gridCol w:w="1943"/>
            </w:tblGrid>
            <w:tr w14:paraId="32FA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30" w:type="pct"/>
                  <w:vMerge w:val="restart"/>
                  <w:tcBorders>
                    <w:tl2br w:val="nil"/>
                    <w:tr2bl w:val="nil"/>
                  </w:tcBorders>
                  <w:noWrap/>
                  <w:tcMar>
                    <w:top w:w="57" w:type="dxa"/>
                    <w:left w:w="57" w:type="dxa"/>
                    <w:bottom w:w="57" w:type="dxa"/>
                    <w:right w:w="57" w:type="dxa"/>
                  </w:tcMar>
                  <w:vAlign w:val="center"/>
                </w:tcPr>
                <w:p w14:paraId="2A1593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bCs/>
                      <w:snapToGrid w:val="0"/>
                      <w:color w:val="000000"/>
                      <w:kern w:val="2"/>
                      <w:sz w:val="21"/>
                      <w:szCs w:val="21"/>
                      <w:highlight w:val="none"/>
                      <w:lang w:val="en-US" w:eastAsia="zh-CN"/>
                    </w:rPr>
                  </w:pPr>
                  <w:r>
                    <w:rPr>
                      <w:rFonts w:hint="eastAsia" w:ascii="Times New Roman" w:hAnsi="Times New Roman" w:eastAsia="宋体" w:cs="Times New Roman"/>
                      <w:b/>
                      <w:bCs/>
                      <w:snapToGrid w:val="0"/>
                      <w:color w:val="000000"/>
                      <w:kern w:val="2"/>
                      <w:sz w:val="21"/>
                      <w:szCs w:val="21"/>
                      <w:highlight w:val="none"/>
                      <w:lang w:val="en-US" w:eastAsia="zh-CN"/>
                    </w:rPr>
                    <w:t>名称</w:t>
                  </w:r>
                </w:p>
              </w:tc>
              <w:tc>
                <w:tcPr>
                  <w:tcW w:w="792" w:type="pct"/>
                  <w:vMerge w:val="restart"/>
                  <w:tcBorders>
                    <w:tl2br w:val="nil"/>
                    <w:tr2bl w:val="nil"/>
                  </w:tcBorders>
                  <w:shd w:val="clear" w:color="auto" w:fill="auto"/>
                  <w:noWrap/>
                  <w:tcMar>
                    <w:top w:w="57" w:type="dxa"/>
                    <w:left w:w="57" w:type="dxa"/>
                    <w:bottom w:w="57" w:type="dxa"/>
                    <w:right w:w="57" w:type="dxa"/>
                  </w:tcMar>
                  <w:vAlign w:val="center"/>
                </w:tcPr>
                <w:p w14:paraId="1F582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bCs/>
                      <w:snapToGrid w:val="0"/>
                      <w:color w:val="000000"/>
                      <w:kern w:val="2"/>
                      <w:sz w:val="21"/>
                      <w:szCs w:val="21"/>
                      <w:highlight w:val="none"/>
                      <w:lang w:val="en-US" w:eastAsia="zh-CN"/>
                    </w:rPr>
                  </w:pPr>
                  <w:r>
                    <w:rPr>
                      <w:rFonts w:hint="default" w:ascii="宋体" w:hAnsi="宋体" w:eastAsia="宋体" w:cs="宋体"/>
                      <w:b/>
                      <w:bCs/>
                      <w:snapToGrid w:val="0"/>
                      <w:color w:val="000000"/>
                      <w:kern w:val="2"/>
                      <w:sz w:val="21"/>
                      <w:szCs w:val="21"/>
                      <w:highlight w:val="none"/>
                      <w:lang w:val="en-US" w:eastAsia="zh-CN"/>
                    </w:rPr>
                    <w:t>保护内容</w:t>
                  </w:r>
                </w:p>
              </w:tc>
              <w:tc>
                <w:tcPr>
                  <w:tcW w:w="968" w:type="pct"/>
                  <w:vMerge w:val="restart"/>
                  <w:tcBorders>
                    <w:tl2br w:val="nil"/>
                    <w:tr2bl w:val="nil"/>
                  </w:tcBorders>
                  <w:shd w:val="clear" w:color="auto" w:fill="auto"/>
                  <w:noWrap/>
                  <w:tcMar>
                    <w:top w:w="57" w:type="dxa"/>
                    <w:left w:w="57" w:type="dxa"/>
                    <w:bottom w:w="57" w:type="dxa"/>
                    <w:right w:w="57" w:type="dxa"/>
                  </w:tcMar>
                  <w:vAlign w:val="center"/>
                </w:tcPr>
                <w:p w14:paraId="71797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bCs/>
                      <w:snapToGrid w:val="0"/>
                      <w:color w:val="000000"/>
                      <w:kern w:val="2"/>
                      <w:sz w:val="21"/>
                      <w:szCs w:val="21"/>
                      <w:highlight w:val="none"/>
                      <w:lang w:val="en-US" w:eastAsia="zh-CN"/>
                    </w:rPr>
                  </w:pPr>
                  <w:r>
                    <w:rPr>
                      <w:rFonts w:hint="default" w:ascii="宋体" w:hAnsi="宋体" w:eastAsia="宋体" w:cs="宋体"/>
                      <w:b/>
                      <w:bCs/>
                      <w:snapToGrid w:val="0"/>
                      <w:color w:val="000000"/>
                      <w:kern w:val="2"/>
                      <w:sz w:val="21"/>
                      <w:szCs w:val="21"/>
                      <w:highlight w:val="none"/>
                      <w:lang w:val="en-US" w:eastAsia="zh-CN"/>
                    </w:rPr>
                    <w:t>环境功能区</w:t>
                  </w:r>
                </w:p>
              </w:tc>
              <w:tc>
                <w:tcPr>
                  <w:tcW w:w="1146" w:type="pct"/>
                  <w:vMerge w:val="restart"/>
                  <w:tcBorders>
                    <w:tl2br w:val="nil"/>
                    <w:tr2bl w:val="nil"/>
                  </w:tcBorders>
                  <w:shd w:val="clear" w:color="auto" w:fill="auto"/>
                  <w:noWrap/>
                  <w:tcMar>
                    <w:top w:w="57" w:type="dxa"/>
                    <w:left w:w="57" w:type="dxa"/>
                    <w:bottom w:w="57" w:type="dxa"/>
                    <w:right w:w="57" w:type="dxa"/>
                  </w:tcMar>
                  <w:vAlign w:val="center"/>
                </w:tcPr>
                <w:p w14:paraId="543653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bCs/>
                      <w:snapToGrid w:val="0"/>
                      <w:color w:val="000000"/>
                      <w:kern w:val="2"/>
                      <w:sz w:val="21"/>
                      <w:szCs w:val="21"/>
                      <w:highlight w:val="none"/>
                      <w:lang w:val="en-US" w:eastAsia="zh-CN"/>
                    </w:rPr>
                  </w:pPr>
                  <w:r>
                    <w:rPr>
                      <w:rFonts w:hint="default" w:ascii="宋体" w:hAnsi="宋体" w:eastAsia="宋体" w:cs="宋体"/>
                      <w:b/>
                      <w:bCs/>
                      <w:snapToGrid w:val="0"/>
                      <w:color w:val="000000"/>
                      <w:kern w:val="2"/>
                      <w:sz w:val="21"/>
                      <w:szCs w:val="21"/>
                      <w:highlight w:val="none"/>
                      <w:lang w:val="en-US" w:eastAsia="zh-CN"/>
                    </w:rPr>
                    <w:t>相对厂址方位</w:t>
                  </w:r>
                </w:p>
              </w:tc>
              <w:tc>
                <w:tcPr>
                  <w:tcW w:w="1160" w:type="pct"/>
                  <w:vMerge w:val="restart"/>
                  <w:tcBorders>
                    <w:tl2br w:val="nil"/>
                    <w:tr2bl w:val="nil"/>
                  </w:tcBorders>
                  <w:shd w:val="clear" w:color="auto" w:fill="auto"/>
                  <w:noWrap/>
                  <w:tcMar>
                    <w:top w:w="57" w:type="dxa"/>
                    <w:left w:w="57" w:type="dxa"/>
                    <w:bottom w:w="57" w:type="dxa"/>
                    <w:right w:w="57" w:type="dxa"/>
                  </w:tcMar>
                  <w:vAlign w:val="center"/>
                </w:tcPr>
                <w:p w14:paraId="0DE600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b/>
                      <w:bCs/>
                      <w:snapToGrid w:val="0"/>
                      <w:color w:val="000000"/>
                      <w:kern w:val="2"/>
                      <w:sz w:val="21"/>
                      <w:szCs w:val="21"/>
                      <w:highlight w:val="none"/>
                      <w:lang w:val="en-US" w:eastAsia="zh-CN"/>
                    </w:rPr>
                  </w:pPr>
                  <w:r>
                    <w:rPr>
                      <w:rFonts w:hint="default" w:ascii="宋体" w:hAnsi="宋体" w:eastAsia="宋体" w:cs="宋体"/>
                      <w:b/>
                      <w:bCs/>
                      <w:snapToGrid w:val="0"/>
                      <w:color w:val="000000"/>
                      <w:kern w:val="2"/>
                      <w:sz w:val="21"/>
                      <w:szCs w:val="21"/>
                      <w:highlight w:val="none"/>
                      <w:lang w:val="en-US" w:eastAsia="zh-CN"/>
                    </w:rPr>
                    <w:t>距厂界距离</w:t>
                  </w:r>
                  <w:r>
                    <w:rPr>
                      <w:rFonts w:hint="default" w:ascii="Times New Roman" w:hAnsi="Times New Roman" w:eastAsia="宋体" w:cs="Times New Roman"/>
                      <w:b/>
                      <w:bCs/>
                      <w:snapToGrid w:val="0"/>
                      <w:color w:val="000000"/>
                      <w:kern w:val="2"/>
                      <w:sz w:val="21"/>
                      <w:szCs w:val="21"/>
                      <w:highlight w:val="none"/>
                      <w:lang w:val="en-US" w:eastAsia="zh-CN"/>
                    </w:rPr>
                    <w:t>m</w:t>
                  </w:r>
                </w:p>
              </w:tc>
            </w:tr>
            <w:tr w14:paraId="1FE9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30" w:type="pct"/>
                  <w:vMerge w:val="continue"/>
                  <w:tcBorders>
                    <w:tl2br w:val="nil"/>
                    <w:tr2bl w:val="nil"/>
                  </w:tcBorders>
                  <w:noWrap/>
                  <w:tcMar>
                    <w:top w:w="57" w:type="dxa"/>
                    <w:left w:w="57" w:type="dxa"/>
                    <w:bottom w:w="57" w:type="dxa"/>
                    <w:right w:w="57" w:type="dxa"/>
                  </w:tcMar>
                  <w:vAlign w:val="center"/>
                </w:tcPr>
                <w:p w14:paraId="3FB471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000000"/>
                      <w:kern w:val="2"/>
                      <w:sz w:val="21"/>
                      <w:szCs w:val="21"/>
                      <w:highlight w:val="none"/>
                      <w:lang w:val="en-US" w:eastAsia="zh-CN"/>
                    </w:rPr>
                  </w:pPr>
                </w:p>
              </w:tc>
              <w:tc>
                <w:tcPr>
                  <w:tcW w:w="792" w:type="pct"/>
                  <w:vMerge w:val="continue"/>
                  <w:tcBorders>
                    <w:tl2br w:val="nil"/>
                    <w:tr2bl w:val="nil"/>
                  </w:tcBorders>
                  <w:noWrap/>
                  <w:tcMar>
                    <w:top w:w="57" w:type="dxa"/>
                    <w:left w:w="57" w:type="dxa"/>
                    <w:bottom w:w="57" w:type="dxa"/>
                    <w:right w:w="57" w:type="dxa"/>
                  </w:tcMar>
                  <w:vAlign w:val="center"/>
                </w:tcPr>
                <w:p w14:paraId="2C9032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000000"/>
                      <w:kern w:val="2"/>
                      <w:sz w:val="21"/>
                      <w:szCs w:val="21"/>
                      <w:highlight w:val="none"/>
                      <w:lang w:val="en-US" w:eastAsia="zh-CN"/>
                    </w:rPr>
                  </w:pPr>
                </w:p>
              </w:tc>
              <w:tc>
                <w:tcPr>
                  <w:tcW w:w="968" w:type="pct"/>
                  <w:vMerge w:val="continue"/>
                  <w:tcBorders>
                    <w:tl2br w:val="nil"/>
                    <w:tr2bl w:val="nil"/>
                  </w:tcBorders>
                  <w:noWrap/>
                  <w:tcMar>
                    <w:top w:w="57" w:type="dxa"/>
                    <w:left w:w="57" w:type="dxa"/>
                    <w:bottom w:w="57" w:type="dxa"/>
                    <w:right w:w="57" w:type="dxa"/>
                  </w:tcMar>
                  <w:vAlign w:val="center"/>
                </w:tcPr>
                <w:p w14:paraId="0E5588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000000"/>
                      <w:kern w:val="2"/>
                      <w:sz w:val="21"/>
                      <w:szCs w:val="21"/>
                      <w:highlight w:val="none"/>
                      <w:lang w:val="en-US" w:eastAsia="zh-CN"/>
                    </w:rPr>
                  </w:pPr>
                </w:p>
              </w:tc>
              <w:tc>
                <w:tcPr>
                  <w:tcW w:w="1146" w:type="pct"/>
                  <w:vMerge w:val="continue"/>
                  <w:tcBorders>
                    <w:tl2br w:val="nil"/>
                    <w:tr2bl w:val="nil"/>
                  </w:tcBorders>
                  <w:noWrap/>
                  <w:tcMar>
                    <w:top w:w="57" w:type="dxa"/>
                    <w:left w:w="57" w:type="dxa"/>
                    <w:bottom w:w="57" w:type="dxa"/>
                    <w:right w:w="57" w:type="dxa"/>
                  </w:tcMar>
                  <w:vAlign w:val="center"/>
                </w:tcPr>
                <w:p w14:paraId="708C52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000000"/>
                      <w:kern w:val="2"/>
                      <w:sz w:val="21"/>
                      <w:szCs w:val="21"/>
                      <w:highlight w:val="none"/>
                      <w:lang w:val="en-US" w:eastAsia="zh-CN"/>
                    </w:rPr>
                  </w:pPr>
                </w:p>
              </w:tc>
              <w:tc>
                <w:tcPr>
                  <w:tcW w:w="1160" w:type="pct"/>
                  <w:vMerge w:val="continue"/>
                  <w:tcBorders>
                    <w:tl2br w:val="nil"/>
                    <w:tr2bl w:val="nil"/>
                  </w:tcBorders>
                  <w:noWrap/>
                  <w:tcMar>
                    <w:top w:w="57" w:type="dxa"/>
                    <w:left w:w="57" w:type="dxa"/>
                    <w:bottom w:w="57" w:type="dxa"/>
                    <w:right w:w="57" w:type="dxa"/>
                  </w:tcMar>
                  <w:vAlign w:val="center"/>
                </w:tcPr>
                <w:p w14:paraId="5ECE49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000000"/>
                      <w:kern w:val="2"/>
                      <w:sz w:val="21"/>
                      <w:szCs w:val="21"/>
                      <w:highlight w:val="none"/>
                      <w:lang w:val="en-US" w:eastAsia="zh-CN"/>
                    </w:rPr>
                  </w:pPr>
                </w:p>
              </w:tc>
            </w:tr>
            <w:tr w14:paraId="1D17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30" w:type="pct"/>
                  <w:tcBorders>
                    <w:tl2br w:val="nil"/>
                    <w:tr2bl w:val="nil"/>
                  </w:tcBorders>
                  <w:noWrap/>
                  <w:tcMar>
                    <w:top w:w="57" w:type="dxa"/>
                    <w:left w:w="57" w:type="dxa"/>
                    <w:bottom w:w="57" w:type="dxa"/>
                    <w:right w:w="57" w:type="dxa"/>
                  </w:tcMar>
                  <w:vAlign w:val="center"/>
                </w:tcPr>
                <w:p w14:paraId="5CC4A7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000000"/>
                      <w:kern w:val="2"/>
                      <w:sz w:val="21"/>
                      <w:szCs w:val="21"/>
                      <w:highlight w:val="none"/>
                      <w:lang w:val="en-US" w:eastAsia="zh-CN"/>
                    </w:rPr>
                  </w:pPr>
                  <w:r>
                    <w:rPr>
                      <w:rFonts w:hint="eastAsia" w:ascii="宋体" w:hAnsi="宋体" w:cs="宋体"/>
                      <w:snapToGrid w:val="0"/>
                      <w:color w:val="000000"/>
                      <w:kern w:val="2"/>
                      <w:sz w:val="21"/>
                      <w:szCs w:val="21"/>
                      <w:highlight w:val="none"/>
                      <w:lang w:val="en-US" w:eastAsia="zh-CN"/>
                    </w:rPr>
                    <w:t>纵楼</w:t>
                  </w:r>
                </w:p>
              </w:tc>
              <w:tc>
                <w:tcPr>
                  <w:tcW w:w="792" w:type="pct"/>
                  <w:tcBorders>
                    <w:tl2br w:val="nil"/>
                    <w:tr2bl w:val="nil"/>
                  </w:tcBorders>
                  <w:noWrap/>
                  <w:tcMar>
                    <w:top w:w="57" w:type="dxa"/>
                    <w:left w:w="57" w:type="dxa"/>
                    <w:bottom w:w="57" w:type="dxa"/>
                    <w:right w:w="57" w:type="dxa"/>
                  </w:tcMar>
                  <w:vAlign w:val="center"/>
                </w:tcPr>
                <w:p w14:paraId="5C31CC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000000"/>
                      <w:kern w:val="2"/>
                      <w:sz w:val="21"/>
                      <w:szCs w:val="21"/>
                      <w:highlight w:val="none"/>
                      <w:lang w:val="en-US" w:eastAsia="zh-CN"/>
                    </w:rPr>
                  </w:pPr>
                  <w:r>
                    <w:rPr>
                      <w:rFonts w:hint="eastAsia" w:ascii="宋体" w:hAnsi="宋体" w:cs="宋体"/>
                      <w:snapToGrid w:val="0"/>
                      <w:color w:val="000000"/>
                      <w:kern w:val="2"/>
                      <w:sz w:val="21"/>
                      <w:szCs w:val="21"/>
                      <w:highlight w:val="none"/>
                      <w:lang w:val="en-US" w:eastAsia="zh-CN"/>
                    </w:rPr>
                    <w:t>住户</w:t>
                  </w:r>
                </w:p>
              </w:tc>
              <w:tc>
                <w:tcPr>
                  <w:tcW w:w="968" w:type="pct"/>
                  <w:tcBorders>
                    <w:tl2br w:val="nil"/>
                    <w:tr2bl w:val="nil"/>
                  </w:tcBorders>
                  <w:noWrap/>
                  <w:tcMar>
                    <w:top w:w="57" w:type="dxa"/>
                    <w:left w:w="57" w:type="dxa"/>
                    <w:bottom w:w="57" w:type="dxa"/>
                    <w:right w:w="57" w:type="dxa"/>
                  </w:tcMar>
                  <w:vAlign w:val="center"/>
                </w:tcPr>
                <w:p w14:paraId="527A8A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snapToGrid w:val="0"/>
                      <w:color w:val="000000"/>
                      <w:kern w:val="2"/>
                      <w:sz w:val="21"/>
                      <w:szCs w:val="21"/>
                      <w:highlight w:val="none"/>
                      <w:lang w:val="en-US" w:eastAsia="zh-CN"/>
                    </w:rPr>
                  </w:pPr>
                  <w:r>
                    <w:rPr>
                      <w:rFonts w:hint="eastAsia" w:ascii="宋体" w:hAnsi="宋体" w:cs="宋体"/>
                      <w:snapToGrid w:val="0"/>
                      <w:color w:val="000000"/>
                      <w:kern w:val="2"/>
                      <w:sz w:val="21"/>
                      <w:szCs w:val="21"/>
                      <w:highlight w:val="none"/>
                      <w:lang w:val="en-US" w:eastAsia="zh-CN"/>
                    </w:rPr>
                    <w:t>二</w:t>
                  </w:r>
                  <w:r>
                    <w:rPr>
                      <w:rFonts w:hint="eastAsia" w:ascii="宋体" w:hAnsi="宋体" w:eastAsia="宋体" w:cs="宋体"/>
                      <w:snapToGrid w:val="0"/>
                      <w:color w:val="000000"/>
                      <w:kern w:val="2"/>
                      <w:sz w:val="21"/>
                      <w:szCs w:val="21"/>
                      <w:highlight w:val="none"/>
                      <w:lang w:val="en-US" w:eastAsia="zh-CN"/>
                    </w:rPr>
                    <w:t>类区</w:t>
                  </w:r>
                </w:p>
              </w:tc>
              <w:tc>
                <w:tcPr>
                  <w:tcW w:w="1146" w:type="pct"/>
                  <w:tcBorders>
                    <w:tl2br w:val="nil"/>
                    <w:tr2bl w:val="nil"/>
                  </w:tcBorders>
                  <w:noWrap/>
                  <w:tcMar>
                    <w:top w:w="57" w:type="dxa"/>
                    <w:left w:w="57" w:type="dxa"/>
                    <w:bottom w:w="57" w:type="dxa"/>
                    <w:right w:w="57" w:type="dxa"/>
                  </w:tcMar>
                  <w:vAlign w:val="center"/>
                </w:tcPr>
                <w:p w14:paraId="10390C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val="0"/>
                      <w:sz w:val="21"/>
                      <w:szCs w:val="21"/>
                      <w:highlight w:val="none"/>
                      <w:lang w:val="en-US" w:eastAsia="zh-CN"/>
                    </w:rPr>
                  </w:pPr>
                  <w:r>
                    <w:rPr>
                      <w:rFonts w:hint="eastAsia" w:cs="Times New Roman"/>
                      <w:b w:val="0"/>
                      <w:bCs w:val="0"/>
                      <w:snapToGrid w:val="0"/>
                      <w:sz w:val="21"/>
                      <w:szCs w:val="21"/>
                      <w:highlight w:val="none"/>
                      <w:lang w:val="en-US" w:eastAsia="zh-CN"/>
                    </w:rPr>
                    <w:t>N</w:t>
                  </w:r>
                </w:p>
              </w:tc>
              <w:tc>
                <w:tcPr>
                  <w:tcW w:w="1160" w:type="pct"/>
                  <w:tcBorders>
                    <w:tl2br w:val="nil"/>
                    <w:tr2bl w:val="nil"/>
                  </w:tcBorders>
                  <w:noWrap/>
                  <w:tcMar>
                    <w:top w:w="57" w:type="dxa"/>
                    <w:left w:w="57" w:type="dxa"/>
                    <w:bottom w:w="57" w:type="dxa"/>
                    <w:right w:w="57" w:type="dxa"/>
                  </w:tcMar>
                  <w:vAlign w:val="center"/>
                </w:tcPr>
                <w:p w14:paraId="1A499C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val="0"/>
                      <w:sz w:val="21"/>
                      <w:szCs w:val="21"/>
                      <w:highlight w:val="none"/>
                      <w:lang w:val="en-US" w:eastAsia="zh-CN"/>
                    </w:rPr>
                  </w:pPr>
                  <w:r>
                    <w:rPr>
                      <w:rFonts w:hint="eastAsia" w:cs="Times New Roman"/>
                      <w:b w:val="0"/>
                      <w:bCs w:val="0"/>
                      <w:snapToGrid w:val="0"/>
                      <w:sz w:val="21"/>
                      <w:szCs w:val="21"/>
                      <w:highlight w:val="none"/>
                      <w:lang w:val="en-US" w:eastAsia="zh-CN"/>
                    </w:rPr>
                    <w:t>15</w:t>
                  </w:r>
                </w:p>
              </w:tc>
            </w:tr>
          </w:tbl>
          <w:p w14:paraId="3A85112F">
            <w:pPr>
              <w:bidi w:val="0"/>
              <w:rPr>
                <w:rFonts w:hint="default"/>
                <w:lang w:val="en-US" w:eastAsia="zh-CN"/>
              </w:rPr>
            </w:pPr>
          </w:p>
          <w:p w14:paraId="1D5E3275">
            <w:pPr>
              <w:autoSpaceDE w:val="0"/>
              <w:autoSpaceDN w:val="0"/>
              <w:adjustRightInd w:val="0"/>
              <w:snapToGrid w:val="0"/>
              <w:spacing w:line="360" w:lineRule="auto"/>
              <w:jc w:val="left"/>
              <w:rPr>
                <w:rFonts w:hint="eastAsia" w:ascii="宋体" w:hAnsi="宋体" w:cs="宋体"/>
                <w:b/>
                <w:bCs/>
                <w:kern w:val="0"/>
                <w:sz w:val="24"/>
                <w:szCs w:val="24"/>
                <w:lang w:val="en-US" w:eastAsia="zh-CN"/>
              </w:rPr>
            </w:pPr>
            <w:r>
              <w:rPr>
                <w:rFonts w:hint="default" w:ascii="Times New Roman" w:hAnsi="Times New Roman" w:cs="Times New Roman"/>
                <w:b/>
                <w:bCs/>
                <w:kern w:val="0"/>
                <w:sz w:val="24"/>
                <w:szCs w:val="24"/>
                <w:lang w:val="en-US" w:eastAsia="zh-CN"/>
              </w:rPr>
              <w:t>3</w:t>
            </w:r>
            <w:r>
              <w:rPr>
                <w:rFonts w:hint="eastAsia" w:ascii="宋体" w:hAnsi="宋体" w:cs="宋体"/>
                <w:b/>
                <w:bCs/>
                <w:kern w:val="0"/>
                <w:sz w:val="24"/>
                <w:szCs w:val="24"/>
                <w:lang w:val="en-US" w:eastAsia="zh-CN"/>
              </w:rPr>
              <w:t>、地下水环境</w:t>
            </w:r>
          </w:p>
          <w:p w14:paraId="5649EF31">
            <w:pPr>
              <w:autoSpaceDE w:val="0"/>
              <w:autoSpaceDN w:val="0"/>
              <w:adjustRightInd w:val="0"/>
              <w:snapToGrid w:val="0"/>
              <w:spacing w:line="360" w:lineRule="auto"/>
              <w:ind w:firstLine="480" w:firstLineChars="200"/>
              <w:jc w:val="left"/>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项目</w:t>
            </w:r>
            <w:r>
              <w:rPr>
                <w:rFonts w:hint="default" w:ascii="Times New Roman" w:hAnsi="Times New Roman" w:cs="Times New Roman"/>
                <w:b w:val="0"/>
                <w:bCs w:val="0"/>
                <w:kern w:val="0"/>
                <w:sz w:val="24"/>
                <w:szCs w:val="24"/>
                <w:lang w:val="en-US" w:eastAsia="zh-CN"/>
              </w:rPr>
              <w:t>厂界外500米范围内无地下水集中式</w:t>
            </w:r>
            <w:r>
              <w:rPr>
                <w:rFonts w:hint="eastAsia" w:ascii="宋体" w:hAnsi="宋体" w:cs="宋体"/>
                <w:b w:val="0"/>
                <w:bCs w:val="0"/>
                <w:kern w:val="0"/>
                <w:sz w:val="24"/>
                <w:szCs w:val="24"/>
                <w:lang w:val="en-US" w:eastAsia="zh-CN"/>
              </w:rPr>
              <w:t>饮用水水源和热水、矿泉水、温泉等特殊地下水资源。</w:t>
            </w:r>
          </w:p>
          <w:p w14:paraId="52C7C5A2">
            <w:pPr>
              <w:spacing w:line="360" w:lineRule="auto"/>
              <w:jc w:val="left"/>
              <w:rPr>
                <w:rFonts w:hint="eastAsia"/>
                <w:b/>
                <w:sz w:val="24"/>
                <w:lang w:val="en-US" w:eastAsia="zh-CN"/>
              </w:rPr>
            </w:pPr>
            <w:r>
              <w:rPr>
                <w:rFonts w:hint="eastAsia"/>
                <w:b/>
                <w:bCs/>
                <w:sz w:val="24"/>
                <w:lang w:val="en-US" w:eastAsia="zh-CN"/>
              </w:rPr>
              <w:t>4</w:t>
            </w:r>
            <w:r>
              <w:rPr>
                <w:b/>
                <w:bCs/>
                <w:sz w:val="24"/>
              </w:rPr>
              <w:t>、</w:t>
            </w:r>
            <w:r>
              <w:rPr>
                <w:rFonts w:hint="eastAsia"/>
                <w:b/>
                <w:sz w:val="24"/>
                <w:lang w:val="en-US" w:eastAsia="zh-CN"/>
              </w:rPr>
              <w:t>生态环境</w:t>
            </w:r>
          </w:p>
          <w:p w14:paraId="08376B68">
            <w:pPr>
              <w:autoSpaceDE w:val="0"/>
              <w:autoSpaceDN w:val="0"/>
              <w:adjustRightInd w:val="0"/>
              <w:snapToGrid w:val="0"/>
              <w:spacing w:line="360" w:lineRule="auto"/>
              <w:ind w:firstLine="480" w:firstLineChars="200"/>
              <w:jc w:val="left"/>
              <w:rPr>
                <w:rFonts w:hint="eastAsia"/>
                <w:lang w:val="en-US" w:eastAsia="zh-CN"/>
              </w:rPr>
            </w:pPr>
            <w:r>
              <w:rPr>
                <w:rFonts w:hint="eastAsia" w:cs="Times New Roman"/>
                <w:b w:val="0"/>
                <w:bCs w:val="0"/>
                <w:sz w:val="24"/>
                <w:lang w:val="en-US" w:eastAsia="zh-CN"/>
              </w:rPr>
              <w:t>本</w:t>
            </w:r>
            <w:r>
              <w:rPr>
                <w:rFonts w:hint="eastAsia" w:ascii="Times New Roman" w:hAnsi="Times New Roman" w:eastAsia="宋体" w:cs="Times New Roman"/>
                <w:b w:val="0"/>
                <w:bCs w:val="0"/>
                <w:sz w:val="24"/>
                <w:lang w:val="en-US" w:eastAsia="zh-CN"/>
              </w:rPr>
              <w:t>项目</w:t>
            </w:r>
            <w:r>
              <w:rPr>
                <w:rFonts w:hint="eastAsia" w:cs="Times New Roman"/>
                <w:b w:val="0"/>
                <w:bCs w:val="0"/>
                <w:sz w:val="24"/>
                <w:lang w:val="en-US" w:eastAsia="zh-CN"/>
              </w:rPr>
              <w:t>不涉及新增用地，不涉及生态环境保护目标</w:t>
            </w:r>
            <w:r>
              <w:rPr>
                <w:rFonts w:hint="eastAsia" w:ascii="宋体" w:hAnsi="宋体" w:cs="宋体"/>
                <w:b w:val="0"/>
                <w:bCs w:val="0"/>
                <w:kern w:val="0"/>
                <w:sz w:val="24"/>
                <w:szCs w:val="24"/>
                <w:lang w:val="en-US" w:eastAsia="zh-CN"/>
              </w:rPr>
              <w:t>。</w:t>
            </w:r>
          </w:p>
        </w:tc>
      </w:tr>
      <w:tr w14:paraId="29F08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3094" w:hRule="atLeast"/>
          <w:jc w:val="center"/>
        </w:trPr>
        <w:tc>
          <w:tcPr>
            <w:tcW w:w="520" w:type="dxa"/>
            <w:noWrap w:val="0"/>
            <w:tcMar>
              <w:left w:w="28" w:type="dxa"/>
              <w:right w:w="28" w:type="dxa"/>
            </w:tcMar>
            <w:vAlign w:val="center"/>
          </w:tcPr>
          <w:p w14:paraId="7531AF82">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污染</w:t>
            </w:r>
          </w:p>
          <w:p w14:paraId="768B093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物排</w:t>
            </w:r>
          </w:p>
          <w:p w14:paraId="666F5A1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放控</w:t>
            </w:r>
          </w:p>
          <w:p w14:paraId="3A2AF4C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制标</w:t>
            </w:r>
          </w:p>
          <w:p w14:paraId="080BA86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准</w:t>
            </w:r>
          </w:p>
        </w:tc>
        <w:tc>
          <w:tcPr>
            <w:tcW w:w="8470" w:type="dxa"/>
            <w:noWrap w:val="0"/>
            <w:vAlign w:val="center"/>
          </w:tcPr>
          <w:p w14:paraId="640896F5">
            <w:pPr>
              <w:spacing w:line="360" w:lineRule="auto"/>
              <w:jc w:val="left"/>
              <w:rPr>
                <w:rFonts w:hint="eastAsia" w:ascii="Times New Roman" w:hAnsi="Times New Roman" w:eastAsia="宋体" w:cs="Times New Roman"/>
                <w:b w:val="0"/>
                <w:bCs w:val="0"/>
                <w:sz w:val="24"/>
                <w:lang w:val="en-US" w:eastAsia="zh-CN"/>
              </w:rPr>
            </w:pPr>
            <w:r>
              <w:rPr>
                <w:rFonts w:hint="eastAsia"/>
                <w:b/>
                <w:bCs/>
                <w:sz w:val="24"/>
                <w:lang w:val="en-US" w:eastAsia="zh-CN"/>
              </w:rPr>
              <w:t>1</w:t>
            </w:r>
            <w:r>
              <w:rPr>
                <w:b/>
                <w:bCs/>
                <w:sz w:val="24"/>
              </w:rPr>
              <w:t>、</w:t>
            </w:r>
            <w:r>
              <w:rPr>
                <w:rFonts w:hint="eastAsia"/>
                <w:b/>
                <w:sz w:val="24"/>
                <w:lang w:val="en-US" w:eastAsia="zh-CN"/>
              </w:rPr>
              <w:t>废水</w:t>
            </w:r>
          </w:p>
          <w:p w14:paraId="132F28B7">
            <w:pPr>
              <w:spacing w:line="360" w:lineRule="auto"/>
              <w:ind w:firstLine="480" w:firstLineChars="200"/>
              <w:jc w:val="left"/>
              <w:rPr>
                <w:rFonts w:hint="eastAsia" w:ascii="Times New Roman" w:hAnsi="Times New Roman" w:eastAsia="宋体" w:cs="Times New Roman"/>
                <w:b w:val="0"/>
                <w:bCs w:val="0"/>
                <w:sz w:val="24"/>
                <w:lang w:val="en-US" w:eastAsia="zh-CN"/>
              </w:rPr>
            </w:pPr>
            <w:r>
              <w:rPr>
                <w:rFonts w:hint="eastAsia" w:hAnsi="宋体"/>
                <w:color w:val="auto"/>
                <w:sz w:val="24"/>
                <w:szCs w:val="24"/>
              </w:rPr>
              <w:t>本项目生活污水</w:t>
            </w:r>
            <w:r>
              <w:rPr>
                <w:rFonts w:hint="eastAsia" w:hAnsi="宋体"/>
                <w:color w:val="auto"/>
                <w:sz w:val="24"/>
                <w:szCs w:val="24"/>
                <w:lang w:val="en-US" w:eastAsia="zh-CN"/>
              </w:rPr>
              <w:t>参照执行</w:t>
            </w:r>
            <w:r>
              <w:rPr>
                <w:rFonts w:eastAsiaTheme="minorEastAsia"/>
                <w:kern w:val="0"/>
              </w:rPr>
              <w:t>《污水综合排放标准》</w:t>
            </w:r>
            <w:r>
              <w:rPr>
                <w:rFonts w:hint="eastAsia" w:eastAsiaTheme="minorEastAsia"/>
                <w:kern w:val="0"/>
                <w:lang w:eastAsia="zh-CN"/>
              </w:rPr>
              <w:t>（</w:t>
            </w:r>
            <w:r>
              <w:rPr>
                <w:rFonts w:eastAsiaTheme="minorEastAsia"/>
                <w:kern w:val="0"/>
              </w:rPr>
              <w:t>GB8978-1996</w:t>
            </w:r>
            <w:r>
              <w:rPr>
                <w:rFonts w:hint="eastAsia" w:eastAsiaTheme="minorEastAsia"/>
                <w:kern w:val="0"/>
                <w:lang w:eastAsia="zh-CN"/>
              </w:rPr>
              <w:t>）表4</w:t>
            </w:r>
            <w:r>
              <w:rPr>
                <w:rFonts w:hint="eastAsia" w:eastAsiaTheme="minorEastAsia"/>
                <w:kern w:val="0"/>
                <w:lang w:val="en-US" w:eastAsia="zh-CN"/>
              </w:rPr>
              <w:t>中</w:t>
            </w:r>
            <w:r>
              <w:rPr>
                <w:rFonts w:eastAsiaTheme="minorEastAsia"/>
                <w:kern w:val="0"/>
              </w:rPr>
              <w:t>三级标准</w:t>
            </w:r>
            <w:r>
              <w:rPr>
                <w:rFonts w:hint="eastAsia" w:eastAsiaTheme="minorEastAsia"/>
                <w:kern w:val="0"/>
                <w:lang w:eastAsia="zh-CN"/>
              </w:rPr>
              <w:t>，</w:t>
            </w:r>
            <w:r>
              <w:rPr>
                <w:rFonts w:hint="eastAsia" w:hAnsi="宋体"/>
                <w:color w:val="auto"/>
                <w:sz w:val="24"/>
                <w:szCs w:val="24"/>
                <w:lang w:val="en-US" w:eastAsia="zh-CN"/>
              </w:rPr>
              <w:t>由</w:t>
            </w:r>
            <w:r>
              <w:rPr>
                <w:rFonts w:hint="eastAsia" w:hAnsi="宋体"/>
                <w:color w:val="auto"/>
                <w:sz w:val="24"/>
                <w:szCs w:val="24"/>
              </w:rPr>
              <w:t>化粪池预处理</w:t>
            </w:r>
            <w:r>
              <w:rPr>
                <w:rFonts w:hint="eastAsia" w:hAnsi="宋体"/>
                <w:color w:val="auto"/>
                <w:sz w:val="24"/>
                <w:szCs w:val="24"/>
                <w:lang w:eastAsia="zh-CN"/>
              </w:rPr>
              <w:t>，</w:t>
            </w:r>
            <w:r>
              <w:rPr>
                <w:rFonts w:hint="eastAsia"/>
                <w:color w:val="000000"/>
                <w:kern w:val="0"/>
                <w:sz w:val="24"/>
                <w:lang w:val="en-US" w:eastAsia="zh-CN"/>
              </w:rPr>
              <w:t>达到龙湖工业园污水处理厂接管标准要求后</w:t>
            </w:r>
            <w:r>
              <w:rPr>
                <w:rFonts w:hint="eastAsia" w:hAnsi="宋体"/>
                <w:color w:val="auto"/>
                <w:sz w:val="24"/>
                <w:szCs w:val="24"/>
                <w:lang w:eastAsia="zh-CN"/>
              </w:rPr>
              <w:t>，</w:t>
            </w:r>
            <w:r>
              <w:rPr>
                <w:rFonts w:hint="eastAsia" w:hAnsi="宋体"/>
                <w:color w:val="auto"/>
                <w:sz w:val="24"/>
                <w:szCs w:val="24"/>
                <w:lang w:val="en-US" w:eastAsia="zh-CN"/>
              </w:rPr>
              <w:t>经市政</w:t>
            </w:r>
            <w:r>
              <w:rPr>
                <w:rFonts w:eastAsiaTheme="minorEastAsia"/>
              </w:rPr>
              <w:t>污水管网</w:t>
            </w:r>
            <w:r>
              <w:rPr>
                <w:rFonts w:hint="eastAsia" w:eastAsiaTheme="minorEastAsia"/>
                <w:lang w:val="en-US" w:eastAsia="zh-CN"/>
              </w:rPr>
              <w:t>进</w:t>
            </w:r>
            <w:r>
              <w:rPr>
                <w:rFonts w:hint="eastAsia" w:hAnsi="宋体"/>
                <w:color w:val="auto"/>
                <w:sz w:val="24"/>
                <w:szCs w:val="24"/>
                <w:lang w:val="en-US" w:eastAsia="zh-CN"/>
              </w:rPr>
              <w:t>入淮北龙湖工业园污水处理厂进行</w:t>
            </w:r>
            <w:r>
              <w:rPr>
                <w:rFonts w:hint="eastAsia" w:eastAsiaTheme="minorEastAsia"/>
              </w:rPr>
              <w:t>深度处理</w:t>
            </w:r>
            <w:r>
              <w:rPr>
                <w:rFonts w:hint="eastAsia" w:eastAsiaTheme="minorEastAsia"/>
                <w:lang w:eastAsia="zh-CN"/>
              </w:rPr>
              <w:t>，</w:t>
            </w:r>
            <w:r>
              <w:rPr>
                <w:rFonts w:hint="eastAsia"/>
                <w:color w:val="000000"/>
                <w:kern w:val="0"/>
                <w:sz w:val="24"/>
                <w:lang w:val="en-US" w:eastAsia="zh-CN"/>
              </w:rPr>
              <w:t>经污水处理厂深度处理后达准最终排入龙河，具体见下表。</w:t>
            </w:r>
          </w:p>
          <w:p w14:paraId="4CAFBF34">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default" w:ascii="Times New Roman" w:hAnsi="Times New Roman" w:eastAsia="宋体" w:cs="Times New Roman"/>
                <w:b/>
                <w:bCs/>
                <w:sz w:val="22"/>
                <w:szCs w:val="22"/>
                <w:lang w:val="en-US" w:eastAsia="zh-CN"/>
              </w:rPr>
              <w:t>表</w:t>
            </w:r>
            <w:r>
              <w:rPr>
                <w:rFonts w:hint="eastAsia" w:ascii="Times New Roman" w:hAnsi="Times New Roman" w:eastAsia="宋体" w:cs="Times New Roman"/>
                <w:b/>
                <w:bCs/>
                <w:sz w:val="22"/>
                <w:szCs w:val="22"/>
                <w:lang w:val="en-US" w:eastAsia="zh-CN"/>
              </w:rPr>
              <w:t>3-</w:t>
            </w:r>
            <w:r>
              <w:rPr>
                <w:rFonts w:hint="eastAsia" w:cs="Times New Roman"/>
                <w:b/>
                <w:bCs/>
                <w:sz w:val="22"/>
                <w:szCs w:val="22"/>
                <w:lang w:val="en-US" w:eastAsia="zh-CN"/>
              </w:rPr>
              <w:t>9</w:t>
            </w:r>
            <w:r>
              <w:rPr>
                <w:rFonts w:hint="default" w:ascii="Times New Roman" w:hAnsi="Times New Roman" w:eastAsia="宋体" w:cs="Times New Roman"/>
                <w:b/>
                <w:bCs/>
                <w:sz w:val="22"/>
                <w:szCs w:val="22"/>
                <w:lang w:val="en-US" w:eastAsia="zh-CN"/>
              </w:rPr>
              <w:t xml:space="preserve">  </w:t>
            </w:r>
            <w:r>
              <w:rPr>
                <w:rFonts w:hint="eastAsia" w:ascii="Times New Roman" w:hAnsi="Times New Roman" w:eastAsia="宋体" w:cs="Times New Roman"/>
                <w:b/>
                <w:bCs/>
                <w:sz w:val="22"/>
                <w:szCs w:val="22"/>
                <w:lang w:val="en-US" w:eastAsia="zh-CN"/>
              </w:rPr>
              <w:t>本项目出水污染物项目限值</w:t>
            </w:r>
            <w:r>
              <w:rPr>
                <w:rFonts w:hint="default" w:ascii="Times New Roman" w:hAnsi="Times New Roman" w:eastAsia="宋体" w:cs="Times New Roman"/>
                <w:b/>
                <w:bCs/>
                <w:sz w:val="22"/>
                <w:szCs w:val="22"/>
                <w:lang w:val="en-US" w:eastAsia="zh-CN"/>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18"/>
              <w:gridCol w:w="951"/>
              <w:gridCol w:w="2013"/>
              <w:gridCol w:w="1969"/>
              <w:gridCol w:w="1718"/>
            </w:tblGrid>
            <w:tr w14:paraId="1029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pct"/>
                  <w:tcBorders>
                    <w:tl2br w:val="nil"/>
                    <w:tr2bl w:val="nil"/>
                  </w:tcBorders>
                  <w:shd w:val="clear" w:color="auto" w:fill="auto"/>
                  <w:noWrap/>
                  <w:tcMar>
                    <w:top w:w="57" w:type="dxa"/>
                    <w:left w:w="57" w:type="dxa"/>
                    <w:bottom w:w="57" w:type="dxa"/>
                    <w:right w:w="57" w:type="dxa"/>
                  </w:tcMar>
                  <w:vAlign w:val="center"/>
                </w:tcPr>
                <w:p w14:paraId="34C4BCD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color w:val="000000"/>
                      <w:kern w:val="2"/>
                      <w:sz w:val="21"/>
                      <w:szCs w:val="21"/>
                      <w:highlight w:val="none"/>
                      <w:lang w:val="en-US" w:eastAsia="zh-CN" w:bidi="ar-SA"/>
                    </w:rPr>
                  </w:pPr>
                  <w:r>
                    <w:rPr>
                      <w:rFonts w:hint="eastAsia" w:cs="Times New Roman"/>
                      <w:b/>
                      <w:bCs/>
                      <w:color w:val="000000"/>
                      <w:kern w:val="2"/>
                      <w:sz w:val="21"/>
                      <w:szCs w:val="21"/>
                      <w:highlight w:val="none"/>
                      <w:lang w:val="en-US" w:eastAsia="zh-CN"/>
                    </w:rPr>
                    <w:t>污染物</w:t>
                  </w:r>
                </w:p>
              </w:tc>
              <w:tc>
                <w:tcPr>
                  <w:tcW w:w="568" w:type="pct"/>
                  <w:tcBorders>
                    <w:tl2br w:val="nil"/>
                    <w:tr2bl w:val="nil"/>
                  </w:tcBorders>
                  <w:shd w:val="clear" w:color="auto" w:fill="auto"/>
                  <w:noWrap/>
                  <w:tcMar>
                    <w:top w:w="57" w:type="dxa"/>
                    <w:left w:w="57" w:type="dxa"/>
                    <w:bottom w:w="57" w:type="dxa"/>
                    <w:right w:w="57" w:type="dxa"/>
                  </w:tcMar>
                  <w:vAlign w:val="center"/>
                </w:tcPr>
                <w:p w14:paraId="39C85C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rPr>
                    <w:t>单位</w:t>
                  </w:r>
                </w:p>
              </w:tc>
              <w:tc>
                <w:tcPr>
                  <w:tcW w:w="1202" w:type="pct"/>
                  <w:tcBorders>
                    <w:tl2br w:val="nil"/>
                    <w:tr2bl w:val="nil"/>
                  </w:tcBorders>
                  <w:shd w:val="clear" w:color="auto" w:fill="auto"/>
                  <w:noWrap/>
                  <w:tcMar>
                    <w:top w:w="57" w:type="dxa"/>
                    <w:left w:w="57" w:type="dxa"/>
                    <w:bottom w:w="57" w:type="dxa"/>
                    <w:right w:w="57" w:type="dxa"/>
                  </w:tcMar>
                  <w:vAlign w:val="center"/>
                </w:tcPr>
                <w:p w14:paraId="7BEC39E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rPr>
                  </w:pPr>
                  <w:r>
                    <w:rPr>
                      <w:rFonts w:hint="eastAsia" w:ascii="宋体" w:hAnsi="宋体" w:eastAsia="宋体" w:cs="宋体"/>
                      <w:b/>
                      <w:bCs/>
                      <w:kern w:val="0"/>
                      <w:sz w:val="21"/>
                      <w:szCs w:val="21"/>
                      <w:lang w:val="en-US" w:eastAsia="zh-CN"/>
                    </w:rPr>
                    <w:t>污水处理厂接管标准</w:t>
                  </w:r>
                </w:p>
              </w:tc>
              <w:tc>
                <w:tcPr>
                  <w:tcW w:w="1176" w:type="pct"/>
                  <w:tcBorders>
                    <w:tl2br w:val="nil"/>
                    <w:tr2bl w:val="nil"/>
                  </w:tcBorders>
                  <w:shd w:val="clear" w:color="auto" w:fill="auto"/>
                  <w:noWrap/>
                  <w:tcMar>
                    <w:top w:w="57" w:type="dxa"/>
                    <w:left w:w="57" w:type="dxa"/>
                    <w:bottom w:w="57" w:type="dxa"/>
                    <w:right w:w="57" w:type="dxa"/>
                  </w:tcMar>
                  <w:vAlign w:val="center"/>
                </w:tcPr>
                <w:p w14:paraId="7F5EF11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宋体" w:hAnsi="宋体" w:eastAsia="宋体" w:cs="宋体"/>
                      <w:b/>
                      <w:bCs/>
                      <w:kern w:val="0"/>
                      <w:sz w:val="21"/>
                      <w:szCs w:val="21"/>
                      <w:lang w:val="en-US" w:eastAsia="zh-CN"/>
                    </w:rPr>
                  </w:pPr>
                  <w:r>
                    <w:rPr>
                      <w:rFonts w:eastAsiaTheme="minorEastAsia"/>
                      <w:b/>
                      <w:bCs/>
                      <w:kern w:val="0"/>
                      <w:sz w:val="21"/>
                      <w:szCs w:val="21"/>
                    </w:rPr>
                    <w:t>GB8978-1996</w:t>
                  </w:r>
                  <w:r>
                    <w:rPr>
                      <w:rFonts w:hint="eastAsia" w:ascii="宋体" w:hAnsi="宋体" w:eastAsia="宋体" w:cs="宋体"/>
                      <w:b/>
                      <w:bCs/>
                      <w:kern w:val="0"/>
                      <w:sz w:val="21"/>
                      <w:szCs w:val="21"/>
                      <w:lang w:val="en-US" w:eastAsia="zh-CN"/>
                    </w:rPr>
                    <w:t>标准</w:t>
                  </w:r>
                </w:p>
              </w:tc>
              <w:tc>
                <w:tcPr>
                  <w:tcW w:w="1026" w:type="pct"/>
                  <w:tcBorders>
                    <w:tl2br w:val="nil"/>
                    <w:tr2bl w:val="nil"/>
                  </w:tcBorders>
                  <w:noWrap/>
                  <w:tcMar>
                    <w:top w:w="57" w:type="dxa"/>
                    <w:left w:w="57" w:type="dxa"/>
                    <w:bottom w:w="57" w:type="dxa"/>
                    <w:right w:w="57" w:type="dxa"/>
                  </w:tcMar>
                  <w:vAlign w:val="center"/>
                </w:tcPr>
                <w:p w14:paraId="02ACF5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b/>
                      <w:bCs/>
                      <w:sz w:val="21"/>
                      <w:szCs w:val="21"/>
                      <w:lang w:val="en-US" w:eastAsia="zh-CN"/>
                    </w:rPr>
                  </w:pPr>
                  <w:r>
                    <w:rPr>
                      <w:rFonts w:hint="eastAsia" w:ascii="宋体" w:hAnsi="宋体" w:eastAsia="宋体" w:cs="宋体"/>
                      <w:b/>
                      <w:bCs/>
                      <w:kern w:val="0"/>
                      <w:sz w:val="21"/>
                      <w:szCs w:val="21"/>
                      <w:lang w:val="en-US" w:eastAsia="zh-CN"/>
                    </w:rPr>
                    <w:t>本项目执行</w:t>
                  </w:r>
                  <w:r>
                    <w:rPr>
                      <w:rFonts w:hint="eastAsia" w:ascii="宋体" w:hAnsi="宋体" w:cs="宋体"/>
                      <w:b/>
                      <w:bCs/>
                      <w:kern w:val="0"/>
                      <w:sz w:val="21"/>
                      <w:szCs w:val="21"/>
                      <w:lang w:val="en-US" w:eastAsia="zh-CN"/>
                    </w:rPr>
                    <w:t>限值</w:t>
                  </w:r>
                </w:p>
              </w:tc>
            </w:tr>
            <w:tr w14:paraId="57BC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pct"/>
                  <w:tcBorders>
                    <w:tl2br w:val="nil"/>
                    <w:tr2bl w:val="nil"/>
                  </w:tcBorders>
                  <w:noWrap/>
                  <w:tcMar>
                    <w:top w:w="57" w:type="dxa"/>
                    <w:left w:w="57" w:type="dxa"/>
                    <w:bottom w:w="57" w:type="dxa"/>
                    <w:right w:w="57" w:type="dxa"/>
                  </w:tcMar>
                  <w:vAlign w:val="center"/>
                </w:tcPr>
                <w:p w14:paraId="3AE774D6">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s="Times New Roman"/>
                      <w:b w:val="0"/>
                      <w:bCs w:val="0"/>
                      <w:color w:val="000000"/>
                      <w:kern w:val="2"/>
                      <w:sz w:val="21"/>
                      <w:szCs w:val="21"/>
                      <w:highlight w:val="none"/>
                      <w:lang w:val="en-US" w:eastAsia="zh-CN"/>
                    </w:rPr>
                  </w:pPr>
                  <w:r>
                    <w:rPr>
                      <w:rFonts w:hint="eastAsia" w:ascii="Times New Roman" w:hAnsi="Times New Roman" w:eastAsia="宋体" w:cs="Times New Roman"/>
                      <w:b w:val="0"/>
                      <w:bCs w:val="0"/>
                      <w:sz w:val="21"/>
                      <w:szCs w:val="21"/>
                    </w:rPr>
                    <w:t>p</w:t>
                  </w:r>
                  <w:r>
                    <w:rPr>
                      <w:rFonts w:ascii="Times New Roman" w:hAnsi="Times New Roman" w:eastAsia="宋体" w:cs="Times New Roman"/>
                      <w:b w:val="0"/>
                      <w:bCs w:val="0"/>
                      <w:sz w:val="21"/>
                      <w:szCs w:val="21"/>
                    </w:rPr>
                    <w:t>H</w:t>
                  </w:r>
                </w:p>
              </w:tc>
              <w:tc>
                <w:tcPr>
                  <w:tcW w:w="568" w:type="pct"/>
                  <w:tcBorders>
                    <w:tl2br w:val="nil"/>
                    <w:tr2bl w:val="nil"/>
                  </w:tcBorders>
                  <w:noWrap/>
                  <w:tcMar>
                    <w:top w:w="57" w:type="dxa"/>
                    <w:left w:w="57" w:type="dxa"/>
                    <w:bottom w:w="57" w:type="dxa"/>
                    <w:right w:w="57" w:type="dxa"/>
                  </w:tcMar>
                  <w:vAlign w:val="center"/>
                </w:tcPr>
                <w:p w14:paraId="4F40BA6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rPr>
                    <w:t>/</w:t>
                  </w:r>
                </w:p>
              </w:tc>
              <w:tc>
                <w:tcPr>
                  <w:tcW w:w="1202" w:type="pct"/>
                  <w:tcBorders>
                    <w:tl2br w:val="nil"/>
                    <w:tr2bl w:val="nil"/>
                  </w:tcBorders>
                  <w:shd w:val="clear" w:color="auto" w:fill="auto"/>
                  <w:noWrap/>
                  <w:tcMar>
                    <w:top w:w="57" w:type="dxa"/>
                    <w:left w:w="57" w:type="dxa"/>
                    <w:bottom w:w="57" w:type="dxa"/>
                    <w:right w:w="57" w:type="dxa"/>
                  </w:tcMar>
                  <w:vAlign w:val="center"/>
                </w:tcPr>
                <w:p w14:paraId="3955C0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rPr>
                    <w:t>6~9</w:t>
                  </w:r>
                </w:p>
              </w:tc>
              <w:tc>
                <w:tcPr>
                  <w:tcW w:w="1176" w:type="pct"/>
                  <w:tcBorders>
                    <w:tl2br w:val="nil"/>
                    <w:tr2bl w:val="nil"/>
                  </w:tcBorders>
                  <w:noWrap/>
                  <w:tcMar>
                    <w:top w:w="57" w:type="dxa"/>
                    <w:left w:w="57" w:type="dxa"/>
                    <w:bottom w:w="57" w:type="dxa"/>
                    <w:right w:w="57" w:type="dxa"/>
                  </w:tcMar>
                  <w:vAlign w:val="center"/>
                </w:tcPr>
                <w:p w14:paraId="0F857E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kern w:val="2"/>
                      <w:sz w:val="21"/>
                      <w:szCs w:val="21"/>
                      <w:highlight w:val="none"/>
                      <w:lang w:val="en-US" w:eastAsia="zh-CN"/>
                    </w:rPr>
                  </w:pPr>
                  <w:r>
                    <w:rPr>
                      <w:rFonts w:hint="eastAsia"/>
                      <w:b w:val="0"/>
                      <w:bCs w:val="0"/>
                      <w:sz w:val="21"/>
                      <w:szCs w:val="21"/>
                      <w:lang w:val="en-US" w:eastAsia="zh-CN"/>
                    </w:rPr>
                    <w:t>6~9</w:t>
                  </w:r>
                </w:p>
              </w:tc>
              <w:tc>
                <w:tcPr>
                  <w:tcW w:w="1026" w:type="pct"/>
                  <w:tcBorders>
                    <w:tl2br w:val="nil"/>
                    <w:tr2bl w:val="nil"/>
                  </w:tcBorders>
                  <w:noWrap/>
                  <w:tcMar>
                    <w:top w:w="57" w:type="dxa"/>
                    <w:left w:w="57" w:type="dxa"/>
                    <w:bottom w:w="57" w:type="dxa"/>
                    <w:right w:w="57" w:type="dxa"/>
                  </w:tcMar>
                  <w:vAlign w:val="center"/>
                </w:tcPr>
                <w:p w14:paraId="7AE9D7B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rPr>
                    <w:t>6~9</w:t>
                  </w:r>
                </w:p>
              </w:tc>
            </w:tr>
            <w:tr w14:paraId="07A2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pct"/>
                  <w:tcBorders>
                    <w:tl2br w:val="nil"/>
                    <w:tr2bl w:val="nil"/>
                  </w:tcBorders>
                  <w:noWrap/>
                  <w:tcMar>
                    <w:top w:w="57" w:type="dxa"/>
                    <w:left w:w="57" w:type="dxa"/>
                    <w:bottom w:w="57" w:type="dxa"/>
                    <w:right w:w="57" w:type="dxa"/>
                  </w:tcMar>
                  <w:vAlign w:val="center"/>
                </w:tcPr>
                <w:p w14:paraId="6D4BF4BF">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C</w:t>
                  </w:r>
                  <w:r>
                    <w:rPr>
                      <w:rFonts w:ascii="Times New Roman" w:hAnsi="Times New Roman" w:eastAsia="宋体" w:cs="Times New Roman"/>
                      <w:b w:val="0"/>
                      <w:bCs w:val="0"/>
                      <w:sz w:val="21"/>
                      <w:szCs w:val="21"/>
                    </w:rPr>
                    <w:t>OD</w:t>
                  </w:r>
                </w:p>
              </w:tc>
              <w:tc>
                <w:tcPr>
                  <w:tcW w:w="568" w:type="pct"/>
                  <w:tcBorders>
                    <w:tl2br w:val="nil"/>
                    <w:tr2bl w:val="nil"/>
                  </w:tcBorders>
                  <w:noWrap/>
                  <w:tcMar>
                    <w:top w:w="57" w:type="dxa"/>
                    <w:left w:w="57" w:type="dxa"/>
                    <w:bottom w:w="57" w:type="dxa"/>
                    <w:right w:w="57" w:type="dxa"/>
                  </w:tcMar>
                  <w:vAlign w:val="center"/>
                </w:tcPr>
                <w:p w14:paraId="657330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rPr>
                  </w:pPr>
                  <w:r>
                    <w:rPr>
                      <w:rFonts w:hint="default" w:ascii="Times New Roman" w:hAnsi="Times New Roman" w:eastAsia="宋体" w:cs="Times New Roman"/>
                      <w:b w:val="0"/>
                      <w:bCs w:val="0"/>
                      <w:color w:val="000000"/>
                      <w:kern w:val="2"/>
                      <w:sz w:val="21"/>
                      <w:szCs w:val="21"/>
                      <w:highlight w:val="none"/>
                      <w:lang w:val="en-US" w:eastAsia="zh-CN"/>
                    </w:rPr>
                    <w:t>mg/</w:t>
                  </w:r>
                  <w:r>
                    <w:rPr>
                      <w:rFonts w:hint="eastAsia" w:cs="Times New Roman"/>
                      <w:b w:val="0"/>
                      <w:bCs w:val="0"/>
                      <w:color w:val="000000"/>
                      <w:kern w:val="2"/>
                      <w:sz w:val="21"/>
                      <w:szCs w:val="21"/>
                      <w:highlight w:val="none"/>
                      <w:lang w:val="en-US" w:eastAsia="zh-CN"/>
                    </w:rPr>
                    <w:t>L</w:t>
                  </w:r>
                </w:p>
              </w:tc>
              <w:tc>
                <w:tcPr>
                  <w:tcW w:w="1202" w:type="pct"/>
                  <w:tcBorders>
                    <w:tl2br w:val="nil"/>
                    <w:tr2bl w:val="nil"/>
                  </w:tcBorders>
                  <w:shd w:val="clear" w:color="auto" w:fill="auto"/>
                  <w:noWrap/>
                  <w:tcMar>
                    <w:top w:w="57" w:type="dxa"/>
                    <w:left w:w="57" w:type="dxa"/>
                    <w:bottom w:w="57" w:type="dxa"/>
                    <w:right w:w="57" w:type="dxa"/>
                  </w:tcMar>
                  <w:vAlign w:val="center"/>
                </w:tcPr>
                <w:p w14:paraId="1D67D60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rPr>
                  </w:pPr>
                  <w:r>
                    <w:rPr>
                      <w:rFonts w:hint="eastAsia" w:cs="Times New Roman"/>
                      <w:b w:val="0"/>
                      <w:bCs w:val="0"/>
                      <w:color w:val="000000"/>
                      <w:kern w:val="2"/>
                      <w:sz w:val="21"/>
                      <w:szCs w:val="21"/>
                      <w:highlight w:val="none"/>
                      <w:lang w:val="en-US" w:eastAsia="zh-CN"/>
                    </w:rPr>
                    <w:t>≤500</w:t>
                  </w:r>
                </w:p>
              </w:tc>
              <w:tc>
                <w:tcPr>
                  <w:tcW w:w="1176" w:type="pct"/>
                  <w:tcBorders>
                    <w:tl2br w:val="nil"/>
                    <w:tr2bl w:val="nil"/>
                  </w:tcBorders>
                  <w:noWrap/>
                  <w:tcMar>
                    <w:top w:w="57" w:type="dxa"/>
                    <w:left w:w="57" w:type="dxa"/>
                    <w:bottom w:w="57" w:type="dxa"/>
                    <w:right w:w="57" w:type="dxa"/>
                  </w:tcMar>
                  <w:vAlign w:val="center"/>
                </w:tcPr>
                <w:p w14:paraId="4FDA1F3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b w:val="0"/>
                      <w:bCs w:val="0"/>
                      <w:sz w:val="21"/>
                      <w:szCs w:val="21"/>
                      <w:lang w:val="en-US" w:eastAsia="zh-CN"/>
                    </w:rPr>
                  </w:pPr>
                  <w:r>
                    <w:rPr>
                      <w:rFonts w:hint="eastAsia" w:cs="Times New Roman"/>
                      <w:b w:val="0"/>
                      <w:bCs w:val="0"/>
                      <w:color w:val="000000"/>
                      <w:kern w:val="2"/>
                      <w:sz w:val="21"/>
                      <w:szCs w:val="21"/>
                      <w:highlight w:val="none"/>
                      <w:lang w:val="en-US" w:eastAsia="zh-CN"/>
                    </w:rPr>
                    <w:t>≤500</w:t>
                  </w:r>
                </w:p>
              </w:tc>
              <w:tc>
                <w:tcPr>
                  <w:tcW w:w="1026" w:type="pct"/>
                  <w:tcBorders>
                    <w:tl2br w:val="nil"/>
                    <w:tr2bl w:val="nil"/>
                  </w:tcBorders>
                  <w:noWrap/>
                  <w:tcMar>
                    <w:top w:w="57" w:type="dxa"/>
                    <w:left w:w="57" w:type="dxa"/>
                    <w:bottom w:w="57" w:type="dxa"/>
                    <w:right w:w="57" w:type="dxa"/>
                  </w:tcMar>
                  <w:vAlign w:val="center"/>
                </w:tcPr>
                <w:p w14:paraId="13C442B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b w:val="0"/>
                      <w:bCs w:val="0"/>
                      <w:sz w:val="21"/>
                      <w:szCs w:val="21"/>
                      <w:lang w:val="en-US" w:eastAsia="zh-CN"/>
                    </w:rPr>
                  </w:pPr>
                  <w:r>
                    <w:rPr>
                      <w:rFonts w:hint="eastAsia" w:cs="Times New Roman"/>
                      <w:b w:val="0"/>
                      <w:bCs w:val="0"/>
                      <w:color w:val="000000"/>
                      <w:kern w:val="2"/>
                      <w:sz w:val="21"/>
                      <w:szCs w:val="21"/>
                      <w:highlight w:val="none"/>
                      <w:lang w:val="en-US" w:eastAsia="zh-CN"/>
                    </w:rPr>
                    <w:t>≤500</w:t>
                  </w:r>
                </w:p>
              </w:tc>
            </w:tr>
            <w:tr w14:paraId="3614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pct"/>
                  <w:tcBorders>
                    <w:tl2br w:val="nil"/>
                    <w:tr2bl w:val="nil"/>
                  </w:tcBorders>
                  <w:noWrap/>
                  <w:tcMar>
                    <w:top w:w="57" w:type="dxa"/>
                    <w:left w:w="57" w:type="dxa"/>
                    <w:bottom w:w="57" w:type="dxa"/>
                    <w:right w:w="57" w:type="dxa"/>
                  </w:tcMar>
                  <w:vAlign w:val="center"/>
                </w:tcPr>
                <w:p w14:paraId="662406EC">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B</w:t>
                  </w:r>
                  <w:r>
                    <w:rPr>
                      <w:rFonts w:ascii="Times New Roman" w:hAnsi="Times New Roman" w:eastAsia="宋体" w:cs="Times New Roman"/>
                      <w:b w:val="0"/>
                      <w:bCs w:val="0"/>
                      <w:sz w:val="21"/>
                      <w:szCs w:val="21"/>
                    </w:rPr>
                    <w:t>OD</w:t>
                  </w:r>
                  <w:r>
                    <w:rPr>
                      <w:rFonts w:ascii="Times New Roman" w:hAnsi="Times New Roman" w:eastAsia="宋体" w:cs="Times New Roman"/>
                      <w:b w:val="0"/>
                      <w:bCs w:val="0"/>
                      <w:sz w:val="21"/>
                      <w:szCs w:val="21"/>
                      <w:vertAlign w:val="subscript"/>
                    </w:rPr>
                    <w:t>5</w:t>
                  </w:r>
                </w:p>
              </w:tc>
              <w:tc>
                <w:tcPr>
                  <w:tcW w:w="568" w:type="pct"/>
                  <w:tcBorders>
                    <w:tl2br w:val="nil"/>
                    <w:tr2bl w:val="nil"/>
                  </w:tcBorders>
                  <w:noWrap/>
                  <w:tcMar>
                    <w:top w:w="57" w:type="dxa"/>
                    <w:left w:w="57" w:type="dxa"/>
                    <w:bottom w:w="57" w:type="dxa"/>
                    <w:right w:w="57" w:type="dxa"/>
                  </w:tcMar>
                  <w:vAlign w:val="center"/>
                </w:tcPr>
                <w:p w14:paraId="1D49C4B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rPr>
                  </w:pPr>
                  <w:r>
                    <w:rPr>
                      <w:rFonts w:hint="default" w:ascii="Times New Roman" w:hAnsi="Times New Roman" w:eastAsia="宋体" w:cs="Times New Roman"/>
                      <w:b w:val="0"/>
                      <w:bCs w:val="0"/>
                      <w:color w:val="000000"/>
                      <w:kern w:val="2"/>
                      <w:sz w:val="21"/>
                      <w:szCs w:val="21"/>
                      <w:highlight w:val="none"/>
                      <w:lang w:val="en-US" w:eastAsia="zh-CN"/>
                    </w:rPr>
                    <w:t>mg/</w:t>
                  </w:r>
                  <w:r>
                    <w:rPr>
                      <w:rFonts w:hint="eastAsia" w:cs="Times New Roman"/>
                      <w:b w:val="0"/>
                      <w:bCs w:val="0"/>
                      <w:color w:val="000000"/>
                      <w:kern w:val="2"/>
                      <w:sz w:val="21"/>
                      <w:szCs w:val="21"/>
                      <w:highlight w:val="none"/>
                      <w:lang w:val="en-US" w:eastAsia="zh-CN"/>
                    </w:rPr>
                    <w:t>L</w:t>
                  </w:r>
                </w:p>
              </w:tc>
              <w:tc>
                <w:tcPr>
                  <w:tcW w:w="1202" w:type="pct"/>
                  <w:tcBorders>
                    <w:tl2br w:val="nil"/>
                    <w:tr2bl w:val="nil"/>
                  </w:tcBorders>
                  <w:shd w:val="clear" w:color="auto" w:fill="auto"/>
                  <w:noWrap/>
                  <w:tcMar>
                    <w:top w:w="57" w:type="dxa"/>
                    <w:left w:w="57" w:type="dxa"/>
                    <w:bottom w:w="57" w:type="dxa"/>
                    <w:right w:w="57" w:type="dxa"/>
                  </w:tcMar>
                  <w:vAlign w:val="center"/>
                </w:tcPr>
                <w:p w14:paraId="11C9E59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kern w:val="2"/>
                      <w:sz w:val="21"/>
                      <w:szCs w:val="21"/>
                      <w:highlight w:val="none"/>
                      <w:lang w:val="en-US" w:eastAsia="zh-CN"/>
                    </w:rPr>
                  </w:pPr>
                  <w:r>
                    <w:rPr>
                      <w:rFonts w:hint="eastAsia" w:cs="Times New Roman"/>
                      <w:b w:val="0"/>
                      <w:bCs w:val="0"/>
                      <w:color w:val="000000"/>
                      <w:kern w:val="2"/>
                      <w:sz w:val="21"/>
                      <w:szCs w:val="21"/>
                      <w:highlight w:val="none"/>
                      <w:lang w:val="en-US" w:eastAsia="zh-CN"/>
                    </w:rPr>
                    <w:t>≤300</w:t>
                  </w:r>
                </w:p>
              </w:tc>
              <w:tc>
                <w:tcPr>
                  <w:tcW w:w="1176" w:type="pct"/>
                  <w:tcBorders>
                    <w:tl2br w:val="nil"/>
                    <w:tr2bl w:val="nil"/>
                  </w:tcBorders>
                  <w:noWrap/>
                  <w:tcMar>
                    <w:top w:w="57" w:type="dxa"/>
                    <w:left w:w="57" w:type="dxa"/>
                    <w:bottom w:w="57" w:type="dxa"/>
                    <w:right w:w="57" w:type="dxa"/>
                  </w:tcMar>
                  <w:vAlign w:val="center"/>
                </w:tcPr>
                <w:p w14:paraId="26C62BA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b w:val="0"/>
                      <w:bCs w:val="0"/>
                      <w:sz w:val="21"/>
                      <w:szCs w:val="21"/>
                      <w:lang w:val="en-US" w:eastAsia="zh-CN"/>
                    </w:rPr>
                  </w:pPr>
                  <w:r>
                    <w:rPr>
                      <w:rFonts w:hint="eastAsia" w:cs="Times New Roman"/>
                      <w:b w:val="0"/>
                      <w:bCs w:val="0"/>
                      <w:color w:val="000000"/>
                      <w:kern w:val="2"/>
                      <w:sz w:val="21"/>
                      <w:szCs w:val="21"/>
                      <w:highlight w:val="none"/>
                      <w:lang w:val="en-US" w:eastAsia="zh-CN"/>
                    </w:rPr>
                    <w:t>≤300</w:t>
                  </w:r>
                </w:p>
              </w:tc>
              <w:tc>
                <w:tcPr>
                  <w:tcW w:w="1026" w:type="pct"/>
                  <w:tcBorders>
                    <w:tl2br w:val="nil"/>
                    <w:tr2bl w:val="nil"/>
                  </w:tcBorders>
                  <w:noWrap/>
                  <w:tcMar>
                    <w:top w:w="57" w:type="dxa"/>
                    <w:left w:w="57" w:type="dxa"/>
                    <w:bottom w:w="57" w:type="dxa"/>
                    <w:right w:w="57" w:type="dxa"/>
                  </w:tcMar>
                  <w:vAlign w:val="center"/>
                </w:tcPr>
                <w:p w14:paraId="026022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b w:val="0"/>
                      <w:bCs w:val="0"/>
                      <w:sz w:val="21"/>
                      <w:szCs w:val="21"/>
                      <w:lang w:val="en-US" w:eastAsia="zh-CN"/>
                    </w:rPr>
                  </w:pPr>
                  <w:r>
                    <w:rPr>
                      <w:rFonts w:hint="eastAsia" w:cs="Times New Roman"/>
                      <w:b w:val="0"/>
                      <w:bCs w:val="0"/>
                      <w:color w:val="000000"/>
                      <w:kern w:val="2"/>
                      <w:sz w:val="21"/>
                      <w:szCs w:val="21"/>
                      <w:highlight w:val="none"/>
                      <w:lang w:val="en-US" w:eastAsia="zh-CN"/>
                    </w:rPr>
                    <w:t>≤300</w:t>
                  </w:r>
                </w:p>
              </w:tc>
            </w:tr>
            <w:tr w14:paraId="2574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pct"/>
                  <w:tcBorders>
                    <w:tl2br w:val="nil"/>
                    <w:tr2bl w:val="nil"/>
                  </w:tcBorders>
                  <w:noWrap/>
                  <w:tcMar>
                    <w:top w:w="57" w:type="dxa"/>
                    <w:left w:w="57" w:type="dxa"/>
                    <w:bottom w:w="57" w:type="dxa"/>
                    <w:right w:w="57" w:type="dxa"/>
                  </w:tcMar>
                  <w:vAlign w:val="center"/>
                </w:tcPr>
                <w:p w14:paraId="639464DF">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S</w:t>
                  </w:r>
                  <w:r>
                    <w:rPr>
                      <w:rFonts w:ascii="Times New Roman" w:hAnsi="Times New Roman" w:eastAsia="宋体" w:cs="Times New Roman"/>
                      <w:b w:val="0"/>
                      <w:bCs w:val="0"/>
                      <w:sz w:val="21"/>
                      <w:szCs w:val="21"/>
                    </w:rPr>
                    <w:t>S</w:t>
                  </w:r>
                </w:p>
              </w:tc>
              <w:tc>
                <w:tcPr>
                  <w:tcW w:w="568" w:type="pct"/>
                  <w:tcBorders>
                    <w:tl2br w:val="nil"/>
                    <w:tr2bl w:val="nil"/>
                  </w:tcBorders>
                  <w:noWrap/>
                  <w:tcMar>
                    <w:top w:w="57" w:type="dxa"/>
                    <w:left w:w="57" w:type="dxa"/>
                    <w:bottom w:w="57" w:type="dxa"/>
                    <w:right w:w="57" w:type="dxa"/>
                  </w:tcMar>
                  <w:vAlign w:val="center"/>
                </w:tcPr>
                <w:p w14:paraId="0DA6ED4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rPr>
                  </w:pPr>
                  <w:r>
                    <w:rPr>
                      <w:rFonts w:hint="default" w:ascii="Times New Roman" w:hAnsi="Times New Roman" w:eastAsia="宋体" w:cs="Times New Roman"/>
                      <w:b w:val="0"/>
                      <w:bCs w:val="0"/>
                      <w:color w:val="000000"/>
                      <w:kern w:val="2"/>
                      <w:sz w:val="21"/>
                      <w:szCs w:val="21"/>
                      <w:highlight w:val="none"/>
                      <w:lang w:val="en-US" w:eastAsia="zh-CN"/>
                    </w:rPr>
                    <w:t>mg/</w:t>
                  </w:r>
                  <w:r>
                    <w:rPr>
                      <w:rFonts w:hint="eastAsia" w:cs="Times New Roman"/>
                      <w:b w:val="0"/>
                      <w:bCs w:val="0"/>
                      <w:color w:val="000000"/>
                      <w:kern w:val="2"/>
                      <w:sz w:val="21"/>
                      <w:szCs w:val="21"/>
                      <w:highlight w:val="none"/>
                      <w:lang w:val="en-US" w:eastAsia="zh-CN"/>
                    </w:rPr>
                    <w:t>L</w:t>
                  </w:r>
                </w:p>
              </w:tc>
              <w:tc>
                <w:tcPr>
                  <w:tcW w:w="1202" w:type="pct"/>
                  <w:tcBorders>
                    <w:tl2br w:val="nil"/>
                    <w:tr2bl w:val="nil"/>
                  </w:tcBorders>
                  <w:shd w:val="clear" w:color="auto" w:fill="auto"/>
                  <w:noWrap/>
                  <w:tcMar>
                    <w:top w:w="57" w:type="dxa"/>
                    <w:left w:w="57" w:type="dxa"/>
                    <w:bottom w:w="57" w:type="dxa"/>
                    <w:right w:w="57" w:type="dxa"/>
                  </w:tcMar>
                  <w:vAlign w:val="center"/>
                </w:tcPr>
                <w:p w14:paraId="24C0AC4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kern w:val="2"/>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rPr>
                    <w:t>≤250</w:t>
                  </w:r>
                </w:p>
              </w:tc>
              <w:tc>
                <w:tcPr>
                  <w:tcW w:w="1176" w:type="pct"/>
                  <w:tcBorders>
                    <w:tl2br w:val="nil"/>
                    <w:tr2bl w:val="nil"/>
                  </w:tcBorders>
                  <w:noWrap/>
                  <w:tcMar>
                    <w:top w:w="57" w:type="dxa"/>
                    <w:left w:w="57" w:type="dxa"/>
                    <w:bottom w:w="57" w:type="dxa"/>
                    <w:right w:w="57" w:type="dxa"/>
                  </w:tcMar>
                  <w:vAlign w:val="center"/>
                </w:tcPr>
                <w:p w14:paraId="0B2433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b w:val="0"/>
                      <w:bCs w:val="0"/>
                      <w:sz w:val="21"/>
                      <w:szCs w:val="21"/>
                      <w:lang w:val="en-US" w:eastAsia="zh-CN"/>
                    </w:rPr>
                  </w:pPr>
                  <w:r>
                    <w:rPr>
                      <w:rFonts w:hint="eastAsia" w:cs="Times New Roman"/>
                      <w:b w:val="0"/>
                      <w:bCs w:val="0"/>
                      <w:color w:val="000000"/>
                      <w:kern w:val="2"/>
                      <w:sz w:val="21"/>
                      <w:szCs w:val="21"/>
                      <w:highlight w:val="none"/>
                      <w:lang w:val="en-US" w:eastAsia="zh-CN"/>
                    </w:rPr>
                    <w:t>≤400</w:t>
                  </w:r>
                </w:p>
              </w:tc>
              <w:tc>
                <w:tcPr>
                  <w:tcW w:w="1026" w:type="pct"/>
                  <w:tcBorders>
                    <w:tl2br w:val="nil"/>
                    <w:tr2bl w:val="nil"/>
                  </w:tcBorders>
                  <w:noWrap/>
                  <w:tcMar>
                    <w:top w:w="57" w:type="dxa"/>
                    <w:left w:w="57" w:type="dxa"/>
                    <w:bottom w:w="57" w:type="dxa"/>
                    <w:right w:w="57" w:type="dxa"/>
                  </w:tcMar>
                  <w:vAlign w:val="center"/>
                </w:tcPr>
                <w:p w14:paraId="74F94E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b w:val="0"/>
                      <w:bCs w:val="0"/>
                      <w:sz w:val="21"/>
                      <w:szCs w:val="21"/>
                      <w:lang w:val="en-US" w:eastAsia="zh-CN"/>
                    </w:rPr>
                  </w:pPr>
                  <w:r>
                    <w:rPr>
                      <w:rFonts w:hint="eastAsia" w:ascii="Times New Roman" w:hAnsi="Times New Roman" w:eastAsia="宋体" w:cs="Times New Roman"/>
                      <w:b w:val="0"/>
                      <w:bCs w:val="0"/>
                      <w:color w:val="000000"/>
                      <w:kern w:val="2"/>
                      <w:sz w:val="21"/>
                      <w:szCs w:val="21"/>
                      <w:highlight w:val="none"/>
                      <w:lang w:val="en-US" w:eastAsia="zh-CN"/>
                    </w:rPr>
                    <w:t>≤250</w:t>
                  </w:r>
                </w:p>
              </w:tc>
            </w:tr>
            <w:tr w14:paraId="6FDC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pct"/>
                  <w:tcBorders>
                    <w:tl2br w:val="nil"/>
                    <w:tr2bl w:val="nil"/>
                  </w:tcBorders>
                  <w:noWrap/>
                  <w:tcMar>
                    <w:top w:w="57" w:type="dxa"/>
                    <w:left w:w="57" w:type="dxa"/>
                    <w:bottom w:w="57" w:type="dxa"/>
                    <w:right w:w="57" w:type="dxa"/>
                  </w:tcMar>
                  <w:vAlign w:val="center"/>
                </w:tcPr>
                <w:p w14:paraId="6C26D566">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rPr>
                    <w:t>N</w:t>
                  </w:r>
                  <w:r>
                    <w:rPr>
                      <w:rFonts w:ascii="Times New Roman" w:hAnsi="Times New Roman" w:eastAsia="宋体" w:cs="Times New Roman"/>
                      <w:b w:val="0"/>
                      <w:bCs w:val="0"/>
                      <w:sz w:val="21"/>
                      <w:szCs w:val="21"/>
                    </w:rPr>
                    <w:t>H</w:t>
                  </w:r>
                  <w:r>
                    <w:rPr>
                      <w:rFonts w:ascii="Times New Roman" w:hAnsi="Times New Roman" w:eastAsia="宋体" w:cs="Times New Roman"/>
                      <w:b w:val="0"/>
                      <w:bCs w:val="0"/>
                      <w:sz w:val="21"/>
                      <w:szCs w:val="21"/>
                      <w:vertAlign w:val="subscript"/>
                    </w:rPr>
                    <w:t>3</w:t>
                  </w:r>
                  <w:r>
                    <w:rPr>
                      <w:rFonts w:ascii="Times New Roman" w:hAnsi="Times New Roman" w:eastAsia="宋体" w:cs="Times New Roman"/>
                      <w:b w:val="0"/>
                      <w:bCs w:val="0"/>
                      <w:sz w:val="21"/>
                      <w:szCs w:val="21"/>
                    </w:rPr>
                    <w:t>-N</w:t>
                  </w:r>
                </w:p>
              </w:tc>
              <w:tc>
                <w:tcPr>
                  <w:tcW w:w="568" w:type="pct"/>
                  <w:tcBorders>
                    <w:tl2br w:val="nil"/>
                    <w:tr2bl w:val="nil"/>
                  </w:tcBorders>
                  <w:noWrap/>
                  <w:tcMar>
                    <w:top w:w="57" w:type="dxa"/>
                    <w:left w:w="57" w:type="dxa"/>
                    <w:bottom w:w="57" w:type="dxa"/>
                    <w:right w:w="57" w:type="dxa"/>
                  </w:tcMar>
                  <w:vAlign w:val="center"/>
                </w:tcPr>
                <w:p w14:paraId="05B8D1B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rPr>
                  </w:pPr>
                  <w:r>
                    <w:rPr>
                      <w:rFonts w:hint="default" w:ascii="Times New Roman" w:hAnsi="Times New Roman" w:eastAsia="宋体" w:cs="Times New Roman"/>
                      <w:b w:val="0"/>
                      <w:bCs w:val="0"/>
                      <w:color w:val="000000"/>
                      <w:kern w:val="2"/>
                      <w:sz w:val="21"/>
                      <w:szCs w:val="21"/>
                      <w:highlight w:val="none"/>
                      <w:lang w:val="en-US" w:eastAsia="zh-CN"/>
                    </w:rPr>
                    <w:t>mg/</w:t>
                  </w:r>
                  <w:r>
                    <w:rPr>
                      <w:rFonts w:hint="eastAsia" w:cs="Times New Roman"/>
                      <w:b w:val="0"/>
                      <w:bCs w:val="0"/>
                      <w:color w:val="000000"/>
                      <w:kern w:val="2"/>
                      <w:sz w:val="21"/>
                      <w:szCs w:val="21"/>
                      <w:highlight w:val="none"/>
                      <w:lang w:val="en-US" w:eastAsia="zh-CN"/>
                    </w:rPr>
                    <w:t>L</w:t>
                  </w:r>
                </w:p>
              </w:tc>
              <w:tc>
                <w:tcPr>
                  <w:tcW w:w="1202" w:type="pct"/>
                  <w:tcBorders>
                    <w:tl2br w:val="nil"/>
                    <w:tr2bl w:val="nil"/>
                  </w:tcBorders>
                  <w:shd w:val="clear" w:color="auto" w:fill="auto"/>
                  <w:noWrap/>
                  <w:tcMar>
                    <w:top w:w="57" w:type="dxa"/>
                    <w:left w:w="57" w:type="dxa"/>
                    <w:bottom w:w="57" w:type="dxa"/>
                    <w:right w:w="57" w:type="dxa"/>
                  </w:tcMar>
                  <w:vAlign w:val="center"/>
                </w:tcPr>
                <w:p w14:paraId="4483EC4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b w:val="0"/>
                      <w:bCs w:val="0"/>
                      <w:color w:val="000000"/>
                      <w:kern w:val="2"/>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rPr>
                    <w:t>≤30</w:t>
                  </w:r>
                </w:p>
              </w:tc>
              <w:tc>
                <w:tcPr>
                  <w:tcW w:w="1176" w:type="pct"/>
                  <w:tcBorders>
                    <w:tl2br w:val="nil"/>
                    <w:tr2bl w:val="nil"/>
                  </w:tcBorders>
                  <w:noWrap/>
                  <w:tcMar>
                    <w:top w:w="57" w:type="dxa"/>
                    <w:left w:w="57" w:type="dxa"/>
                    <w:bottom w:w="57" w:type="dxa"/>
                    <w:right w:w="57" w:type="dxa"/>
                  </w:tcMar>
                  <w:vAlign w:val="center"/>
                </w:tcPr>
                <w:p w14:paraId="4F33C97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b w:val="0"/>
                      <w:bCs w:val="0"/>
                      <w:sz w:val="21"/>
                      <w:szCs w:val="21"/>
                      <w:lang w:val="en-US" w:eastAsia="zh-CN"/>
                    </w:rPr>
                  </w:pPr>
                  <w:r>
                    <w:rPr>
                      <w:rFonts w:hint="eastAsia" w:cs="Times New Roman"/>
                      <w:b w:val="0"/>
                      <w:bCs w:val="0"/>
                      <w:color w:val="000000"/>
                      <w:kern w:val="2"/>
                      <w:sz w:val="21"/>
                      <w:szCs w:val="21"/>
                      <w:highlight w:val="none"/>
                      <w:lang w:val="en-US" w:eastAsia="zh-CN"/>
                    </w:rPr>
                    <w:t>/</w:t>
                  </w:r>
                </w:p>
              </w:tc>
              <w:tc>
                <w:tcPr>
                  <w:tcW w:w="1026" w:type="pct"/>
                  <w:tcBorders>
                    <w:tl2br w:val="nil"/>
                    <w:tr2bl w:val="nil"/>
                  </w:tcBorders>
                  <w:noWrap/>
                  <w:tcMar>
                    <w:top w:w="57" w:type="dxa"/>
                    <w:left w:w="57" w:type="dxa"/>
                    <w:bottom w:w="57" w:type="dxa"/>
                    <w:right w:w="57" w:type="dxa"/>
                  </w:tcMar>
                  <w:vAlign w:val="center"/>
                </w:tcPr>
                <w:p w14:paraId="4B8D58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b w:val="0"/>
                      <w:bCs w:val="0"/>
                      <w:sz w:val="21"/>
                      <w:szCs w:val="21"/>
                      <w:lang w:val="en-US" w:eastAsia="zh-CN"/>
                    </w:rPr>
                  </w:pPr>
                  <w:r>
                    <w:rPr>
                      <w:rFonts w:hint="eastAsia" w:ascii="Times New Roman" w:hAnsi="Times New Roman" w:eastAsia="宋体" w:cs="Times New Roman"/>
                      <w:b w:val="0"/>
                      <w:bCs w:val="0"/>
                      <w:color w:val="000000"/>
                      <w:kern w:val="2"/>
                      <w:sz w:val="21"/>
                      <w:szCs w:val="21"/>
                      <w:highlight w:val="none"/>
                      <w:lang w:val="en-US" w:eastAsia="zh-CN"/>
                    </w:rPr>
                    <w:t>≤30</w:t>
                  </w:r>
                </w:p>
              </w:tc>
            </w:tr>
          </w:tbl>
          <w:p w14:paraId="34C91267">
            <w:pPr>
              <w:spacing w:line="360" w:lineRule="auto"/>
              <w:jc w:val="left"/>
              <w:rPr>
                <w:rFonts w:hint="eastAsia" w:ascii="Times New Roman" w:hAnsi="Times New Roman" w:eastAsia="宋体" w:cs="Times New Roman"/>
                <w:b w:val="0"/>
                <w:bCs w:val="0"/>
                <w:sz w:val="24"/>
                <w:lang w:val="en-US" w:eastAsia="zh-CN"/>
              </w:rPr>
            </w:pPr>
          </w:p>
          <w:p w14:paraId="2B7C66CC">
            <w:pPr>
              <w:spacing w:line="360" w:lineRule="auto"/>
              <w:jc w:val="left"/>
              <w:rPr>
                <w:rFonts w:hint="eastAsia" w:ascii="Times New Roman" w:hAnsi="Times New Roman" w:eastAsia="宋体" w:cs="Times New Roman"/>
                <w:b w:val="0"/>
                <w:bCs w:val="0"/>
                <w:sz w:val="24"/>
                <w:lang w:val="en-US" w:eastAsia="zh-CN"/>
              </w:rPr>
            </w:pPr>
            <w:r>
              <w:rPr>
                <w:rFonts w:hint="eastAsia"/>
                <w:b/>
                <w:bCs/>
                <w:sz w:val="24"/>
                <w:lang w:val="en-US" w:eastAsia="zh-CN"/>
              </w:rPr>
              <w:t>2</w:t>
            </w:r>
            <w:r>
              <w:rPr>
                <w:b/>
                <w:bCs/>
                <w:sz w:val="24"/>
              </w:rPr>
              <w:t>、</w:t>
            </w:r>
            <w:r>
              <w:rPr>
                <w:rFonts w:hint="eastAsia"/>
                <w:b/>
                <w:sz w:val="24"/>
                <w:lang w:val="en-US" w:eastAsia="zh-CN"/>
              </w:rPr>
              <w:t>废气</w:t>
            </w:r>
          </w:p>
          <w:p w14:paraId="58E83D15">
            <w:pPr>
              <w:spacing w:line="360" w:lineRule="auto"/>
              <w:ind w:firstLine="480" w:firstLineChars="200"/>
              <w:jc w:val="left"/>
              <w:rPr>
                <w:rFonts w:hint="eastAsia" w:cs="Times New Roman"/>
                <w:b w:val="0"/>
                <w:bCs w:val="0"/>
                <w:sz w:val="24"/>
                <w:lang w:val="en-US" w:eastAsia="zh-CN"/>
              </w:rPr>
            </w:pPr>
            <w:r>
              <w:rPr>
                <w:rFonts w:hint="eastAsia" w:ascii="Times New Roman" w:hAnsi="Times New Roman" w:eastAsia="宋体" w:cs="Times New Roman"/>
                <w:b w:val="0"/>
                <w:bCs w:val="0"/>
                <w:sz w:val="24"/>
                <w:lang w:val="en-US" w:eastAsia="zh-CN"/>
              </w:rPr>
              <w:t>本项目</w:t>
            </w:r>
            <w:r>
              <w:rPr>
                <w:rFonts w:hint="eastAsia" w:cs="Times New Roman"/>
                <w:b w:val="0"/>
                <w:bCs w:val="0"/>
                <w:sz w:val="24"/>
                <w:lang w:val="en-US" w:eastAsia="zh-CN"/>
              </w:rPr>
              <w:t>建设</w:t>
            </w:r>
            <w:r>
              <w:rPr>
                <w:rFonts w:hint="eastAsia" w:ascii="Times New Roman" w:hAnsi="Times New Roman" w:eastAsia="宋体" w:cs="Times New Roman"/>
                <w:b w:val="0"/>
                <w:bCs w:val="0"/>
                <w:sz w:val="24"/>
                <w:lang w:val="en-US" w:eastAsia="zh-CN"/>
              </w:rPr>
              <w:t>施工期</w:t>
            </w:r>
            <w:r>
              <w:rPr>
                <w:rFonts w:hint="eastAsia" w:cs="Times New Roman"/>
                <w:b w:val="0"/>
                <w:bCs w:val="0"/>
                <w:sz w:val="24"/>
                <w:lang w:val="en-US" w:eastAsia="zh-CN"/>
              </w:rPr>
              <w:t>扬尘执行</w:t>
            </w:r>
            <w:r>
              <w:rPr>
                <w:rFonts w:hint="eastAsia" w:ascii="Times New Roman" w:hAnsi="Times New Roman" w:eastAsia="宋体" w:cs="Times New Roman"/>
                <w:b w:val="0"/>
                <w:bCs w:val="0"/>
                <w:sz w:val="24"/>
                <w:lang w:val="en-US" w:eastAsia="zh-CN"/>
              </w:rPr>
              <w:t>《施工场地颗粒物排放标准》（DB34 4811-2024）</w:t>
            </w:r>
            <w:r>
              <w:rPr>
                <w:rFonts w:hint="eastAsia" w:cs="Times New Roman"/>
                <w:b w:val="0"/>
                <w:bCs w:val="0"/>
                <w:sz w:val="24"/>
                <w:lang w:val="en-US" w:eastAsia="zh-CN"/>
              </w:rPr>
              <w:t>。具体限值见下表。</w:t>
            </w:r>
          </w:p>
          <w:p w14:paraId="291830B1">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w:t>
            </w:r>
            <w:r>
              <w:rPr>
                <w:rFonts w:hint="eastAsia" w:ascii="Times New Roman" w:hAnsi="Times New Roman" w:eastAsia="宋体" w:cs="Times New Roman"/>
                <w:b/>
                <w:bCs/>
                <w:sz w:val="22"/>
                <w:szCs w:val="22"/>
                <w:lang w:val="en-US" w:eastAsia="zh-CN"/>
              </w:rPr>
              <w:t>3-</w:t>
            </w:r>
            <w:r>
              <w:rPr>
                <w:rFonts w:hint="eastAsia" w:cs="Times New Roman"/>
                <w:b/>
                <w:bCs/>
                <w:sz w:val="22"/>
                <w:szCs w:val="22"/>
                <w:lang w:val="en-US" w:eastAsia="zh-CN"/>
              </w:rPr>
              <w:t>10</w:t>
            </w:r>
            <w:r>
              <w:rPr>
                <w:rFonts w:hint="eastAsia" w:ascii="宋体" w:hAnsi="宋体" w:eastAsia="宋体" w:cs="宋体"/>
                <w:b/>
                <w:bCs/>
                <w:sz w:val="22"/>
                <w:szCs w:val="22"/>
                <w:lang w:val="en-US" w:eastAsia="zh-CN"/>
              </w:rPr>
              <w:t xml:space="preserve">  </w:t>
            </w:r>
            <w:r>
              <w:rPr>
                <w:rFonts w:hint="eastAsia" w:ascii="宋体" w:hAnsi="宋体" w:cs="宋体"/>
                <w:b/>
                <w:bCs/>
                <w:sz w:val="22"/>
                <w:szCs w:val="22"/>
                <w:lang w:val="en-US" w:eastAsia="zh-CN"/>
              </w:rPr>
              <w:t>本项目施工期扬尘浓度限</w:t>
            </w:r>
            <w:r>
              <w:rPr>
                <w:rFonts w:hint="default" w:ascii="宋体" w:hAnsi="宋体" w:eastAsia="宋体" w:cs="宋体"/>
                <w:b/>
                <w:bCs/>
                <w:sz w:val="22"/>
                <w:szCs w:val="22"/>
                <w:lang w:val="en-US" w:eastAsia="zh-CN"/>
              </w:rPr>
              <w:t>值</w:t>
            </w:r>
            <w:r>
              <w:rPr>
                <w:rFonts w:hint="eastAsia" w:ascii="宋体" w:hAnsi="宋体" w:cs="宋体"/>
                <w:b/>
                <w:bCs/>
                <w:sz w:val="22"/>
                <w:szCs w:val="22"/>
                <w:lang w:val="en-US" w:eastAsia="zh-CN"/>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447"/>
              <w:gridCol w:w="1266"/>
              <w:gridCol w:w="2293"/>
              <w:gridCol w:w="3363"/>
            </w:tblGrid>
            <w:tr w14:paraId="7367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2821517A">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eastAsia="宋体"/>
                      <w:b/>
                      <w:bCs/>
                      <w:sz w:val="21"/>
                      <w:szCs w:val="21"/>
                      <w:lang w:val="en-US" w:eastAsia="zh-CN"/>
                    </w:rPr>
                  </w:pPr>
                  <w:r>
                    <w:rPr>
                      <w:rFonts w:hint="eastAsia"/>
                      <w:b/>
                      <w:bCs/>
                      <w:sz w:val="21"/>
                      <w:szCs w:val="21"/>
                      <w:lang w:val="en-US" w:eastAsia="zh-CN"/>
                    </w:rPr>
                    <w:t>控制项目</w:t>
                  </w:r>
                </w:p>
              </w:tc>
              <w:tc>
                <w:tcPr>
                  <w:tcW w:w="756" w:type="pct"/>
                  <w:tcBorders>
                    <w:left w:val="single" w:color="auto" w:sz="4" w:space="0"/>
                    <w:bottom w:val="single" w:color="auto" w:sz="4" w:space="0"/>
                    <w:right w:val="single" w:color="auto" w:sz="4" w:space="0"/>
                  </w:tcBorders>
                  <w:shd w:val="clear" w:color="auto" w:fill="auto"/>
                  <w:noWrap w:val="0"/>
                  <w:vAlign w:val="center"/>
                </w:tcPr>
                <w:p w14:paraId="0646C24E">
                  <w:pPr>
                    <w:widowControl/>
                    <w:jc w:val="center"/>
                    <w:rPr>
                      <w:rFonts w:hint="default" w:ascii="Times New Roman" w:hAnsi="Times New Roman" w:eastAsia="宋体" w:cs="Times New Roman"/>
                      <w:b/>
                      <w:kern w:val="0"/>
                      <w:sz w:val="21"/>
                      <w:szCs w:val="21"/>
                      <w:lang w:val="en-US" w:eastAsia="zh-CN" w:bidi="ar-SA"/>
                    </w:rPr>
                  </w:pPr>
                  <w:r>
                    <w:rPr>
                      <w:rFonts w:hint="eastAsia"/>
                      <w:b/>
                      <w:kern w:val="0"/>
                      <w:sz w:val="21"/>
                      <w:szCs w:val="21"/>
                      <w:lang w:val="en-US" w:eastAsia="zh-CN"/>
                    </w:rPr>
                    <w:t>单位</w:t>
                  </w:r>
                </w:p>
              </w:tc>
              <w:tc>
                <w:tcPr>
                  <w:tcW w:w="136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A1E860">
                  <w:pPr>
                    <w:widowControl/>
                    <w:jc w:val="center"/>
                    <w:rPr>
                      <w:rFonts w:hint="default" w:ascii="Times New Roman" w:hAnsi="Times New Roman" w:eastAsia="宋体" w:cs="Times New Roman"/>
                      <w:b/>
                      <w:kern w:val="0"/>
                      <w:sz w:val="21"/>
                      <w:szCs w:val="21"/>
                      <w:lang w:val="en-US" w:eastAsia="zh-CN" w:bidi="ar-SA"/>
                    </w:rPr>
                  </w:pPr>
                  <w:r>
                    <w:rPr>
                      <w:rFonts w:hint="eastAsia"/>
                      <w:b/>
                      <w:kern w:val="0"/>
                      <w:sz w:val="21"/>
                      <w:szCs w:val="21"/>
                      <w:lang w:val="en-US" w:eastAsia="zh-CN"/>
                    </w:rPr>
                    <w:t>监测点浓度限值</w:t>
                  </w:r>
                </w:p>
              </w:tc>
              <w:tc>
                <w:tcPr>
                  <w:tcW w:w="200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92A1CC">
                  <w:pPr>
                    <w:widowControl/>
                    <w:jc w:val="center"/>
                    <w:rPr>
                      <w:rFonts w:hint="default"/>
                      <w:b/>
                      <w:kern w:val="0"/>
                      <w:sz w:val="21"/>
                      <w:szCs w:val="21"/>
                      <w:lang w:val="en-US" w:eastAsia="zh-CN"/>
                    </w:rPr>
                  </w:pPr>
                  <w:r>
                    <w:rPr>
                      <w:rFonts w:hint="eastAsia"/>
                      <w:b/>
                      <w:kern w:val="0"/>
                      <w:sz w:val="21"/>
                      <w:szCs w:val="21"/>
                      <w:lang w:val="en-US" w:eastAsia="zh-CN"/>
                    </w:rPr>
                    <w:t>达标判定依据</w:t>
                  </w:r>
                </w:p>
              </w:tc>
            </w:tr>
            <w:tr w14:paraId="10DD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864" w:type="pct"/>
                  <w:vMerge w:val="restart"/>
                  <w:tcBorders>
                    <w:top w:val="single" w:color="auto" w:sz="4" w:space="0"/>
                    <w:left w:val="single" w:color="auto" w:sz="4" w:space="0"/>
                    <w:right w:val="single" w:color="auto" w:sz="4" w:space="0"/>
                  </w:tcBorders>
                  <w:noWrap w:val="0"/>
                  <w:vAlign w:val="center"/>
                </w:tcPr>
                <w:p w14:paraId="76238FF5">
                  <w:pPr>
                    <w:bidi w:val="0"/>
                    <w:jc w:val="center"/>
                    <w:rPr>
                      <w:rFonts w:hint="default"/>
                      <w:sz w:val="21"/>
                      <w:szCs w:val="21"/>
                      <w:lang w:val="en-US" w:eastAsia="zh-CN"/>
                    </w:rPr>
                  </w:pPr>
                  <w:r>
                    <w:rPr>
                      <w:rFonts w:hint="eastAsia"/>
                      <w:sz w:val="21"/>
                      <w:szCs w:val="21"/>
                      <w:lang w:val="en-US" w:eastAsia="zh-CN"/>
                    </w:rPr>
                    <w:t>TSP</w:t>
                  </w:r>
                </w:p>
              </w:tc>
              <w:tc>
                <w:tcPr>
                  <w:tcW w:w="756" w:type="pct"/>
                  <w:vMerge w:val="restart"/>
                  <w:tcBorders>
                    <w:top w:val="single" w:color="auto" w:sz="4" w:space="0"/>
                    <w:left w:val="single" w:color="auto" w:sz="4" w:space="0"/>
                    <w:right w:val="single" w:color="auto" w:sz="4" w:space="0"/>
                  </w:tcBorders>
                  <w:shd w:val="clear" w:color="auto" w:fill="auto"/>
                  <w:noWrap w:val="0"/>
                  <w:vAlign w:val="center"/>
                </w:tcPr>
                <w:p w14:paraId="1E83F507">
                  <w:pPr>
                    <w:bidi w:val="0"/>
                    <w:jc w:val="center"/>
                    <w:rPr>
                      <w:rFonts w:hint="default"/>
                      <w:sz w:val="21"/>
                      <w:szCs w:val="21"/>
                      <w:lang w:val="en-US" w:eastAsia="zh-CN"/>
                    </w:rPr>
                  </w:pPr>
                  <w:r>
                    <w:rPr>
                      <w:rFonts w:hint="default"/>
                      <w:sz w:val="21"/>
                      <w:szCs w:val="21"/>
                      <w:lang w:val="en-US" w:eastAsia="zh-CN"/>
                    </w:rPr>
                    <w:t>μg/m</w:t>
                  </w:r>
                  <w:r>
                    <w:rPr>
                      <w:rFonts w:hint="default"/>
                      <w:sz w:val="21"/>
                      <w:szCs w:val="21"/>
                      <w:vertAlign w:val="superscript"/>
                      <w:lang w:val="en-US" w:eastAsia="zh-CN"/>
                    </w:rPr>
                    <w:t>3</w:t>
                  </w:r>
                </w:p>
              </w:tc>
              <w:tc>
                <w:tcPr>
                  <w:tcW w:w="136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F9DAFB">
                  <w:pPr>
                    <w:bidi w:val="0"/>
                    <w:jc w:val="center"/>
                    <w:rPr>
                      <w:rFonts w:hint="default"/>
                      <w:sz w:val="21"/>
                      <w:szCs w:val="21"/>
                      <w:lang w:val="en-US" w:eastAsia="zh-CN"/>
                    </w:rPr>
                  </w:pPr>
                  <w:r>
                    <w:rPr>
                      <w:rFonts w:hint="eastAsia"/>
                      <w:sz w:val="21"/>
                      <w:szCs w:val="21"/>
                      <w:lang w:val="en-US" w:eastAsia="zh-CN"/>
                    </w:rPr>
                    <w:t>1000</w:t>
                  </w:r>
                </w:p>
              </w:tc>
              <w:tc>
                <w:tcPr>
                  <w:tcW w:w="200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CD8EB">
                  <w:pPr>
                    <w:bidi w:val="0"/>
                    <w:jc w:val="center"/>
                    <w:rPr>
                      <w:rFonts w:hint="default"/>
                      <w:sz w:val="21"/>
                      <w:szCs w:val="21"/>
                      <w:lang w:val="en-US" w:eastAsia="zh-CN"/>
                    </w:rPr>
                  </w:pPr>
                  <w:r>
                    <w:rPr>
                      <w:rFonts w:hint="eastAsia"/>
                      <w:sz w:val="21"/>
                      <w:szCs w:val="21"/>
                      <w:lang w:val="en-US" w:eastAsia="zh-CN"/>
                    </w:rPr>
                    <w:t>超标次数≤1次/日</w:t>
                  </w:r>
                </w:p>
              </w:tc>
            </w:tr>
            <w:tr w14:paraId="3F28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864" w:type="pct"/>
                  <w:vMerge w:val="continue"/>
                  <w:tcBorders>
                    <w:left w:val="single" w:color="auto" w:sz="4" w:space="0"/>
                    <w:bottom w:val="single" w:color="auto" w:sz="4" w:space="0"/>
                    <w:right w:val="single" w:color="auto" w:sz="4" w:space="0"/>
                  </w:tcBorders>
                  <w:noWrap w:val="0"/>
                  <w:vAlign w:val="center"/>
                </w:tcPr>
                <w:p w14:paraId="7D91A712">
                  <w:pPr>
                    <w:bidi w:val="0"/>
                    <w:jc w:val="center"/>
                    <w:rPr>
                      <w:rFonts w:hint="eastAsia"/>
                      <w:sz w:val="21"/>
                      <w:szCs w:val="21"/>
                      <w:lang w:val="en-US" w:eastAsia="zh-CN"/>
                    </w:rPr>
                  </w:pPr>
                </w:p>
              </w:tc>
              <w:tc>
                <w:tcPr>
                  <w:tcW w:w="756" w:type="pct"/>
                  <w:vMerge w:val="continue"/>
                  <w:tcBorders>
                    <w:left w:val="single" w:color="auto" w:sz="4" w:space="0"/>
                    <w:bottom w:val="single" w:color="auto" w:sz="4" w:space="0"/>
                    <w:right w:val="single" w:color="auto" w:sz="4" w:space="0"/>
                  </w:tcBorders>
                  <w:shd w:val="clear" w:color="auto" w:fill="auto"/>
                  <w:noWrap w:val="0"/>
                  <w:vAlign w:val="center"/>
                </w:tcPr>
                <w:p w14:paraId="25C54A05">
                  <w:pPr>
                    <w:bidi w:val="0"/>
                    <w:jc w:val="center"/>
                    <w:rPr>
                      <w:rFonts w:hint="default"/>
                      <w:sz w:val="21"/>
                      <w:szCs w:val="21"/>
                      <w:lang w:val="en-US" w:eastAsia="zh-CN"/>
                    </w:rPr>
                  </w:pPr>
                </w:p>
              </w:tc>
              <w:tc>
                <w:tcPr>
                  <w:tcW w:w="136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E11EAD">
                  <w:pPr>
                    <w:bidi w:val="0"/>
                    <w:jc w:val="center"/>
                    <w:rPr>
                      <w:rFonts w:hint="default"/>
                      <w:sz w:val="21"/>
                      <w:szCs w:val="21"/>
                      <w:lang w:val="en-US" w:eastAsia="zh-CN"/>
                    </w:rPr>
                  </w:pPr>
                  <w:r>
                    <w:rPr>
                      <w:rFonts w:hint="eastAsia"/>
                      <w:sz w:val="21"/>
                      <w:szCs w:val="21"/>
                      <w:lang w:val="en-US" w:eastAsia="zh-CN"/>
                    </w:rPr>
                    <w:t>500</w:t>
                  </w:r>
                </w:p>
              </w:tc>
              <w:tc>
                <w:tcPr>
                  <w:tcW w:w="200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BE4FC0">
                  <w:pPr>
                    <w:bidi w:val="0"/>
                    <w:jc w:val="center"/>
                    <w:rPr>
                      <w:rFonts w:hint="eastAsia"/>
                      <w:sz w:val="21"/>
                      <w:szCs w:val="21"/>
                      <w:lang w:val="en-US" w:eastAsia="zh-CN"/>
                    </w:rPr>
                  </w:pPr>
                  <w:r>
                    <w:rPr>
                      <w:rFonts w:hint="eastAsia"/>
                      <w:sz w:val="21"/>
                      <w:szCs w:val="21"/>
                      <w:lang w:val="en-US" w:eastAsia="zh-CN"/>
                    </w:rPr>
                    <w:t>超标次数≤6次/日</w:t>
                  </w:r>
                </w:p>
              </w:tc>
            </w:tr>
          </w:tbl>
          <w:p w14:paraId="1B094F72">
            <w:pPr>
              <w:bidi w:val="0"/>
              <w:rPr>
                <w:rFonts w:hint="eastAsia"/>
                <w:lang w:val="en-US" w:eastAsia="zh-CN"/>
              </w:rPr>
            </w:pPr>
          </w:p>
          <w:p w14:paraId="72B51C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lang w:val="en-US" w:eastAsia="zh-CN"/>
              </w:rPr>
            </w:pPr>
            <w:r>
              <w:rPr>
                <w:rFonts w:hint="eastAsia"/>
                <w:color w:val="auto"/>
                <w:sz w:val="24"/>
                <w:lang w:val="en-US" w:eastAsia="zh-CN"/>
              </w:rPr>
              <w:t>（1）项目运营期有组织废气</w:t>
            </w:r>
          </w:p>
          <w:p w14:paraId="55F7A3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color w:val="auto"/>
                <w:sz w:val="24"/>
                <w:lang w:val="en-US" w:eastAsia="zh-CN"/>
              </w:rPr>
              <w:t>DA001、DA002排放的颗粒物</w:t>
            </w:r>
            <w:r>
              <w:rPr>
                <w:rFonts w:hint="eastAsia"/>
                <w:color w:val="auto"/>
                <w:sz w:val="24"/>
                <w:lang w:eastAsia="zh-CN"/>
              </w:rPr>
              <w:t>执行《大气污染物综合排放标准》（GB16297-1996）表2中二级标准限值；</w:t>
            </w:r>
            <w:r>
              <w:rPr>
                <w:rFonts w:hint="eastAsia"/>
                <w:color w:val="auto"/>
                <w:sz w:val="24"/>
                <w:lang w:val="en-US" w:eastAsia="zh-CN"/>
              </w:rPr>
              <w:t>DA001排放的非甲烷总烃、二甲苯、乙酸丁酯均执行</w:t>
            </w:r>
            <w:r>
              <w:rPr>
                <w:rFonts w:hint="eastAsia"/>
                <w:lang w:val="en-US" w:eastAsia="zh-CN"/>
              </w:rPr>
              <w:t>安徽地标《固定源挥发性有机物综合排放标准 第6部分：其他行业》（DB34/ 4812.6-2024）中表1限值。</w:t>
            </w:r>
          </w:p>
          <w:p w14:paraId="399914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kern w:val="0"/>
                <w:sz w:val="24"/>
                <w:lang w:val="en-US" w:eastAsia="zh-CN"/>
              </w:rPr>
            </w:pPr>
            <w:r>
              <w:rPr>
                <w:rFonts w:hint="eastAsia"/>
                <w:color w:val="auto"/>
                <w:sz w:val="24"/>
                <w:lang w:val="en-US" w:eastAsia="zh-CN"/>
              </w:rPr>
              <w:t>（2）无组织废气</w:t>
            </w:r>
          </w:p>
          <w:p w14:paraId="46EACCE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lang w:eastAsia="zh-CN"/>
              </w:rPr>
            </w:pPr>
            <w:r>
              <w:rPr>
                <w:rFonts w:hint="eastAsia"/>
                <w:color w:val="000000"/>
                <w:kern w:val="0"/>
                <w:sz w:val="24"/>
                <w:lang w:val="en-US" w:eastAsia="zh-CN"/>
              </w:rPr>
              <w:t>厂界颗粒物执行《大气污染物综合排放标准》（GB16297-1996）中表2标准限值，</w:t>
            </w:r>
            <w:r>
              <w:rPr>
                <w:rFonts w:hint="eastAsia"/>
                <w:color w:val="auto"/>
                <w:sz w:val="24"/>
                <w:lang w:val="en-US" w:eastAsia="zh-CN"/>
              </w:rPr>
              <w:t>非甲烷总烃</w:t>
            </w:r>
            <w:r>
              <w:rPr>
                <w:rFonts w:hint="eastAsia"/>
                <w:color w:val="000000"/>
                <w:kern w:val="0"/>
                <w:sz w:val="24"/>
                <w:lang w:val="en-US" w:eastAsia="zh-CN"/>
              </w:rPr>
              <w:t>执行《大气污染物综合排放标准》（GB16297-1996）中表2标准限值、《固定源挥发性有机物综合排放标准 第6部分：其他行业》（DB 34/4812.6-2024）中的表3限值和</w:t>
            </w:r>
            <w:r>
              <w:rPr>
                <w:rFonts w:hint="eastAsia"/>
                <w:lang w:val="en-US" w:eastAsia="zh-CN"/>
              </w:rPr>
              <w:t>《挥发性有机物无组织排放控制标准》（GB 37822-2019）</w:t>
            </w:r>
            <w:r>
              <w:rPr>
                <w:rFonts w:hint="eastAsia"/>
                <w:color w:val="000000"/>
                <w:kern w:val="0"/>
                <w:sz w:val="24"/>
                <w:lang w:val="en-US" w:eastAsia="zh-CN"/>
              </w:rPr>
              <w:t>中的表A.1限值</w:t>
            </w:r>
            <w:r>
              <w:rPr>
                <w:rFonts w:hint="eastAsia"/>
                <w:color w:val="auto"/>
                <w:sz w:val="24"/>
                <w:lang w:eastAsia="zh-CN"/>
              </w:rPr>
              <w:t>。</w:t>
            </w:r>
          </w:p>
          <w:p w14:paraId="4CA447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bCs/>
                <w:sz w:val="24"/>
                <w:lang w:val="en-US" w:eastAsia="zh-CN"/>
              </w:rPr>
            </w:pPr>
            <w:r>
              <w:rPr>
                <w:rFonts w:hint="eastAsia" w:cs="Times New Roman"/>
                <w:b w:val="0"/>
                <w:bCs w:val="0"/>
                <w:color w:val="auto"/>
                <w:sz w:val="24"/>
                <w:lang w:val="en-US" w:eastAsia="zh-CN"/>
              </w:rPr>
              <w:t>具体限值</w:t>
            </w:r>
            <w:r>
              <w:rPr>
                <w:rFonts w:hint="eastAsia" w:cs="Times New Roman"/>
                <w:b w:val="0"/>
                <w:bCs w:val="0"/>
                <w:sz w:val="24"/>
                <w:lang w:val="en-US" w:eastAsia="zh-CN"/>
              </w:rPr>
              <w:t>见下表。</w:t>
            </w:r>
          </w:p>
          <w:p w14:paraId="4AF5D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w:t>
            </w:r>
            <w:r>
              <w:rPr>
                <w:rFonts w:hint="eastAsia" w:ascii="Times New Roman" w:hAnsi="Times New Roman" w:eastAsia="宋体" w:cs="Times New Roman"/>
                <w:b/>
                <w:bCs/>
                <w:sz w:val="22"/>
                <w:szCs w:val="22"/>
                <w:lang w:val="en-US" w:eastAsia="zh-CN"/>
              </w:rPr>
              <w:t>3-</w:t>
            </w:r>
            <w:r>
              <w:rPr>
                <w:rFonts w:hint="eastAsia" w:cs="Times New Roman"/>
                <w:b/>
                <w:bCs/>
                <w:sz w:val="22"/>
                <w:szCs w:val="22"/>
                <w:lang w:val="en-US" w:eastAsia="zh-CN"/>
              </w:rPr>
              <w:t>11</w:t>
            </w:r>
            <w:r>
              <w:rPr>
                <w:rFonts w:hint="eastAsia" w:ascii="宋体" w:hAnsi="宋体" w:eastAsia="宋体" w:cs="宋体"/>
                <w:b/>
                <w:bCs/>
                <w:sz w:val="22"/>
                <w:szCs w:val="22"/>
                <w:lang w:val="en-US" w:eastAsia="zh-CN"/>
              </w:rPr>
              <w:t xml:space="preserve">  </w:t>
            </w:r>
            <w:r>
              <w:rPr>
                <w:rFonts w:hint="eastAsia" w:ascii="宋体" w:hAnsi="宋体" w:cs="宋体"/>
                <w:b/>
                <w:bCs/>
                <w:sz w:val="22"/>
                <w:szCs w:val="22"/>
                <w:lang w:val="en-US" w:eastAsia="zh-CN"/>
              </w:rPr>
              <w:t>有组织废气</w:t>
            </w:r>
            <w:r>
              <w:rPr>
                <w:rFonts w:hint="eastAsia" w:ascii="宋体" w:hAnsi="宋体" w:eastAsia="宋体" w:cs="宋体"/>
                <w:b/>
                <w:bCs/>
                <w:sz w:val="22"/>
                <w:szCs w:val="22"/>
                <w:lang w:val="en-US" w:eastAsia="zh-CN"/>
              </w:rPr>
              <w:t>污染物排放限值一览表</w:t>
            </w:r>
          </w:p>
          <w:tbl>
            <w:tblPr>
              <w:tblStyle w:val="24"/>
              <w:tblW w:w="83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9"/>
              <w:gridCol w:w="1764"/>
              <w:gridCol w:w="1080"/>
              <w:gridCol w:w="1716"/>
              <w:gridCol w:w="2633"/>
            </w:tblGrid>
            <w:tr w14:paraId="1AD99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9" w:type="dxa"/>
                  <w:vMerge w:val="restart"/>
                  <w:noWrap w:val="0"/>
                  <w:tcMar>
                    <w:left w:w="0" w:type="dxa"/>
                    <w:right w:w="0" w:type="dxa"/>
                  </w:tcMar>
                  <w:vAlign w:val="center"/>
                </w:tcPr>
                <w:p w14:paraId="21BF0C92">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b/>
                      <w:bCs/>
                      <w:color w:val="auto"/>
                      <w:spacing w:val="-4"/>
                      <w:kern w:val="0"/>
                      <w:sz w:val="21"/>
                      <w:szCs w:val="21"/>
                    </w:rPr>
                  </w:pPr>
                  <w:r>
                    <w:rPr>
                      <w:b/>
                      <w:bCs/>
                      <w:color w:val="auto"/>
                      <w:spacing w:val="-4"/>
                      <w:kern w:val="0"/>
                      <w:sz w:val="21"/>
                      <w:szCs w:val="21"/>
                    </w:rPr>
                    <w:t>污染物</w:t>
                  </w:r>
                </w:p>
              </w:tc>
              <w:tc>
                <w:tcPr>
                  <w:tcW w:w="1764" w:type="dxa"/>
                  <w:vMerge w:val="restart"/>
                  <w:noWrap w:val="0"/>
                  <w:tcMar>
                    <w:left w:w="0" w:type="dxa"/>
                    <w:right w:w="0" w:type="dxa"/>
                  </w:tcMar>
                  <w:vAlign w:val="center"/>
                </w:tcPr>
                <w:p w14:paraId="619A01BC">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b/>
                      <w:bCs/>
                      <w:color w:val="auto"/>
                      <w:spacing w:val="-4"/>
                      <w:kern w:val="0"/>
                      <w:sz w:val="21"/>
                      <w:szCs w:val="21"/>
                    </w:rPr>
                  </w:pPr>
                  <w:r>
                    <w:rPr>
                      <w:b/>
                      <w:bCs/>
                      <w:color w:val="auto"/>
                      <w:spacing w:val="-4"/>
                      <w:kern w:val="0"/>
                      <w:sz w:val="21"/>
                      <w:szCs w:val="21"/>
                    </w:rPr>
                    <w:t>最高允许排放浓度（mg/m</w:t>
                  </w:r>
                  <w:r>
                    <w:rPr>
                      <w:b/>
                      <w:bCs/>
                      <w:color w:val="auto"/>
                      <w:spacing w:val="-4"/>
                      <w:kern w:val="0"/>
                      <w:sz w:val="21"/>
                      <w:szCs w:val="21"/>
                      <w:vertAlign w:val="superscript"/>
                    </w:rPr>
                    <w:t>3</w:t>
                  </w:r>
                  <w:r>
                    <w:rPr>
                      <w:b/>
                      <w:bCs/>
                      <w:color w:val="auto"/>
                      <w:spacing w:val="-4"/>
                      <w:kern w:val="0"/>
                      <w:sz w:val="21"/>
                      <w:szCs w:val="21"/>
                    </w:rPr>
                    <w:t>）</w:t>
                  </w:r>
                </w:p>
              </w:tc>
              <w:tc>
                <w:tcPr>
                  <w:tcW w:w="1080" w:type="dxa"/>
                  <w:vMerge w:val="restart"/>
                  <w:noWrap w:val="0"/>
                  <w:tcMar>
                    <w:left w:w="0" w:type="dxa"/>
                    <w:right w:w="0" w:type="dxa"/>
                  </w:tcMar>
                  <w:vAlign w:val="center"/>
                </w:tcPr>
                <w:p w14:paraId="68437A81">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b/>
                      <w:bCs/>
                      <w:color w:val="auto"/>
                      <w:spacing w:val="-4"/>
                      <w:kern w:val="0"/>
                      <w:sz w:val="21"/>
                      <w:szCs w:val="21"/>
                    </w:rPr>
                  </w:pPr>
                  <w:r>
                    <w:rPr>
                      <w:rFonts w:hint="eastAsia"/>
                      <w:b/>
                      <w:bCs/>
                      <w:color w:val="auto"/>
                      <w:spacing w:val="-4"/>
                      <w:kern w:val="0"/>
                      <w:sz w:val="21"/>
                      <w:szCs w:val="21"/>
                    </w:rPr>
                    <w:t>排气筒高度m</w:t>
                  </w:r>
                </w:p>
              </w:tc>
              <w:tc>
                <w:tcPr>
                  <w:tcW w:w="1716" w:type="dxa"/>
                  <w:vMerge w:val="restart"/>
                  <w:noWrap w:val="0"/>
                  <w:tcMar>
                    <w:left w:w="0" w:type="dxa"/>
                    <w:right w:w="0" w:type="dxa"/>
                  </w:tcMar>
                  <w:vAlign w:val="center"/>
                </w:tcPr>
                <w:p w14:paraId="140196FE">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b/>
                      <w:bCs/>
                      <w:color w:val="auto"/>
                      <w:spacing w:val="-4"/>
                      <w:kern w:val="0"/>
                      <w:sz w:val="21"/>
                      <w:szCs w:val="21"/>
                    </w:rPr>
                  </w:pPr>
                  <w:r>
                    <w:rPr>
                      <w:b/>
                      <w:bCs/>
                      <w:color w:val="auto"/>
                      <w:spacing w:val="-4"/>
                      <w:kern w:val="0"/>
                      <w:sz w:val="21"/>
                      <w:szCs w:val="21"/>
                    </w:rPr>
                    <w:t>最高允许排放速率（kg/h）</w:t>
                  </w:r>
                </w:p>
              </w:tc>
              <w:tc>
                <w:tcPr>
                  <w:tcW w:w="2633" w:type="dxa"/>
                  <w:vMerge w:val="restart"/>
                  <w:noWrap w:val="0"/>
                  <w:tcMar>
                    <w:left w:w="0" w:type="dxa"/>
                    <w:right w:w="0" w:type="dxa"/>
                  </w:tcMar>
                  <w:vAlign w:val="center"/>
                </w:tcPr>
                <w:p w14:paraId="75A4416C">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eastAsia="宋体"/>
                      <w:b/>
                      <w:bCs/>
                      <w:color w:val="auto"/>
                      <w:spacing w:val="-4"/>
                      <w:kern w:val="0"/>
                      <w:sz w:val="21"/>
                      <w:szCs w:val="21"/>
                      <w:lang w:val="en-US" w:eastAsia="zh-CN"/>
                    </w:rPr>
                  </w:pPr>
                  <w:r>
                    <w:rPr>
                      <w:rFonts w:hint="eastAsia"/>
                      <w:b/>
                      <w:bCs/>
                      <w:color w:val="auto"/>
                      <w:spacing w:val="-4"/>
                      <w:kern w:val="0"/>
                      <w:sz w:val="21"/>
                      <w:szCs w:val="21"/>
                      <w:lang w:val="en-US" w:eastAsia="zh-CN"/>
                    </w:rPr>
                    <w:t>标准来源</w:t>
                  </w:r>
                </w:p>
              </w:tc>
            </w:tr>
            <w:tr w14:paraId="6042C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9" w:type="dxa"/>
                  <w:vMerge w:val="continue"/>
                  <w:noWrap w:val="0"/>
                  <w:tcMar>
                    <w:left w:w="0" w:type="dxa"/>
                    <w:right w:w="0" w:type="dxa"/>
                  </w:tcMar>
                  <w:vAlign w:val="center"/>
                </w:tcPr>
                <w:p w14:paraId="2CA2D9A6">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b/>
                      <w:bCs/>
                      <w:color w:val="auto"/>
                      <w:spacing w:val="-4"/>
                      <w:kern w:val="0"/>
                      <w:sz w:val="21"/>
                      <w:szCs w:val="21"/>
                    </w:rPr>
                  </w:pPr>
                </w:p>
              </w:tc>
              <w:tc>
                <w:tcPr>
                  <w:tcW w:w="1764" w:type="dxa"/>
                  <w:vMerge w:val="continue"/>
                  <w:noWrap w:val="0"/>
                  <w:tcMar>
                    <w:left w:w="0" w:type="dxa"/>
                    <w:right w:w="0" w:type="dxa"/>
                  </w:tcMar>
                  <w:vAlign w:val="center"/>
                </w:tcPr>
                <w:p w14:paraId="206206BC">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b/>
                      <w:bCs/>
                      <w:color w:val="auto"/>
                      <w:spacing w:val="-4"/>
                      <w:kern w:val="0"/>
                      <w:sz w:val="21"/>
                      <w:szCs w:val="21"/>
                    </w:rPr>
                  </w:pPr>
                </w:p>
              </w:tc>
              <w:tc>
                <w:tcPr>
                  <w:tcW w:w="1080" w:type="dxa"/>
                  <w:vMerge w:val="continue"/>
                  <w:noWrap w:val="0"/>
                  <w:tcMar>
                    <w:left w:w="0" w:type="dxa"/>
                    <w:right w:w="0" w:type="dxa"/>
                  </w:tcMar>
                  <w:vAlign w:val="center"/>
                </w:tcPr>
                <w:p w14:paraId="2A8328ED">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b/>
                      <w:bCs/>
                      <w:color w:val="auto"/>
                      <w:spacing w:val="-4"/>
                      <w:kern w:val="0"/>
                      <w:sz w:val="21"/>
                      <w:szCs w:val="21"/>
                    </w:rPr>
                  </w:pPr>
                </w:p>
              </w:tc>
              <w:tc>
                <w:tcPr>
                  <w:tcW w:w="1716" w:type="dxa"/>
                  <w:vMerge w:val="continue"/>
                  <w:noWrap w:val="0"/>
                  <w:tcMar>
                    <w:left w:w="0" w:type="dxa"/>
                    <w:right w:w="0" w:type="dxa"/>
                  </w:tcMar>
                  <w:vAlign w:val="center"/>
                </w:tcPr>
                <w:p w14:paraId="394689C7">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b/>
                      <w:bCs/>
                      <w:color w:val="auto"/>
                      <w:spacing w:val="-4"/>
                      <w:kern w:val="0"/>
                      <w:sz w:val="21"/>
                      <w:szCs w:val="21"/>
                    </w:rPr>
                  </w:pPr>
                </w:p>
              </w:tc>
              <w:tc>
                <w:tcPr>
                  <w:tcW w:w="2633" w:type="dxa"/>
                  <w:vMerge w:val="continue"/>
                  <w:noWrap w:val="0"/>
                  <w:tcMar>
                    <w:left w:w="0" w:type="dxa"/>
                    <w:right w:w="0" w:type="dxa"/>
                  </w:tcMar>
                  <w:vAlign w:val="center"/>
                </w:tcPr>
                <w:p w14:paraId="6D1AA1BA">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b/>
                      <w:bCs/>
                      <w:color w:val="auto"/>
                      <w:spacing w:val="-4"/>
                      <w:kern w:val="0"/>
                      <w:sz w:val="21"/>
                      <w:szCs w:val="21"/>
                    </w:rPr>
                  </w:pPr>
                </w:p>
              </w:tc>
            </w:tr>
            <w:tr w14:paraId="0241D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9" w:type="dxa"/>
                  <w:noWrap w:val="0"/>
                  <w:tcMar>
                    <w:left w:w="0" w:type="dxa"/>
                    <w:right w:w="0" w:type="dxa"/>
                  </w:tcMar>
                  <w:vAlign w:val="center"/>
                </w:tcPr>
                <w:p w14:paraId="2A2E1D62">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color w:val="auto"/>
                      <w:spacing w:val="-4"/>
                      <w:kern w:val="0"/>
                      <w:sz w:val="21"/>
                      <w:szCs w:val="21"/>
                    </w:rPr>
                  </w:pPr>
                  <w:r>
                    <w:rPr>
                      <w:rFonts w:hint="eastAsia"/>
                      <w:color w:val="auto"/>
                      <w:spacing w:val="-4"/>
                      <w:kern w:val="0"/>
                      <w:sz w:val="21"/>
                      <w:szCs w:val="21"/>
                    </w:rPr>
                    <w:t>颗粒物</w:t>
                  </w:r>
                </w:p>
              </w:tc>
              <w:tc>
                <w:tcPr>
                  <w:tcW w:w="1764" w:type="dxa"/>
                  <w:noWrap w:val="0"/>
                  <w:tcMar>
                    <w:left w:w="0" w:type="dxa"/>
                    <w:right w:w="0" w:type="dxa"/>
                  </w:tcMar>
                  <w:vAlign w:val="center"/>
                </w:tcPr>
                <w:p w14:paraId="10ADE43A">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color w:val="auto"/>
                      <w:spacing w:val="-4"/>
                      <w:kern w:val="0"/>
                      <w:sz w:val="21"/>
                      <w:szCs w:val="21"/>
                    </w:rPr>
                  </w:pPr>
                  <w:r>
                    <w:rPr>
                      <w:rFonts w:hint="eastAsia"/>
                      <w:color w:val="auto"/>
                      <w:spacing w:val="-4"/>
                      <w:kern w:val="0"/>
                      <w:sz w:val="21"/>
                      <w:szCs w:val="21"/>
                    </w:rPr>
                    <w:t>120</w:t>
                  </w:r>
                </w:p>
              </w:tc>
              <w:tc>
                <w:tcPr>
                  <w:tcW w:w="1080" w:type="dxa"/>
                  <w:noWrap w:val="0"/>
                  <w:tcMar>
                    <w:left w:w="0" w:type="dxa"/>
                    <w:right w:w="0" w:type="dxa"/>
                  </w:tcMar>
                  <w:vAlign w:val="center"/>
                </w:tcPr>
                <w:p w14:paraId="3ED31B74">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eastAsia="宋体"/>
                      <w:color w:val="auto"/>
                      <w:spacing w:val="-4"/>
                      <w:kern w:val="0"/>
                      <w:sz w:val="21"/>
                      <w:szCs w:val="21"/>
                      <w:lang w:val="en-US" w:eastAsia="zh-CN"/>
                    </w:rPr>
                  </w:pPr>
                  <w:r>
                    <w:rPr>
                      <w:rFonts w:hint="eastAsia"/>
                      <w:color w:val="auto"/>
                      <w:spacing w:val="-4"/>
                      <w:kern w:val="0"/>
                      <w:sz w:val="21"/>
                      <w:szCs w:val="21"/>
                      <w:lang w:val="en-US" w:eastAsia="zh-CN"/>
                    </w:rPr>
                    <w:t>24</w:t>
                  </w:r>
                </w:p>
              </w:tc>
              <w:tc>
                <w:tcPr>
                  <w:tcW w:w="1716" w:type="dxa"/>
                  <w:noWrap w:val="0"/>
                  <w:tcMar>
                    <w:left w:w="0" w:type="dxa"/>
                    <w:right w:w="0" w:type="dxa"/>
                  </w:tcMar>
                  <w:vAlign w:val="center"/>
                </w:tcPr>
                <w:p w14:paraId="7F36D9B2">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eastAsia="宋体"/>
                      <w:color w:val="auto"/>
                      <w:spacing w:val="-4"/>
                      <w:kern w:val="0"/>
                      <w:sz w:val="21"/>
                      <w:szCs w:val="21"/>
                      <w:lang w:val="en-US" w:eastAsia="zh-CN"/>
                    </w:rPr>
                  </w:pPr>
                  <w:r>
                    <w:rPr>
                      <w:rFonts w:hint="eastAsia"/>
                      <w:color w:val="auto"/>
                      <w:spacing w:val="-4"/>
                      <w:kern w:val="0"/>
                      <w:sz w:val="21"/>
                      <w:szCs w:val="21"/>
                      <w:lang w:val="en-US" w:eastAsia="zh-CN"/>
                    </w:rPr>
                    <w:t>5.9</w:t>
                  </w:r>
                </w:p>
              </w:tc>
              <w:tc>
                <w:tcPr>
                  <w:tcW w:w="2633" w:type="dxa"/>
                  <w:noWrap w:val="0"/>
                  <w:tcMar>
                    <w:left w:w="0" w:type="dxa"/>
                    <w:right w:w="0" w:type="dxa"/>
                  </w:tcMar>
                  <w:vAlign w:val="center"/>
                </w:tcPr>
                <w:p w14:paraId="2F98BAED">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color w:val="auto"/>
                      <w:spacing w:val="-4"/>
                      <w:kern w:val="0"/>
                      <w:sz w:val="21"/>
                      <w:szCs w:val="21"/>
                    </w:rPr>
                  </w:pPr>
                  <w:r>
                    <w:rPr>
                      <w:rFonts w:hint="eastAsia"/>
                      <w:color w:val="auto"/>
                      <w:spacing w:val="-4"/>
                      <w:kern w:val="0"/>
                      <w:sz w:val="21"/>
                      <w:szCs w:val="21"/>
                      <w:lang w:eastAsia="zh-CN"/>
                    </w:rPr>
                    <w:t>《大气污染物综合排放标准》（GB16297-1996）</w:t>
                  </w:r>
                </w:p>
              </w:tc>
            </w:tr>
            <w:tr w14:paraId="39942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179" w:type="dxa"/>
                  <w:shd w:val="clear" w:color="auto" w:fill="auto"/>
                  <w:noWrap w:val="0"/>
                  <w:tcMar>
                    <w:left w:w="0" w:type="dxa"/>
                    <w:right w:w="0" w:type="dxa"/>
                  </w:tcMar>
                  <w:vAlign w:val="center"/>
                </w:tcPr>
                <w:p w14:paraId="61D06D45">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非甲烷总烃</w:t>
                  </w:r>
                </w:p>
              </w:tc>
              <w:tc>
                <w:tcPr>
                  <w:tcW w:w="1764" w:type="dxa"/>
                  <w:shd w:val="clear" w:color="auto" w:fill="auto"/>
                  <w:noWrap w:val="0"/>
                  <w:tcMar>
                    <w:left w:w="0" w:type="dxa"/>
                    <w:right w:w="0" w:type="dxa"/>
                  </w:tcMar>
                  <w:vAlign w:val="center"/>
                </w:tcPr>
                <w:p w14:paraId="43FE0928">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50</w:t>
                  </w:r>
                </w:p>
              </w:tc>
              <w:tc>
                <w:tcPr>
                  <w:tcW w:w="1080" w:type="dxa"/>
                  <w:shd w:val="clear" w:color="auto" w:fill="auto"/>
                  <w:noWrap w:val="0"/>
                  <w:tcMar>
                    <w:left w:w="0" w:type="dxa"/>
                    <w:right w:w="0" w:type="dxa"/>
                  </w:tcMar>
                  <w:vAlign w:val="center"/>
                </w:tcPr>
                <w:p w14:paraId="3A2303C7">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color w:val="auto"/>
                      <w:spacing w:val="-4"/>
                      <w:kern w:val="0"/>
                      <w:sz w:val="21"/>
                      <w:szCs w:val="21"/>
                      <w:lang w:val="en-US" w:eastAsia="zh-CN" w:bidi="ar-SA"/>
                    </w:rPr>
                  </w:pPr>
                  <w:r>
                    <w:rPr>
                      <w:rFonts w:hint="eastAsia"/>
                      <w:color w:val="auto"/>
                      <w:spacing w:val="-4"/>
                      <w:kern w:val="0"/>
                      <w:sz w:val="21"/>
                      <w:szCs w:val="21"/>
                      <w:lang w:val="en-US" w:eastAsia="zh-CN"/>
                    </w:rPr>
                    <w:t>24</w:t>
                  </w:r>
                </w:p>
              </w:tc>
              <w:tc>
                <w:tcPr>
                  <w:tcW w:w="1716" w:type="dxa"/>
                  <w:shd w:val="clear" w:color="auto" w:fill="auto"/>
                  <w:noWrap w:val="0"/>
                  <w:tcMar>
                    <w:left w:w="0" w:type="dxa"/>
                    <w:right w:w="0" w:type="dxa"/>
                  </w:tcMar>
                  <w:vAlign w:val="center"/>
                </w:tcPr>
                <w:p w14:paraId="068D11FA">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color w:val="auto"/>
                      <w:spacing w:val="-4"/>
                      <w:kern w:val="0"/>
                      <w:sz w:val="21"/>
                      <w:szCs w:val="21"/>
                      <w:lang w:val="en-US" w:eastAsia="zh-CN" w:bidi="ar-SA"/>
                    </w:rPr>
                  </w:pPr>
                  <w:r>
                    <w:rPr>
                      <w:rFonts w:hint="eastAsia"/>
                      <w:color w:val="auto"/>
                      <w:spacing w:val="-4"/>
                      <w:kern w:val="0"/>
                      <w:sz w:val="21"/>
                      <w:szCs w:val="21"/>
                      <w:lang w:val="en-US" w:eastAsia="zh-CN"/>
                    </w:rPr>
                    <w:t>2.0</w:t>
                  </w:r>
                </w:p>
              </w:tc>
              <w:tc>
                <w:tcPr>
                  <w:tcW w:w="2633" w:type="dxa"/>
                  <w:vMerge w:val="restart"/>
                  <w:noWrap w:val="0"/>
                  <w:tcMar>
                    <w:left w:w="0" w:type="dxa"/>
                    <w:right w:w="0" w:type="dxa"/>
                  </w:tcMar>
                  <w:vAlign w:val="center"/>
                </w:tcPr>
                <w:p w14:paraId="54BDA1D3">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color w:val="auto"/>
                      <w:spacing w:val="-4"/>
                      <w:kern w:val="0"/>
                      <w:sz w:val="21"/>
                      <w:szCs w:val="21"/>
                      <w:lang w:val="en-US" w:eastAsia="zh-CN"/>
                    </w:rPr>
                  </w:pPr>
                  <w:r>
                    <w:rPr>
                      <w:rFonts w:hint="eastAsia"/>
                      <w:color w:val="auto"/>
                      <w:spacing w:val="-4"/>
                      <w:kern w:val="0"/>
                      <w:sz w:val="21"/>
                      <w:szCs w:val="21"/>
                      <w:lang w:val="en-US" w:eastAsia="zh-CN"/>
                    </w:rPr>
                    <w:t>《固定源挥发性有机物综合排放标准 第6部分：其他行业》（DB34 4812.6-2024）</w:t>
                  </w:r>
                </w:p>
              </w:tc>
            </w:tr>
            <w:tr w14:paraId="6AFE6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9" w:type="dxa"/>
                  <w:shd w:val="clear" w:color="auto" w:fill="auto"/>
                  <w:noWrap w:val="0"/>
                  <w:tcMar>
                    <w:left w:w="0" w:type="dxa"/>
                    <w:right w:w="0" w:type="dxa"/>
                  </w:tcMar>
                  <w:vAlign w:val="center"/>
                </w:tcPr>
                <w:p w14:paraId="577515C9">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color w:val="auto"/>
                      <w:kern w:val="2"/>
                      <w:sz w:val="21"/>
                      <w:szCs w:val="21"/>
                      <w:lang w:val="en-US" w:eastAsia="zh-CN" w:bidi="ar-SA"/>
                    </w:rPr>
                  </w:pPr>
                  <w:r>
                    <w:rPr>
                      <w:rFonts w:hint="eastAsia"/>
                      <w:color w:val="auto"/>
                      <w:kern w:val="2"/>
                      <w:sz w:val="21"/>
                      <w:szCs w:val="21"/>
                      <w:lang w:val="en-US" w:eastAsia="zh-CN" w:bidi="ar-SA"/>
                    </w:rPr>
                    <w:t>二甲苯</w:t>
                  </w:r>
                </w:p>
              </w:tc>
              <w:tc>
                <w:tcPr>
                  <w:tcW w:w="1764" w:type="dxa"/>
                  <w:shd w:val="clear" w:color="auto" w:fill="auto"/>
                  <w:noWrap w:val="0"/>
                  <w:tcMar>
                    <w:left w:w="0" w:type="dxa"/>
                    <w:right w:w="0" w:type="dxa"/>
                  </w:tcMar>
                  <w:vAlign w:val="center"/>
                </w:tcPr>
                <w:p w14:paraId="17352AFB">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40</w:t>
                  </w:r>
                </w:p>
              </w:tc>
              <w:tc>
                <w:tcPr>
                  <w:tcW w:w="1080" w:type="dxa"/>
                  <w:shd w:val="clear" w:color="auto" w:fill="auto"/>
                  <w:noWrap w:val="0"/>
                  <w:tcMar>
                    <w:left w:w="0" w:type="dxa"/>
                    <w:right w:w="0" w:type="dxa"/>
                  </w:tcMar>
                  <w:vAlign w:val="center"/>
                </w:tcPr>
                <w:p w14:paraId="28D5E240">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color w:val="auto"/>
                      <w:spacing w:val="-4"/>
                      <w:kern w:val="0"/>
                      <w:sz w:val="21"/>
                      <w:szCs w:val="21"/>
                      <w:highlight w:val="none"/>
                      <w:lang w:val="en-US" w:eastAsia="zh-CN"/>
                    </w:rPr>
                  </w:pPr>
                  <w:r>
                    <w:rPr>
                      <w:rFonts w:hint="eastAsia"/>
                      <w:color w:val="auto"/>
                      <w:spacing w:val="-4"/>
                      <w:kern w:val="0"/>
                      <w:sz w:val="21"/>
                      <w:szCs w:val="21"/>
                      <w:lang w:val="en-US" w:eastAsia="zh-CN"/>
                    </w:rPr>
                    <w:t>24</w:t>
                  </w:r>
                </w:p>
              </w:tc>
              <w:tc>
                <w:tcPr>
                  <w:tcW w:w="1716" w:type="dxa"/>
                  <w:shd w:val="clear" w:color="auto" w:fill="auto"/>
                  <w:noWrap w:val="0"/>
                  <w:tcMar>
                    <w:left w:w="0" w:type="dxa"/>
                    <w:right w:w="0" w:type="dxa"/>
                  </w:tcMar>
                  <w:vAlign w:val="center"/>
                </w:tcPr>
                <w:p w14:paraId="496E863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color w:val="auto"/>
                      <w:spacing w:val="-4"/>
                      <w:kern w:val="0"/>
                      <w:sz w:val="21"/>
                      <w:szCs w:val="21"/>
                      <w:highlight w:val="none"/>
                      <w:lang w:val="en-US" w:eastAsia="zh-CN"/>
                    </w:rPr>
                  </w:pPr>
                  <w:r>
                    <w:rPr>
                      <w:rFonts w:hint="eastAsia"/>
                      <w:color w:val="auto"/>
                      <w:spacing w:val="-4"/>
                      <w:kern w:val="0"/>
                      <w:sz w:val="21"/>
                      <w:szCs w:val="21"/>
                      <w:highlight w:val="none"/>
                      <w:lang w:val="en-US" w:eastAsia="zh-CN"/>
                    </w:rPr>
                    <w:t>1.6</w:t>
                  </w:r>
                </w:p>
              </w:tc>
              <w:tc>
                <w:tcPr>
                  <w:tcW w:w="2633" w:type="dxa"/>
                  <w:vMerge w:val="continue"/>
                  <w:noWrap w:val="0"/>
                  <w:tcMar>
                    <w:left w:w="0" w:type="dxa"/>
                    <w:right w:w="0" w:type="dxa"/>
                  </w:tcMar>
                  <w:vAlign w:val="center"/>
                </w:tcPr>
                <w:p w14:paraId="30E6557F">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color w:val="auto"/>
                      <w:spacing w:val="-4"/>
                      <w:kern w:val="0"/>
                      <w:sz w:val="21"/>
                      <w:szCs w:val="21"/>
                      <w:lang w:val="en-US" w:eastAsia="zh-CN"/>
                    </w:rPr>
                  </w:pPr>
                </w:p>
              </w:tc>
            </w:tr>
            <w:tr w14:paraId="17CA2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79" w:type="dxa"/>
                  <w:noWrap w:val="0"/>
                  <w:tcMar>
                    <w:left w:w="0" w:type="dxa"/>
                    <w:right w:w="0" w:type="dxa"/>
                  </w:tcMar>
                  <w:vAlign w:val="center"/>
                </w:tcPr>
                <w:p w14:paraId="673AB9BA">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color w:val="auto"/>
                      <w:kern w:val="2"/>
                      <w:sz w:val="21"/>
                      <w:szCs w:val="21"/>
                      <w:lang w:val="en-US" w:eastAsia="zh-CN" w:bidi="ar-SA"/>
                    </w:rPr>
                  </w:pPr>
                  <w:r>
                    <w:rPr>
                      <w:rFonts w:hint="eastAsia"/>
                      <w:color w:val="auto"/>
                      <w:kern w:val="2"/>
                      <w:sz w:val="21"/>
                      <w:szCs w:val="21"/>
                      <w:lang w:val="en-US" w:eastAsia="zh-CN" w:bidi="ar-SA"/>
                    </w:rPr>
                    <w:t>乙酸丁酯</w:t>
                  </w:r>
                </w:p>
              </w:tc>
              <w:tc>
                <w:tcPr>
                  <w:tcW w:w="1764" w:type="dxa"/>
                  <w:noWrap w:val="0"/>
                  <w:tcMar>
                    <w:left w:w="0" w:type="dxa"/>
                    <w:right w:w="0" w:type="dxa"/>
                  </w:tcMar>
                  <w:vAlign w:val="center"/>
                </w:tcPr>
                <w:p w14:paraId="09318D24">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color w:val="auto"/>
                      <w:sz w:val="21"/>
                      <w:szCs w:val="21"/>
                      <w:lang w:val="en-US" w:eastAsia="zh-CN"/>
                    </w:rPr>
                  </w:pPr>
                  <w:r>
                    <w:rPr>
                      <w:rFonts w:hint="eastAsia"/>
                      <w:color w:val="auto"/>
                      <w:sz w:val="21"/>
                      <w:szCs w:val="21"/>
                      <w:lang w:val="en-US" w:eastAsia="zh-CN"/>
                    </w:rPr>
                    <w:t>50</w:t>
                  </w:r>
                </w:p>
              </w:tc>
              <w:tc>
                <w:tcPr>
                  <w:tcW w:w="1080" w:type="dxa"/>
                  <w:noWrap w:val="0"/>
                  <w:tcMar>
                    <w:left w:w="0" w:type="dxa"/>
                    <w:right w:w="0" w:type="dxa"/>
                  </w:tcMar>
                  <w:vAlign w:val="center"/>
                </w:tcPr>
                <w:p w14:paraId="012F444A">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color w:val="auto"/>
                      <w:spacing w:val="-4"/>
                      <w:kern w:val="0"/>
                      <w:sz w:val="21"/>
                      <w:szCs w:val="21"/>
                      <w:lang w:val="en-US" w:eastAsia="zh-CN"/>
                    </w:rPr>
                  </w:pPr>
                  <w:r>
                    <w:rPr>
                      <w:rFonts w:hint="eastAsia"/>
                      <w:color w:val="auto"/>
                      <w:spacing w:val="-4"/>
                      <w:kern w:val="0"/>
                      <w:sz w:val="21"/>
                      <w:szCs w:val="21"/>
                      <w:lang w:val="en-US" w:eastAsia="zh-CN"/>
                    </w:rPr>
                    <w:t>24</w:t>
                  </w:r>
                </w:p>
              </w:tc>
              <w:tc>
                <w:tcPr>
                  <w:tcW w:w="1716" w:type="dxa"/>
                  <w:noWrap w:val="0"/>
                  <w:tcMar>
                    <w:left w:w="0" w:type="dxa"/>
                    <w:right w:w="0" w:type="dxa"/>
                  </w:tcMar>
                  <w:vAlign w:val="center"/>
                </w:tcPr>
                <w:p w14:paraId="63E8E1BF">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default"/>
                      <w:color w:val="auto"/>
                      <w:spacing w:val="-4"/>
                      <w:kern w:val="0"/>
                      <w:sz w:val="21"/>
                      <w:szCs w:val="21"/>
                      <w:lang w:val="en-US" w:eastAsia="zh-CN"/>
                    </w:rPr>
                  </w:pPr>
                  <w:r>
                    <w:rPr>
                      <w:rFonts w:hint="eastAsia"/>
                      <w:color w:val="auto"/>
                      <w:spacing w:val="-4"/>
                      <w:kern w:val="0"/>
                      <w:sz w:val="21"/>
                      <w:szCs w:val="21"/>
                      <w:lang w:val="en-US" w:eastAsia="zh-CN"/>
                    </w:rPr>
                    <w:t>/</w:t>
                  </w:r>
                </w:p>
              </w:tc>
              <w:tc>
                <w:tcPr>
                  <w:tcW w:w="2633" w:type="dxa"/>
                  <w:vMerge w:val="continue"/>
                  <w:noWrap w:val="0"/>
                  <w:tcMar>
                    <w:left w:w="0" w:type="dxa"/>
                    <w:right w:w="0" w:type="dxa"/>
                  </w:tcMar>
                  <w:vAlign w:val="center"/>
                </w:tcPr>
                <w:p w14:paraId="6F8836B4">
                  <w:pPr>
                    <w:keepNext w:val="0"/>
                    <w:keepLines w:val="0"/>
                    <w:pageBreakBefore w:val="0"/>
                    <w:widowControl/>
                    <w:kinsoku/>
                    <w:wordWrap/>
                    <w:overflowPunct/>
                    <w:topLinePunct w:val="0"/>
                    <w:autoSpaceDE/>
                    <w:autoSpaceDN/>
                    <w:bidi w:val="0"/>
                    <w:adjustRightInd/>
                    <w:snapToGrid/>
                    <w:spacing w:line="240" w:lineRule="auto"/>
                    <w:ind w:right="0"/>
                    <w:jc w:val="center"/>
                    <w:textAlignment w:val="auto"/>
                    <w:rPr>
                      <w:rFonts w:hint="eastAsia"/>
                      <w:color w:val="auto"/>
                      <w:spacing w:val="-4"/>
                      <w:kern w:val="0"/>
                      <w:sz w:val="21"/>
                      <w:szCs w:val="21"/>
                      <w:lang w:val="en-US" w:eastAsia="zh-CN"/>
                    </w:rPr>
                  </w:pPr>
                </w:p>
              </w:tc>
            </w:tr>
          </w:tbl>
          <w:p w14:paraId="630A7FE8">
            <w:pPr>
              <w:bidi w:val="0"/>
              <w:rPr>
                <w:rFonts w:hint="eastAsia"/>
                <w:lang w:val="en-US" w:eastAsia="zh-CN"/>
              </w:rPr>
            </w:pPr>
          </w:p>
          <w:p w14:paraId="43EF5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2"/>
                <w:szCs w:val="22"/>
                <w:lang w:val="en-US" w:eastAsia="zh-CN"/>
              </w:rPr>
            </w:pPr>
            <w:r>
              <w:rPr>
                <w:rFonts w:hint="eastAsia" w:ascii="宋体" w:hAnsi="宋体" w:eastAsia="宋体" w:cs="宋体"/>
                <w:b/>
                <w:bCs/>
                <w:sz w:val="22"/>
                <w:szCs w:val="22"/>
                <w:lang w:val="en-US" w:eastAsia="zh-CN"/>
              </w:rPr>
              <w:t>表</w:t>
            </w:r>
            <w:r>
              <w:rPr>
                <w:rFonts w:hint="eastAsia" w:ascii="Times New Roman" w:hAnsi="Times New Roman" w:eastAsia="宋体" w:cs="Times New Roman"/>
                <w:b/>
                <w:bCs/>
                <w:sz w:val="22"/>
                <w:szCs w:val="22"/>
                <w:lang w:val="en-US" w:eastAsia="zh-CN"/>
              </w:rPr>
              <w:t>3-</w:t>
            </w:r>
            <w:r>
              <w:rPr>
                <w:rFonts w:hint="eastAsia" w:cs="Times New Roman"/>
                <w:b/>
                <w:bCs/>
                <w:sz w:val="22"/>
                <w:szCs w:val="22"/>
                <w:lang w:val="en-US" w:eastAsia="zh-CN"/>
              </w:rPr>
              <w:t>12</w:t>
            </w:r>
            <w:r>
              <w:rPr>
                <w:rFonts w:hint="eastAsia"/>
                <w:b/>
                <w:bCs/>
                <w:sz w:val="22"/>
                <w:szCs w:val="22"/>
                <w:lang w:val="en-US" w:eastAsia="zh-CN"/>
              </w:rPr>
              <w:t xml:space="preserve">  无组织废气污染物排放</w:t>
            </w:r>
            <w:r>
              <w:rPr>
                <w:rFonts w:hint="eastAsia" w:ascii="宋体" w:hAnsi="宋体" w:eastAsia="宋体" w:cs="宋体"/>
                <w:b/>
                <w:bCs/>
                <w:sz w:val="22"/>
                <w:szCs w:val="22"/>
                <w:lang w:val="en-US" w:eastAsia="zh-CN"/>
              </w:rPr>
              <w:t>排放限值一览表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73"/>
              <w:gridCol w:w="3795"/>
              <w:gridCol w:w="3001"/>
            </w:tblGrid>
            <w:tr w14:paraId="58CE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940" w:type="pct"/>
                  <w:tcBorders>
                    <w:top w:val="single" w:color="auto" w:sz="4" w:space="0"/>
                    <w:left w:val="single" w:color="auto" w:sz="4" w:space="0"/>
                    <w:bottom w:val="single" w:color="auto" w:sz="4" w:space="0"/>
                    <w:right w:val="single" w:color="auto" w:sz="4" w:space="0"/>
                  </w:tcBorders>
                  <w:noWrap w:val="0"/>
                  <w:vAlign w:val="center"/>
                </w:tcPr>
                <w:p w14:paraId="3A9DD87E">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污染物项目</w:t>
                  </w:r>
                </w:p>
              </w:tc>
              <w:tc>
                <w:tcPr>
                  <w:tcW w:w="22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ECD836">
                  <w:pPr>
                    <w:widowControl/>
                    <w:jc w:val="center"/>
                    <w:rPr>
                      <w:rFonts w:hint="default" w:ascii="Times New Roman" w:hAnsi="Times New Roman" w:eastAsia="宋体" w:cs="Times New Roman"/>
                      <w:b/>
                      <w:kern w:val="0"/>
                      <w:sz w:val="21"/>
                      <w:szCs w:val="21"/>
                      <w:lang w:val="en-US" w:eastAsia="zh-CN" w:bidi="ar-SA"/>
                    </w:rPr>
                  </w:pPr>
                  <w:r>
                    <w:rPr>
                      <w:rFonts w:hint="eastAsia"/>
                      <w:b/>
                      <w:bCs/>
                      <w:color w:val="auto"/>
                      <w:spacing w:val="-4"/>
                      <w:kern w:val="0"/>
                      <w:sz w:val="21"/>
                      <w:szCs w:val="21"/>
                      <w:lang w:val="en-US" w:eastAsia="zh-CN"/>
                    </w:rPr>
                    <w:t>标准来源</w:t>
                  </w:r>
                </w:p>
              </w:tc>
              <w:tc>
                <w:tcPr>
                  <w:tcW w:w="179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0B7324">
                  <w:pPr>
                    <w:widowControl/>
                    <w:jc w:val="center"/>
                    <w:rPr>
                      <w:rFonts w:hint="default" w:ascii="Times New Roman" w:hAnsi="Times New Roman" w:cs="Times New Roman"/>
                      <w:b/>
                      <w:kern w:val="0"/>
                      <w:sz w:val="21"/>
                      <w:szCs w:val="21"/>
                      <w:lang w:val="en-US" w:eastAsia="zh-CN"/>
                    </w:rPr>
                  </w:pPr>
                  <w:r>
                    <w:rPr>
                      <w:rFonts w:hint="default" w:ascii="Times New Roman" w:hAnsi="Times New Roman" w:cs="Times New Roman"/>
                      <w:b/>
                      <w:kern w:val="0"/>
                      <w:sz w:val="21"/>
                      <w:szCs w:val="21"/>
                      <w:lang w:val="en-US" w:eastAsia="zh-CN"/>
                    </w:rPr>
                    <w:t>排放限值</w:t>
                  </w:r>
                  <w:r>
                    <w:rPr>
                      <w:b/>
                      <w:bCs/>
                      <w:color w:val="auto"/>
                      <w:spacing w:val="-4"/>
                      <w:kern w:val="0"/>
                      <w:sz w:val="21"/>
                      <w:szCs w:val="21"/>
                    </w:rPr>
                    <w:t>（mg/m</w:t>
                  </w:r>
                  <w:r>
                    <w:rPr>
                      <w:b/>
                      <w:bCs/>
                      <w:color w:val="auto"/>
                      <w:spacing w:val="-4"/>
                      <w:kern w:val="0"/>
                      <w:sz w:val="21"/>
                      <w:szCs w:val="21"/>
                      <w:vertAlign w:val="superscript"/>
                    </w:rPr>
                    <w:t>3</w:t>
                  </w:r>
                  <w:r>
                    <w:rPr>
                      <w:b/>
                      <w:bCs/>
                      <w:color w:val="auto"/>
                      <w:spacing w:val="-4"/>
                      <w:kern w:val="0"/>
                      <w:sz w:val="21"/>
                      <w:szCs w:val="21"/>
                    </w:rPr>
                    <w:t>）</w:t>
                  </w:r>
                </w:p>
              </w:tc>
            </w:tr>
            <w:tr w14:paraId="0062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000" w:type="pct"/>
                  <w:gridSpan w:val="3"/>
                  <w:tcBorders>
                    <w:left w:val="single" w:color="auto" w:sz="4" w:space="0"/>
                    <w:right w:val="single" w:color="auto" w:sz="4" w:space="0"/>
                  </w:tcBorders>
                  <w:noWrap w:val="0"/>
                  <w:vAlign w:val="center"/>
                </w:tcPr>
                <w:p w14:paraId="550BBD6E">
                  <w:pPr>
                    <w:bidi w:val="0"/>
                    <w:jc w:val="center"/>
                    <w:rPr>
                      <w:rFonts w:hint="default" w:ascii="Times New Roman" w:hAnsi="Times New Roman" w:cs="Times New Roman"/>
                      <w:sz w:val="21"/>
                      <w:szCs w:val="21"/>
                      <w:lang w:val="en-US" w:eastAsia="zh-CN"/>
                    </w:rPr>
                  </w:pPr>
                  <w:r>
                    <w:rPr>
                      <w:rFonts w:hint="eastAsia" w:cs="Times New Roman"/>
                      <w:b/>
                      <w:bCs/>
                      <w:sz w:val="21"/>
                      <w:szCs w:val="21"/>
                      <w:lang w:val="en-US" w:eastAsia="zh-CN"/>
                    </w:rPr>
                    <w:t>厂界处</w:t>
                  </w:r>
                </w:p>
              </w:tc>
            </w:tr>
            <w:tr w14:paraId="6C79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940" w:type="pct"/>
                  <w:tcBorders>
                    <w:left w:val="single" w:color="auto" w:sz="4" w:space="0"/>
                    <w:right w:val="single" w:color="auto" w:sz="4" w:space="0"/>
                  </w:tcBorders>
                  <w:shd w:val="clear" w:color="auto" w:fill="auto"/>
                  <w:noWrap w:val="0"/>
                  <w:vAlign w:val="center"/>
                </w:tcPr>
                <w:p w14:paraId="1D37B5F2">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4"/>
                      <w:kern w:val="0"/>
                      <w:sz w:val="21"/>
                      <w:szCs w:val="21"/>
                      <w:lang w:val="en-US" w:eastAsia="zh-CN" w:bidi="ar-SA"/>
                    </w:rPr>
                  </w:pPr>
                  <w:r>
                    <w:rPr>
                      <w:rFonts w:hint="eastAsia"/>
                      <w:color w:val="auto"/>
                      <w:spacing w:val="-4"/>
                      <w:kern w:val="0"/>
                      <w:sz w:val="21"/>
                      <w:szCs w:val="21"/>
                    </w:rPr>
                    <w:t>颗粒物</w:t>
                  </w:r>
                </w:p>
              </w:tc>
              <w:tc>
                <w:tcPr>
                  <w:tcW w:w="2267" w:type="pct"/>
                  <w:vMerge w:val="restart"/>
                  <w:tcBorders>
                    <w:top w:val="single" w:color="auto" w:sz="4" w:space="0"/>
                    <w:left w:val="single" w:color="auto" w:sz="4" w:space="0"/>
                    <w:right w:val="single" w:color="auto" w:sz="4" w:space="0"/>
                  </w:tcBorders>
                  <w:shd w:val="clear" w:color="auto" w:fill="auto"/>
                  <w:noWrap w:val="0"/>
                  <w:vAlign w:val="center"/>
                </w:tcPr>
                <w:p w14:paraId="1D76C027">
                  <w:pPr>
                    <w:bidi w:val="0"/>
                    <w:jc w:val="center"/>
                    <w:rPr>
                      <w:rFonts w:hint="default" w:ascii="Times New Roman" w:hAnsi="Times New Roman" w:cs="Times New Roman"/>
                      <w:sz w:val="21"/>
                      <w:szCs w:val="21"/>
                      <w:lang w:val="en-US" w:eastAsia="zh-CN"/>
                    </w:rPr>
                  </w:pPr>
                  <w:r>
                    <w:rPr>
                      <w:rFonts w:hint="eastAsia"/>
                      <w:color w:val="auto"/>
                      <w:spacing w:val="-4"/>
                      <w:kern w:val="0"/>
                      <w:sz w:val="21"/>
                      <w:szCs w:val="21"/>
                      <w:lang w:eastAsia="zh-CN"/>
                    </w:rPr>
                    <w:t>《大气污染物综合排放标准》（GB16297-1996）</w:t>
                  </w:r>
                </w:p>
              </w:tc>
              <w:tc>
                <w:tcPr>
                  <w:tcW w:w="1791" w:type="pct"/>
                  <w:tcBorders>
                    <w:left w:val="single" w:color="auto" w:sz="4" w:space="0"/>
                    <w:right w:val="single" w:color="auto" w:sz="4" w:space="0"/>
                  </w:tcBorders>
                  <w:shd w:val="clear" w:color="auto" w:fill="auto"/>
                  <w:noWrap w:val="0"/>
                  <w:vAlign w:val="center"/>
                </w:tcPr>
                <w:p w14:paraId="468174B0">
                  <w:pPr>
                    <w:bidi w:val="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w:t>
                  </w:r>
                </w:p>
              </w:tc>
            </w:tr>
            <w:tr w14:paraId="3DDE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940" w:type="pct"/>
                  <w:tcBorders>
                    <w:left w:val="single" w:color="auto" w:sz="4" w:space="0"/>
                    <w:right w:val="single" w:color="auto" w:sz="4" w:space="0"/>
                  </w:tcBorders>
                  <w:noWrap w:val="0"/>
                  <w:vAlign w:val="center"/>
                </w:tcPr>
                <w:p w14:paraId="562633D0">
                  <w:pPr>
                    <w:bidi w:val="0"/>
                    <w:jc w:val="center"/>
                    <w:rPr>
                      <w:rFonts w:hint="default" w:ascii="Times New Roman" w:hAnsi="Times New Roman" w:cs="Times New Roman"/>
                      <w:sz w:val="21"/>
                      <w:szCs w:val="21"/>
                      <w:lang w:val="en-US" w:eastAsia="zh-CN"/>
                    </w:rPr>
                  </w:pPr>
                  <w:r>
                    <w:rPr>
                      <w:rFonts w:hint="eastAsia" w:cs="Times New Roman"/>
                      <w:color w:val="000000"/>
                      <w:kern w:val="2"/>
                      <w:sz w:val="22"/>
                      <w:szCs w:val="22"/>
                      <w:highlight w:val="none"/>
                      <w:lang w:val="en-US" w:eastAsia="zh-CN"/>
                    </w:rPr>
                    <w:t>NMHC</w:t>
                  </w:r>
                </w:p>
              </w:tc>
              <w:tc>
                <w:tcPr>
                  <w:tcW w:w="2267" w:type="pct"/>
                  <w:vMerge w:val="continue"/>
                  <w:tcBorders>
                    <w:left w:val="single" w:color="auto" w:sz="4" w:space="0"/>
                    <w:bottom w:val="single" w:color="auto" w:sz="4" w:space="0"/>
                    <w:right w:val="single" w:color="auto" w:sz="4" w:space="0"/>
                  </w:tcBorders>
                  <w:shd w:val="clear" w:color="auto" w:fill="auto"/>
                  <w:noWrap w:val="0"/>
                  <w:vAlign w:val="center"/>
                </w:tcPr>
                <w:p w14:paraId="5EE4B8A1">
                  <w:pPr>
                    <w:bidi w:val="0"/>
                    <w:jc w:val="center"/>
                    <w:rPr>
                      <w:rFonts w:hint="default" w:ascii="Times New Roman" w:hAnsi="Times New Roman" w:cs="Times New Roman"/>
                      <w:sz w:val="21"/>
                      <w:szCs w:val="21"/>
                      <w:lang w:val="en-US" w:eastAsia="zh-CN"/>
                    </w:rPr>
                  </w:pPr>
                </w:p>
              </w:tc>
              <w:tc>
                <w:tcPr>
                  <w:tcW w:w="1791" w:type="pct"/>
                  <w:tcBorders>
                    <w:left w:val="single" w:color="auto" w:sz="4" w:space="0"/>
                    <w:right w:val="single" w:color="auto" w:sz="4" w:space="0"/>
                  </w:tcBorders>
                  <w:shd w:val="clear" w:color="auto" w:fill="auto"/>
                  <w:noWrap w:val="0"/>
                  <w:vAlign w:val="center"/>
                </w:tcPr>
                <w:p w14:paraId="01519336">
                  <w:pPr>
                    <w:bidi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4.0</w:t>
                  </w:r>
                </w:p>
              </w:tc>
            </w:tr>
            <w:tr w14:paraId="0DFE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5000" w:type="pct"/>
                  <w:gridSpan w:val="3"/>
                  <w:tcBorders>
                    <w:left w:val="single" w:color="auto" w:sz="4" w:space="0"/>
                    <w:right w:val="single" w:color="auto" w:sz="4" w:space="0"/>
                  </w:tcBorders>
                  <w:noWrap w:val="0"/>
                  <w:vAlign w:val="center"/>
                </w:tcPr>
                <w:p w14:paraId="55D2DD25">
                  <w:pPr>
                    <w:bidi w:val="0"/>
                    <w:jc w:val="center"/>
                    <w:rPr>
                      <w:rFonts w:hint="default" w:ascii="Times New Roman" w:hAnsi="Times New Roman" w:cs="Times New Roman"/>
                      <w:sz w:val="21"/>
                      <w:szCs w:val="21"/>
                      <w:lang w:val="en-US" w:eastAsia="zh-CN"/>
                    </w:rPr>
                  </w:pPr>
                  <w:r>
                    <w:rPr>
                      <w:rFonts w:hint="eastAsia" w:ascii="Times New Roman" w:hAnsi="Times New Roman" w:eastAsia="宋体" w:cs="Times New Roman"/>
                      <w:b/>
                      <w:bCs/>
                      <w:sz w:val="22"/>
                      <w:szCs w:val="22"/>
                      <w:lang w:val="en-US" w:eastAsia="zh-CN"/>
                    </w:rPr>
                    <w:t>厂区内厂房外</w:t>
                  </w:r>
                </w:p>
              </w:tc>
            </w:tr>
            <w:tr w14:paraId="4F84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940" w:type="pct"/>
                  <w:tcBorders>
                    <w:left w:val="single" w:color="auto" w:sz="4" w:space="0"/>
                    <w:right w:val="single" w:color="auto" w:sz="4" w:space="0"/>
                  </w:tcBorders>
                  <w:shd w:val="clear" w:color="auto" w:fill="auto"/>
                  <w:noWrap w:val="0"/>
                  <w:vAlign w:val="center"/>
                </w:tcPr>
                <w:p w14:paraId="7861EA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rPr>
                    <w:t>NMHC</w:t>
                  </w:r>
                </w:p>
              </w:tc>
              <w:tc>
                <w:tcPr>
                  <w:tcW w:w="2267" w:type="pct"/>
                  <w:tcBorders>
                    <w:top w:val="single" w:color="auto" w:sz="4" w:space="0"/>
                    <w:left w:val="single" w:color="auto" w:sz="4" w:space="0"/>
                    <w:right w:val="single" w:color="auto" w:sz="4" w:space="0"/>
                  </w:tcBorders>
                  <w:shd w:val="clear" w:color="auto" w:fill="auto"/>
                  <w:noWrap w:val="0"/>
                  <w:vAlign w:val="center"/>
                </w:tcPr>
                <w:p w14:paraId="25CBB27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bidi="ar-SA"/>
                    </w:rPr>
                    <w:t>《固定源挥发性有机物综合排放标准 第6部分：其他行业》（DB 34/4812.6-2024）、《挥发性有机物无组织排放控制标准》（GB37822-2019）</w:t>
                  </w:r>
                </w:p>
              </w:tc>
              <w:tc>
                <w:tcPr>
                  <w:tcW w:w="1791" w:type="pct"/>
                  <w:tcBorders>
                    <w:left w:val="single" w:color="auto" w:sz="4" w:space="0"/>
                    <w:right w:val="single" w:color="auto" w:sz="4" w:space="0"/>
                  </w:tcBorders>
                  <w:shd w:val="clear" w:color="auto" w:fill="auto"/>
                  <w:noWrap w:val="0"/>
                  <w:vAlign w:val="center"/>
                </w:tcPr>
                <w:p w14:paraId="040D904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cs="Times New Roman"/>
                      <w:color w:val="000000"/>
                      <w:kern w:val="2"/>
                      <w:sz w:val="22"/>
                      <w:szCs w:val="22"/>
                      <w:highlight w:val="none"/>
                      <w:lang w:val="en-US" w:eastAsia="zh-CN"/>
                    </w:rPr>
                  </w:pPr>
                  <w:r>
                    <w:rPr>
                      <w:rFonts w:hint="eastAsia" w:cs="Times New Roman"/>
                      <w:color w:val="000000"/>
                      <w:kern w:val="2"/>
                      <w:sz w:val="22"/>
                      <w:szCs w:val="22"/>
                      <w:highlight w:val="none"/>
                      <w:lang w:val="en-US" w:eastAsia="zh-CN"/>
                    </w:rPr>
                    <w:t>6（监控点处1 h平均浓度值）</w:t>
                  </w:r>
                </w:p>
                <w:p w14:paraId="2542F2D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2"/>
                      <w:szCs w:val="22"/>
                      <w:highlight w:val="none"/>
                      <w:lang w:val="en-US" w:eastAsia="zh-CN" w:bidi="ar-SA"/>
                    </w:rPr>
                  </w:pPr>
                  <w:r>
                    <w:rPr>
                      <w:rFonts w:hint="eastAsia" w:cs="Times New Roman"/>
                      <w:color w:val="000000"/>
                      <w:kern w:val="2"/>
                      <w:sz w:val="22"/>
                      <w:szCs w:val="22"/>
                      <w:highlight w:val="none"/>
                      <w:lang w:val="en-US" w:eastAsia="zh-CN"/>
                    </w:rPr>
                    <w:t>20（监控点处任意一次浓度值）</w:t>
                  </w:r>
                </w:p>
              </w:tc>
            </w:tr>
          </w:tbl>
          <w:p w14:paraId="43119C30">
            <w:pPr>
              <w:spacing w:line="360" w:lineRule="auto"/>
              <w:jc w:val="center"/>
              <w:rPr>
                <w:rFonts w:hint="eastAsia"/>
                <w:b/>
                <w:bCs/>
                <w:sz w:val="24"/>
                <w:lang w:val="en-US" w:eastAsia="zh-CN"/>
              </w:rPr>
            </w:pPr>
          </w:p>
          <w:p w14:paraId="2DE08B79">
            <w:pPr>
              <w:spacing w:line="360" w:lineRule="auto"/>
              <w:jc w:val="left"/>
              <w:rPr>
                <w:rFonts w:hint="eastAsia" w:ascii="Times New Roman" w:hAnsi="Times New Roman" w:eastAsia="宋体" w:cs="Times New Roman"/>
                <w:b w:val="0"/>
                <w:bCs w:val="0"/>
                <w:sz w:val="24"/>
                <w:lang w:val="en-US" w:eastAsia="zh-CN"/>
              </w:rPr>
            </w:pPr>
            <w:r>
              <w:rPr>
                <w:rFonts w:hint="eastAsia"/>
                <w:b/>
                <w:bCs/>
                <w:sz w:val="24"/>
                <w:lang w:val="en-US" w:eastAsia="zh-CN"/>
              </w:rPr>
              <w:t>3</w:t>
            </w:r>
            <w:r>
              <w:rPr>
                <w:b/>
                <w:bCs/>
                <w:sz w:val="24"/>
              </w:rPr>
              <w:t>、</w:t>
            </w:r>
            <w:r>
              <w:rPr>
                <w:rFonts w:hint="eastAsia"/>
                <w:b/>
                <w:sz w:val="24"/>
                <w:lang w:val="en-US" w:eastAsia="zh-CN"/>
              </w:rPr>
              <w:t>噪声</w:t>
            </w:r>
          </w:p>
          <w:p w14:paraId="2BF19ED0">
            <w:pPr>
              <w:spacing w:line="360" w:lineRule="auto"/>
              <w:ind w:firstLine="480" w:firstLineChars="200"/>
              <w:jc w:val="both"/>
              <w:rPr>
                <w:rFonts w:hint="eastAsia" w:cs="Times New Roman"/>
                <w:b w:val="0"/>
                <w:bCs w:val="0"/>
                <w:sz w:val="24"/>
                <w:lang w:val="en-US" w:eastAsia="zh-CN"/>
              </w:rPr>
            </w:pPr>
            <w:r>
              <w:rPr>
                <w:rFonts w:hint="eastAsia" w:cs="Times New Roman"/>
                <w:b w:val="0"/>
                <w:bCs w:val="0"/>
                <w:sz w:val="24"/>
                <w:lang w:val="en-US" w:eastAsia="zh-CN"/>
              </w:rPr>
              <w:t>本</w:t>
            </w:r>
            <w:r>
              <w:rPr>
                <w:rFonts w:hint="eastAsia" w:ascii="Times New Roman" w:hAnsi="Times New Roman" w:eastAsia="宋体" w:cs="Times New Roman"/>
                <w:b w:val="0"/>
                <w:bCs w:val="0"/>
                <w:sz w:val="24"/>
                <w:lang w:val="en-US" w:eastAsia="zh-CN"/>
              </w:rPr>
              <w:t>项目</w:t>
            </w:r>
            <w:r>
              <w:rPr>
                <w:rFonts w:hint="eastAsia" w:cs="Times New Roman"/>
                <w:b w:val="0"/>
                <w:bCs w:val="0"/>
                <w:sz w:val="24"/>
                <w:lang w:val="en-US" w:eastAsia="zh-CN"/>
              </w:rPr>
              <w:t>用地性质为工业用地，建设</w:t>
            </w:r>
            <w:r>
              <w:rPr>
                <w:rFonts w:hint="eastAsia" w:ascii="Times New Roman" w:hAnsi="Times New Roman" w:eastAsia="宋体" w:cs="Times New Roman"/>
                <w:b w:val="0"/>
                <w:bCs w:val="0"/>
                <w:sz w:val="24"/>
                <w:lang w:val="en-US" w:eastAsia="zh-CN"/>
              </w:rPr>
              <w:t>施工期</w:t>
            </w:r>
            <w:r>
              <w:rPr>
                <w:rFonts w:hint="eastAsia" w:cs="Times New Roman"/>
                <w:b w:val="0"/>
                <w:bCs w:val="0"/>
                <w:sz w:val="24"/>
                <w:lang w:val="en-US" w:eastAsia="zh-CN"/>
              </w:rPr>
              <w:t>厂界噪声执行</w:t>
            </w:r>
            <w:r>
              <w:rPr>
                <w:rFonts w:hint="eastAsia" w:ascii="Times New Roman" w:hAnsi="Times New Roman" w:eastAsia="宋体" w:cs="Times New Roman"/>
                <w:b w:val="0"/>
                <w:bCs w:val="0"/>
                <w:sz w:val="24"/>
                <w:lang w:val="en-US" w:eastAsia="zh-CN"/>
              </w:rPr>
              <w:t>《建筑施工场界环境噪声排放限值》</w:t>
            </w:r>
            <w:r>
              <w:rPr>
                <w:rFonts w:hint="eastAsia" w:cs="Times New Roman"/>
                <w:b w:val="0"/>
                <w:bCs w:val="0"/>
                <w:sz w:val="24"/>
                <w:lang w:val="en-US" w:eastAsia="zh-CN"/>
              </w:rPr>
              <w:t>（</w:t>
            </w:r>
            <w:r>
              <w:rPr>
                <w:rFonts w:hint="eastAsia" w:ascii="Times New Roman" w:hAnsi="Times New Roman" w:eastAsia="宋体" w:cs="Times New Roman"/>
                <w:b w:val="0"/>
                <w:bCs w:val="0"/>
                <w:sz w:val="24"/>
                <w:lang w:val="en-US" w:eastAsia="zh-CN"/>
              </w:rPr>
              <w:t>GB 12523-2011</w:t>
            </w:r>
            <w:r>
              <w:rPr>
                <w:rFonts w:hint="eastAsia" w:cs="Times New Roman"/>
                <w:b w:val="0"/>
                <w:bCs w:val="0"/>
                <w:sz w:val="24"/>
                <w:lang w:val="en-US" w:eastAsia="zh-CN"/>
              </w:rPr>
              <w:t>）；根据</w:t>
            </w:r>
            <w:r>
              <w:rPr>
                <w:rFonts w:hint="eastAsia"/>
                <w:bCs/>
                <w:sz w:val="24"/>
                <w:szCs w:val="24"/>
                <w:lang w:val="en-US" w:eastAsia="zh-CN"/>
              </w:rPr>
              <w:t>《淮北市声环境功能区划分方案（2024年修订版）》，项目位于3类功能区内（见附图3）</w:t>
            </w:r>
            <w:r>
              <w:rPr>
                <w:rFonts w:hint="eastAsia" w:cs="Times New Roman"/>
                <w:b w:val="0"/>
                <w:bCs w:val="0"/>
                <w:sz w:val="24"/>
                <w:lang w:val="en-US" w:eastAsia="zh-CN"/>
              </w:rPr>
              <w:t>，故项目</w:t>
            </w:r>
            <w:r>
              <w:rPr>
                <w:rFonts w:hint="eastAsia" w:ascii="Times New Roman" w:hAnsi="Times New Roman" w:eastAsia="宋体" w:cs="Times New Roman"/>
                <w:b w:val="0"/>
                <w:bCs w:val="0"/>
                <w:sz w:val="24"/>
                <w:lang w:val="en-US" w:eastAsia="zh-CN"/>
              </w:rPr>
              <w:t>营运期</w:t>
            </w:r>
            <w:r>
              <w:rPr>
                <w:rFonts w:hint="eastAsia" w:cs="Times New Roman"/>
                <w:b w:val="0"/>
                <w:bCs w:val="0"/>
                <w:sz w:val="24"/>
                <w:lang w:val="en-US" w:eastAsia="zh-CN"/>
              </w:rPr>
              <w:t>厂界</w:t>
            </w:r>
            <w:r>
              <w:rPr>
                <w:rFonts w:hint="eastAsia" w:ascii="Times New Roman" w:hAnsi="Times New Roman" w:eastAsia="宋体" w:cs="Times New Roman"/>
                <w:b w:val="0"/>
                <w:bCs w:val="0"/>
                <w:sz w:val="24"/>
                <w:lang w:val="en-US" w:eastAsia="zh-CN"/>
              </w:rPr>
              <w:t>噪声执行</w:t>
            </w:r>
            <w:r>
              <w:rPr>
                <w:rFonts w:hint="eastAsia"/>
                <w:color w:val="000000"/>
                <w:kern w:val="0"/>
                <w:sz w:val="24"/>
                <w:lang w:val="en-US" w:eastAsia="zh-CN"/>
              </w:rPr>
              <w:t>《工业企业厂界环境噪声排放标准》（GB12348-2008）</w:t>
            </w:r>
            <w:r>
              <w:rPr>
                <w:rFonts w:hint="eastAsia" w:ascii="Times New Roman" w:hAnsi="Times New Roman" w:eastAsia="宋体" w:cs="Times New Roman"/>
                <w:b w:val="0"/>
                <w:bCs w:val="0"/>
                <w:sz w:val="24"/>
                <w:lang w:val="en-US" w:eastAsia="zh-CN"/>
              </w:rPr>
              <w:t>中的</w:t>
            </w:r>
            <w:r>
              <w:rPr>
                <w:rFonts w:hint="eastAsia" w:cs="Times New Roman"/>
                <w:b w:val="0"/>
                <w:bCs w:val="0"/>
                <w:sz w:val="24"/>
                <w:lang w:val="en-US" w:eastAsia="zh-CN"/>
              </w:rPr>
              <w:t>3</w:t>
            </w:r>
            <w:r>
              <w:rPr>
                <w:rFonts w:hint="eastAsia" w:ascii="Times New Roman" w:hAnsi="Times New Roman" w:eastAsia="宋体" w:cs="Times New Roman"/>
                <w:b w:val="0"/>
                <w:bCs w:val="0"/>
                <w:sz w:val="24"/>
                <w:lang w:val="en-US" w:eastAsia="zh-CN"/>
              </w:rPr>
              <w:t>类标准</w:t>
            </w:r>
            <w:r>
              <w:rPr>
                <w:rFonts w:hint="eastAsia" w:cs="Times New Roman"/>
                <w:b w:val="0"/>
                <w:bCs w:val="0"/>
                <w:sz w:val="24"/>
                <w:lang w:val="en-US" w:eastAsia="zh-CN"/>
              </w:rPr>
              <w:t>，具体限值见下表。</w:t>
            </w:r>
          </w:p>
          <w:p w14:paraId="60E109DC">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表</w:t>
            </w:r>
            <w:r>
              <w:rPr>
                <w:rFonts w:hint="eastAsia" w:ascii="Times New Roman" w:hAnsi="Times New Roman" w:eastAsia="宋体" w:cs="Times New Roman"/>
                <w:b/>
                <w:bCs/>
                <w:sz w:val="22"/>
                <w:szCs w:val="22"/>
                <w:lang w:val="en-US" w:eastAsia="zh-CN"/>
              </w:rPr>
              <w:t>3-</w:t>
            </w:r>
            <w:r>
              <w:rPr>
                <w:rFonts w:hint="eastAsia" w:cs="Times New Roman"/>
                <w:b/>
                <w:bCs/>
                <w:sz w:val="22"/>
                <w:szCs w:val="22"/>
                <w:lang w:val="en-US" w:eastAsia="zh-CN"/>
              </w:rPr>
              <w:t>13</w:t>
            </w:r>
            <w:r>
              <w:rPr>
                <w:rFonts w:hint="eastAsia" w:ascii="宋体" w:hAnsi="宋体" w:eastAsia="宋体" w:cs="宋体"/>
                <w:b/>
                <w:bCs/>
                <w:sz w:val="22"/>
                <w:szCs w:val="22"/>
                <w:lang w:val="en-US" w:eastAsia="zh-CN"/>
              </w:rPr>
              <w:t xml:space="preserve">  </w:t>
            </w:r>
            <w:r>
              <w:rPr>
                <w:rFonts w:hint="eastAsia" w:ascii="宋体" w:hAnsi="宋体" w:cs="宋体"/>
                <w:b/>
                <w:bCs/>
                <w:sz w:val="22"/>
                <w:szCs w:val="22"/>
                <w:lang w:val="en-US" w:eastAsia="zh-CN"/>
              </w:rPr>
              <w:t>本项目</w:t>
            </w:r>
            <w:r>
              <w:rPr>
                <w:rFonts w:hint="default" w:ascii="宋体" w:hAnsi="宋体" w:eastAsia="宋体" w:cs="宋体"/>
                <w:b/>
                <w:bCs/>
                <w:sz w:val="22"/>
                <w:szCs w:val="22"/>
                <w:lang w:val="en-US" w:eastAsia="zh-CN"/>
              </w:rPr>
              <w:t>噪声排放</w:t>
            </w:r>
            <w:r>
              <w:rPr>
                <w:rFonts w:hint="eastAsia" w:ascii="宋体" w:hAnsi="宋体" w:cs="宋体"/>
                <w:b/>
                <w:bCs/>
                <w:sz w:val="22"/>
                <w:szCs w:val="22"/>
                <w:lang w:val="en-US" w:eastAsia="zh-CN"/>
              </w:rPr>
              <w:t>限</w:t>
            </w:r>
            <w:r>
              <w:rPr>
                <w:rFonts w:hint="default" w:ascii="宋体" w:hAnsi="宋体" w:eastAsia="宋体" w:cs="宋体"/>
                <w:b/>
                <w:bCs/>
                <w:sz w:val="22"/>
                <w:szCs w:val="22"/>
                <w:lang w:val="en-US" w:eastAsia="zh-CN"/>
              </w:rPr>
              <w:t>值</w:t>
            </w:r>
            <w:r>
              <w:rPr>
                <w:rFonts w:hint="eastAsia" w:ascii="宋体" w:hAnsi="宋体" w:cs="宋体"/>
                <w:b/>
                <w:bCs/>
                <w:sz w:val="22"/>
                <w:szCs w:val="22"/>
                <w:lang w:val="en-US" w:eastAsia="zh-CN"/>
              </w:rPr>
              <w:t>一览表（</w:t>
            </w:r>
            <w:r>
              <w:rPr>
                <w:rFonts w:hint="default" w:ascii="宋体" w:hAnsi="宋体" w:eastAsia="宋体" w:cs="宋体"/>
                <w:b/>
                <w:bCs/>
                <w:sz w:val="22"/>
                <w:szCs w:val="22"/>
                <w:lang w:val="en-US" w:eastAsia="zh-CN"/>
              </w:rPr>
              <w:t>dB（A）</w:t>
            </w:r>
            <w:r>
              <w:rPr>
                <w:rFonts w:hint="eastAsia" w:ascii="宋体" w:hAnsi="宋体" w:cs="宋体"/>
                <w:b/>
                <w:bCs/>
                <w:sz w:val="22"/>
                <w:szCs w:val="22"/>
                <w:lang w:val="en-US" w:eastAsia="zh-CN"/>
              </w:rPr>
              <w:t>）</w:t>
            </w:r>
          </w:p>
          <w:tbl>
            <w:tblPr>
              <w:tblStyle w:val="24"/>
              <w:tblW w:w="48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280"/>
              <w:gridCol w:w="1371"/>
              <w:gridCol w:w="1459"/>
              <w:gridCol w:w="4001"/>
            </w:tblGrid>
            <w:tr w14:paraId="2680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9" w:type="pct"/>
                  <w:tcBorders>
                    <w:top w:val="single" w:color="auto" w:sz="4" w:space="0"/>
                    <w:left w:val="single" w:color="auto" w:sz="4" w:space="0"/>
                    <w:bottom w:val="single" w:color="auto" w:sz="4" w:space="0"/>
                    <w:right w:val="single" w:color="auto" w:sz="4" w:space="0"/>
                  </w:tcBorders>
                  <w:noWrap w:val="0"/>
                  <w:vAlign w:val="center"/>
                </w:tcPr>
                <w:p w14:paraId="1B06BA23">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b/>
                      <w:bCs/>
                      <w:sz w:val="22"/>
                      <w:szCs w:val="22"/>
                      <w:lang w:val="en-US" w:eastAsia="zh-CN"/>
                    </w:rPr>
                  </w:pPr>
                  <w:r>
                    <w:rPr>
                      <w:rFonts w:hint="eastAsia"/>
                      <w:b/>
                      <w:bCs/>
                      <w:sz w:val="22"/>
                      <w:szCs w:val="22"/>
                      <w:lang w:val="en-US" w:eastAsia="zh-CN"/>
                    </w:rPr>
                    <w:t>时段</w:t>
                  </w:r>
                </w:p>
              </w:tc>
              <w:tc>
                <w:tcPr>
                  <w:tcW w:w="845" w:type="pct"/>
                  <w:tcBorders>
                    <w:left w:val="single" w:color="auto" w:sz="4" w:space="0"/>
                    <w:bottom w:val="single" w:color="auto" w:sz="4" w:space="0"/>
                    <w:right w:val="single" w:color="auto" w:sz="4" w:space="0"/>
                  </w:tcBorders>
                  <w:shd w:val="clear" w:color="auto" w:fill="auto"/>
                  <w:noWrap w:val="0"/>
                  <w:vAlign w:val="center"/>
                </w:tcPr>
                <w:p w14:paraId="45474D3C">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b/>
                      <w:bCs/>
                      <w:sz w:val="22"/>
                      <w:szCs w:val="22"/>
                      <w:lang w:val="en-US" w:eastAsia="zh-CN"/>
                    </w:rPr>
                  </w:pPr>
                  <w:r>
                    <w:rPr>
                      <w:rFonts w:hint="eastAsia"/>
                      <w:b/>
                      <w:bCs/>
                      <w:sz w:val="22"/>
                      <w:szCs w:val="22"/>
                      <w:lang w:val="en-US" w:eastAsia="zh-CN"/>
                    </w:rPr>
                    <w:t>昼间限值</w:t>
                  </w:r>
                </w:p>
              </w:tc>
              <w:tc>
                <w:tcPr>
                  <w:tcW w:w="8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C7EE31">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b/>
                      <w:bCs/>
                      <w:sz w:val="22"/>
                      <w:szCs w:val="22"/>
                      <w:lang w:val="en-US" w:eastAsia="zh-CN"/>
                    </w:rPr>
                  </w:pPr>
                  <w:r>
                    <w:rPr>
                      <w:rFonts w:hint="eastAsia"/>
                      <w:b/>
                      <w:bCs/>
                      <w:sz w:val="22"/>
                      <w:szCs w:val="22"/>
                      <w:lang w:val="en-US" w:eastAsia="zh-CN"/>
                    </w:rPr>
                    <w:t>夜间限值</w:t>
                  </w:r>
                </w:p>
              </w:tc>
              <w:tc>
                <w:tcPr>
                  <w:tcW w:w="24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5D803E">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b/>
                      <w:bCs/>
                      <w:sz w:val="22"/>
                      <w:szCs w:val="22"/>
                      <w:lang w:val="en-US" w:eastAsia="zh-CN"/>
                    </w:rPr>
                  </w:pPr>
                  <w:r>
                    <w:rPr>
                      <w:rFonts w:hint="eastAsia"/>
                      <w:b/>
                      <w:bCs/>
                      <w:sz w:val="22"/>
                      <w:szCs w:val="22"/>
                      <w:lang w:val="en-US" w:eastAsia="zh-CN"/>
                    </w:rPr>
                    <w:t>执行标准</w:t>
                  </w:r>
                </w:p>
              </w:tc>
            </w:tr>
            <w:tr w14:paraId="2D35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9" w:type="pct"/>
                  <w:tcBorders>
                    <w:top w:val="single" w:color="auto" w:sz="4" w:space="0"/>
                    <w:left w:val="single" w:color="auto" w:sz="4" w:space="0"/>
                    <w:bottom w:val="single" w:color="auto" w:sz="4" w:space="0"/>
                    <w:right w:val="single" w:color="auto" w:sz="4" w:space="0"/>
                  </w:tcBorders>
                  <w:noWrap w:val="0"/>
                  <w:vAlign w:val="center"/>
                </w:tcPr>
                <w:p w14:paraId="2BF1417C">
                  <w:pPr>
                    <w:bidi w:val="0"/>
                    <w:jc w:val="center"/>
                    <w:rPr>
                      <w:rFonts w:hint="default"/>
                      <w:sz w:val="21"/>
                      <w:szCs w:val="21"/>
                      <w:lang w:val="en-US" w:eastAsia="zh-CN"/>
                    </w:rPr>
                  </w:pPr>
                  <w:r>
                    <w:rPr>
                      <w:rFonts w:hint="eastAsia"/>
                      <w:sz w:val="21"/>
                      <w:szCs w:val="21"/>
                      <w:lang w:val="en-US" w:eastAsia="zh-CN"/>
                    </w:rPr>
                    <w:t>施工期</w:t>
                  </w:r>
                </w:p>
              </w:tc>
              <w:tc>
                <w:tcPr>
                  <w:tcW w:w="84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12C120">
                  <w:pPr>
                    <w:bidi w:val="0"/>
                    <w:jc w:val="center"/>
                    <w:rPr>
                      <w:rFonts w:hint="default"/>
                      <w:sz w:val="21"/>
                      <w:szCs w:val="21"/>
                      <w:lang w:val="en-US" w:eastAsia="zh-CN"/>
                    </w:rPr>
                  </w:pPr>
                  <w:r>
                    <w:rPr>
                      <w:rFonts w:hint="eastAsia"/>
                      <w:sz w:val="21"/>
                      <w:szCs w:val="21"/>
                      <w:lang w:val="en-US" w:eastAsia="zh-CN"/>
                    </w:rPr>
                    <w:t>70</w:t>
                  </w:r>
                </w:p>
              </w:tc>
              <w:tc>
                <w:tcPr>
                  <w:tcW w:w="8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B3E832">
                  <w:pPr>
                    <w:bidi w:val="0"/>
                    <w:jc w:val="center"/>
                    <w:rPr>
                      <w:rFonts w:hint="default"/>
                      <w:sz w:val="21"/>
                      <w:szCs w:val="21"/>
                      <w:lang w:val="en-US" w:eastAsia="zh-CN"/>
                    </w:rPr>
                  </w:pPr>
                  <w:r>
                    <w:rPr>
                      <w:rFonts w:hint="eastAsia"/>
                      <w:sz w:val="21"/>
                      <w:szCs w:val="21"/>
                      <w:lang w:val="en-US" w:eastAsia="zh-CN"/>
                    </w:rPr>
                    <w:t>55</w:t>
                  </w:r>
                </w:p>
              </w:tc>
              <w:tc>
                <w:tcPr>
                  <w:tcW w:w="24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C4A39C">
                  <w:pPr>
                    <w:bidi w:val="0"/>
                    <w:jc w:val="center"/>
                    <w:rPr>
                      <w:rFonts w:hint="eastAsia"/>
                      <w:sz w:val="21"/>
                      <w:szCs w:val="21"/>
                      <w:lang w:val="en-US" w:eastAsia="zh-CN"/>
                    </w:rPr>
                  </w:pPr>
                  <w:r>
                    <w:rPr>
                      <w:rFonts w:hint="eastAsia"/>
                      <w:sz w:val="21"/>
                      <w:szCs w:val="21"/>
                      <w:lang w:val="en-US" w:eastAsia="zh-CN"/>
                    </w:rPr>
                    <w:t>《建筑施工场界环境噪声排放限值》(GB 12523-2011)</w:t>
                  </w:r>
                </w:p>
              </w:tc>
            </w:tr>
            <w:tr w14:paraId="2EF3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789" w:type="pct"/>
                  <w:tcBorders>
                    <w:top w:val="single" w:color="auto" w:sz="4" w:space="0"/>
                    <w:left w:val="single" w:color="auto" w:sz="4" w:space="0"/>
                    <w:right w:val="single" w:color="auto" w:sz="4" w:space="0"/>
                  </w:tcBorders>
                  <w:noWrap w:val="0"/>
                  <w:vAlign w:val="center"/>
                </w:tcPr>
                <w:p w14:paraId="023917DC">
                  <w:pPr>
                    <w:bidi w:val="0"/>
                    <w:jc w:val="center"/>
                    <w:rPr>
                      <w:rFonts w:hint="default"/>
                      <w:sz w:val="21"/>
                      <w:szCs w:val="21"/>
                      <w:lang w:val="en-US" w:eastAsia="zh-CN"/>
                    </w:rPr>
                  </w:pPr>
                  <w:r>
                    <w:rPr>
                      <w:rFonts w:hint="eastAsia"/>
                      <w:sz w:val="21"/>
                      <w:szCs w:val="21"/>
                      <w:lang w:val="en-US" w:eastAsia="zh-CN"/>
                    </w:rPr>
                    <w:t>运营期</w:t>
                  </w:r>
                </w:p>
              </w:tc>
              <w:tc>
                <w:tcPr>
                  <w:tcW w:w="84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E8AB5C">
                  <w:pPr>
                    <w:bidi w:val="0"/>
                    <w:jc w:val="center"/>
                    <w:rPr>
                      <w:rFonts w:hint="default"/>
                      <w:sz w:val="21"/>
                      <w:szCs w:val="21"/>
                      <w:lang w:val="en-US" w:eastAsia="zh-CN"/>
                    </w:rPr>
                  </w:pPr>
                  <w:r>
                    <w:rPr>
                      <w:rFonts w:hint="eastAsia"/>
                      <w:sz w:val="21"/>
                      <w:szCs w:val="21"/>
                      <w:lang w:val="en-US" w:eastAsia="zh-CN"/>
                    </w:rPr>
                    <w:t>65</w:t>
                  </w:r>
                </w:p>
              </w:tc>
              <w:tc>
                <w:tcPr>
                  <w:tcW w:w="89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8447C0">
                  <w:pPr>
                    <w:bidi w:val="0"/>
                    <w:jc w:val="center"/>
                    <w:rPr>
                      <w:rFonts w:hint="default"/>
                      <w:sz w:val="21"/>
                      <w:szCs w:val="21"/>
                      <w:lang w:val="en-US" w:eastAsia="zh-CN"/>
                    </w:rPr>
                  </w:pPr>
                  <w:r>
                    <w:rPr>
                      <w:rFonts w:hint="eastAsia"/>
                      <w:sz w:val="21"/>
                      <w:szCs w:val="21"/>
                      <w:lang w:val="en-US" w:eastAsia="zh-CN"/>
                    </w:rPr>
                    <w:t>55</w:t>
                  </w:r>
                </w:p>
              </w:tc>
              <w:tc>
                <w:tcPr>
                  <w:tcW w:w="24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7E3CD6">
                  <w:pPr>
                    <w:bidi w:val="0"/>
                    <w:jc w:val="center"/>
                    <w:rPr>
                      <w:rFonts w:hint="eastAsia"/>
                      <w:sz w:val="21"/>
                      <w:szCs w:val="21"/>
                      <w:lang w:val="en-US" w:eastAsia="zh-CN"/>
                    </w:rPr>
                  </w:pPr>
                  <w:r>
                    <w:rPr>
                      <w:rFonts w:hint="eastAsia"/>
                      <w:sz w:val="21"/>
                      <w:szCs w:val="21"/>
                      <w:lang w:val="en-US" w:eastAsia="zh-CN"/>
                    </w:rPr>
                    <w:t>《工业企业厂界环境噪声排放标准》（GB12348-2008）3类标准</w:t>
                  </w:r>
                </w:p>
              </w:tc>
            </w:tr>
          </w:tbl>
          <w:p w14:paraId="237792CB">
            <w:pPr>
              <w:spacing w:line="360" w:lineRule="auto"/>
              <w:jc w:val="left"/>
              <w:rPr>
                <w:rFonts w:hint="default" w:ascii="Times New Roman" w:hAnsi="Times New Roman" w:eastAsia="宋体" w:cs="Times New Roman"/>
                <w:b w:val="0"/>
                <w:bCs w:val="0"/>
                <w:sz w:val="24"/>
                <w:lang w:val="en-US" w:eastAsia="zh-CN"/>
              </w:rPr>
            </w:pPr>
            <w:r>
              <w:rPr>
                <w:rFonts w:hint="eastAsia" w:cs="Times New Roman"/>
                <w:b w:val="0"/>
                <w:bCs w:val="0"/>
                <w:sz w:val="24"/>
                <w:lang w:val="en-US" w:eastAsia="zh-CN"/>
              </w:rPr>
              <w:t xml:space="preserve"> </w:t>
            </w:r>
          </w:p>
          <w:p w14:paraId="45D45B56">
            <w:pPr>
              <w:spacing w:line="360" w:lineRule="auto"/>
              <w:jc w:val="left"/>
              <w:rPr>
                <w:rFonts w:hint="eastAsia" w:ascii="Times New Roman" w:hAnsi="Times New Roman" w:eastAsia="宋体" w:cs="Times New Roman"/>
                <w:b w:val="0"/>
                <w:bCs w:val="0"/>
                <w:sz w:val="24"/>
                <w:lang w:val="en-US" w:eastAsia="zh-CN"/>
              </w:rPr>
            </w:pPr>
            <w:r>
              <w:rPr>
                <w:rFonts w:hint="eastAsia"/>
                <w:b/>
                <w:bCs/>
                <w:sz w:val="24"/>
                <w:lang w:val="en-US" w:eastAsia="zh-CN"/>
              </w:rPr>
              <w:t>4</w:t>
            </w:r>
            <w:r>
              <w:rPr>
                <w:b/>
                <w:bCs/>
                <w:sz w:val="24"/>
              </w:rPr>
              <w:t>、</w:t>
            </w:r>
            <w:r>
              <w:rPr>
                <w:rFonts w:hint="eastAsia"/>
                <w:b/>
                <w:bCs/>
                <w:sz w:val="24"/>
                <w:lang w:val="en-US" w:eastAsia="zh-CN"/>
              </w:rPr>
              <w:t>固体废物</w:t>
            </w:r>
          </w:p>
          <w:p w14:paraId="15AAE1DC">
            <w:pPr>
              <w:spacing w:line="360" w:lineRule="auto"/>
              <w:ind w:firstLine="480" w:firstLineChars="200"/>
              <w:jc w:val="left"/>
              <w:rPr>
                <w:rFonts w:hint="eastAsia" w:ascii="Times New Roman" w:hAnsi="Times New Roman" w:eastAsia="宋体" w:cs="Times New Roman"/>
                <w:b w:val="0"/>
                <w:bCs w:val="0"/>
                <w:sz w:val="24"/>
                <w:lang w:val="en-US" w:eastAsia="zh-CN"/>
              </w:rPr>
            </w:pPr>
            <w:r>
              <w:rPr>
                <w:rFonts w:hint="eastAsia" w:ascii="宋体" w:hAnsi="宋体" w:cs="宋体"/>
                <w:b w:val="0"/>
                <w:bCs w:val="0"/>
                <w:kern w:val="0"/>
                <w:sz w:val="24"/>
                <w:szCs w:val="24"/>
                <w:lang w:val="en-US" w:eastAsia="zh-CN"/>
              </w:rPr>
              <w:t>本项</w:t>
            </w:r>
            <w:r>
              <w:rPr>
                <w:rFonts w:hint="default" w:ascii="Times New Roman" w:hAnsi="Times New Roman" w:cs="Times New Roman"/>
                <w:b w:val="0"/>
                <w:bCs w:val="0"/>
                <w:kern w:val="0"/>
                <w:sz w:val="24"/>
                <w:szCs w:val="24"/>
                <w:lang w:val="en-US" w:eastAsia="zh-CN"/>
              </w:rPr>
              <w:t>目一般工业固废暂存参照执行《一般工业固体废物贮存和填埋污染控制标准》（GB18599-2020）要求，危险废物</w:t>
            </w:r>
            <w:r>
              <w:rPr>
                <w:rFonts w:hint="eastAsia" w:cs="Times New Roman"/>
                <w:b w:val="0"/>
                <w:bCs w:val="0"/>
                <w:kern w:val="0"/>
                <w:sz w:val="24"/>
                <w:szCs w:val="24"/>
                <w:lang w:val="en-US" w:eastAsia="zh-CN"/>
              </w:rPr>
              <w:t>暂</w:t>
            </w:r>
            <w:r>
              <w:rPr>
                <w:rFonts w:hint="default" w:ascii="Times New Roman" w:hAnsi="Times New Roman" w:cs="Times New Roman"/>
                <w:b w:val="0"/>
                <w:bCs w:val="0"/>
                <w:kern w:val="0"/>
                <w:sz w:val="24"/>
                <w:szCs w:val="24"/>
                <w:lang w:val="en-US" w:eastAsia="zh-CN"/>
              </w:rPr>
              <w:t>存执行《危险废物贮存污染控制标准》（GB18597-2023）</w:t>
            </w:r>
            <w:r>
              <w:rPr>
                <w:rFonts w:hint="eastAsia" w:ascii="宋体" w:hAnsi="宋体" w:cs="宋体"/>
                <w:b w:val="0"/>
                <w:bCs w:val="0"/>
                <w:kern w:val="0"/>
                <w:sz w:val="24"/>
                <w:szCs w:val="24"/>
                <w:lang w:val="en-US" w:eastAsia="zh-CN"/>
              </w:rPr>
              <w:t>要求。</w:t>
            </w:r>
          </w:p>
        </w:tc>
      </w:tr>
      <w:tr w14:paraId="7F74F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3330" w:hRule="atLeast"/>
          <w:jc w:val="center"/>
        </w:trPr>
        <w:tc>
          <w:tcPr>
            <w:tcW w:w="520" w:type="dxa"/>
            <w:noWrap w:val="0"/>
            <w:vAlign w:val="center"/>
          </w:tcPr>
          <w:p w14:paraId="1EB69257">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总量</w:t>
            </w:r>
          </w:p>
          <w:p w14:paraId="5B3E0BF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控制</w:t>
            </w:r>
          </w:p>
          <w:p w14:paraId="716EC1C7">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指标</w:t>
            </w:r>
          </w:p>
        </w:tc>
        <w:tc>
          <w:tcPr>
            <w:tcW w:w="8470" w:type="dxa"/>
            <w:noWrap w:val="0"/>
            <w:vAlign w:val="center"/>
          </w:tcPr>
          <w:p w14:paraId="3E0FCB39">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根据《环境保护部关于印发&lt;建设项目主要污染物排放总量指标审核及管理暂行办法&gt;的通知》（环发[2014]197号）及《安徽省环保厅关于进一步加强建设项目新增大气主要污染物总量指标管理工作的通知》（皖环发[2017]19号），项目总量控制指标主要为COD、氨氮和VOCs、颗粒物、SO</w:t>
            </w:r>
            <w:r>
              <w:rPr>
                <w:rFonts w:hint="eastAsia"/>
                <w:color w:val="000000"/>
                <w:kern w:val="0"/>
                <w:sz w:val="24"/>
                <w:vertAlign w:val="subscript"/>
                <w:lang w:val="en-US" w:eastAsia="zh-CN"/>
              </w:rPr>
              <w:t>2</w:t>
            </w:r>
            <w:r>
              <w:rPr>
                <w:rFonts w:hint="eastAsia"/>
                <w:color w:val="000000"/>
                <w:kern w:val="0"/>
                <w:sz w:val="24"/>
                <w:lang w:val="en-US" w:eastAsia="zh-CN"/>
              </w:rPr>
              <w:t>、NOx。上年度空气质量不达标的城市，相应污染物指标应执行“倍量替代”。其中，上年度PM</w:t>
            </w:r>
            <w:r>
              <w:rPr>
                <w:rFonts w:hint="eastAsia"/>
                <w:color w:val="000000"/>
                <w:kern w:val="0"/>
                <w:sz w:val="24"/>
                <w:vertAlign w:val="subscript"/>
                <w:lang w:val="en-US" w:eastAsia="zh-CN"/>
              </w:rPr>
              <w:t>2.5</w:t>
            </w:r>
            <w:r>
              <w:rPr>
                <w:rFonts w:hint="eastAsia"/>
                <w:color w:val="000000"/>
                <w:kern w:val="0"/>
                <w:sz w:val="24"/>
                <w:lang w:val="en-US" w:eastAsia="zh-CN"/>
              </w:rPr>
              <w:t>不达标的城市，新增SO</w:t>
            </w:r>
            <w:r>
              <w:rPr>
                <w:rFonts w:hint="eastAsia"/>
                <w:color w:val="000000"/>
                <w:kern w:val="0"/>
                <w:sz w:val="24"/>
                <w:vertAlign w:val="subscript"/>
                <w:lang w:val="en-US" w:eastAsia="zh-CN"/>
              </w:rPr>
              <w:t>2</w:t>
            </w:r>
            <w:r>
              <w:rPr>
                <w:rFonts w:hint="eastAsia"/>
                <w:color w:val="000000"/>
                <w:kern w:val="0"/>
                <w:sz w:val="24"/>
                <w:lang w:val="en-US" w:eastAsia="zh-CN"/>
              </w:rPr>
              <w:t>、NOx和VOCs指标均要执行“倍量替代”。上年度PM</w:t>
            </w:r>
            <w:r>
              <w:rPr>
                <w:rFonts w:hint="eastAsia"/>
                <w:color w:val="000000"/>
                <w:kern w:val="0"/>
                <w:sz w:val="24"/>
                <w:vertAlign w:val="subscript"/>
                <w:lang w:val="en-US" w:eastAsia="zh-CN"/>
              </w:rPr>
              <w:t>10</w:t>
            </w:r>
            <w:r>
              <w:rPr>
                <w:rFonts w:hint="eastAsia"/>
                <w:color w:val="000000"/>
                <w:kern w:val="0"/>
                <w:sz w:val="24"/>
                <w:lang w:val="en-US" w:eastAsia="zh-CN"/>
              </w:rPr>
              <w:t>不达标的城市，新增烟(粉)尘指标要执行“倍量替代”。</w:t>
            </w:r>
          </w:p>
          <w:p w14:paraId="6C7DC68B">
            <w:pPr>
              <w:spacing w:line="360" w:lineRule="auto"/>
              <w:ind w:firstLine="482" w:firstLineChars="200"/>
              <w:rPr>
                <w:rFonts w:hint="default" w:ascii="Times New Roman" w:hAnsi="Times New Roman" w:eastAsia="宋体" w:cs="Times New Roman"/>
                <w:b/>
                <w:bCs/>
                <w:color w:val="000000"/>
                <w:kern w:val="0"/>
                <w:sz w:val="24"/>
                <w:szCs w:val="20"/>
                <w:lang w:val="en-US" w:eastAsia="zh-CN"/>
              </w:rPr>
            </w:pPr>
            <w:r>
              <w:rPr>
                <w:rFonts w:hint="eastAsia" w:cs="Times New Roman"/>
                <w:b/>
                <w:bCs/>
                <w:color w:val="000000"/>
                <w:kern w:val="0"/>
                <w:sz w:val="24"/>
                <w:szCs w:val="20"/>
                <w:lang w:val="en-US" w:eastAsia="zh-CN"/>
              </w:rPr>
              <w:t>1.废水</w:t>
            </w:r>
          </w:p>
          <w:p w14:paraId="3DD855CB">
            <w:pPr>
              <w:spacing w:line="360" w:lineRule="auto"/>
              <w:ind w:firstLine="480" w:firstLineChars="200"/>
              <w:rPr>
                <w:rFonts w:hint="eastAsia" w:ascii="Times New Roman" w:hAnsi="Times New Roman" w:eastAsia="宋体" w:cs="Times New Roman"/>
                <w:color w:val="000000"/>
                <w:kern w:val="0"/>
                <w:sz w:val="24"/>
                <w:szCs w:val="20"/>
                <w:lang w:val="en-US" w:eastAsia="zh-CN"/>
              </w:rPr>
            </w:pPr>
            <w:r>
              <w:rPr>
                <w:rFonts w:hint="eastAsia"/>
                <w:color w:val="000000"/>
                <w:kern w:val="0"/>
                <w:sz w:val="24"/>
                <w:lang w:val="en-US" w:eastAsia="zh-CN"/>
              </w:rPr>
              <w:t>本项目生产废水循环使用不外排，生活污水经化粪池预处理后进入龙湖工业园污水处理厂深度处理，总量指标纳入龙湖工业园污水处理厂排放总量控制指标管理，本项目无需另行申请总量指标</w:t>
            </w:r>
            <w:r>
              <w:rPr>
                <w:rFonts w:hint="eastAsia" w:ascii="Times New Roman" w:hAnsi="Times New Roman" w:eastAsia="宋体" w:cs="Times New Roman"/>
                <w:color w:val="000000"/>
                <w:kern w:val="0"/>
                <w:sz w:val="24"/>
                <w:szCs w:val="20"/>
                <w:lang w:val="en-US" w:eastAsia="zh-CN"/>
              </w:rPr>
              <w:t>。</w:t>
            </w:r>
          </w:p>
          <w:p w14:paraId="731EABF6">
            <w:pPr>
              <w:autoSpaceDE w:val="0"/>
              <w:autoSpaceDN w:val="0"/>
              <w:adjustRightInd w:val="0"/>
              <w:snapToGrid w:val="0"/>
              <w:spacing w:line="360" w:lineRule="auto"/>
              <w:ind w:firstLine="482" w:firstLineChars="200"/>
              <w:jc w:val="both"/>
              <w:rPr>
                <w:rFonts w:hint="default"/>
                <w:b/>
                <w:bCs/>
                <w:color w:val="000000"/>
                <w:kern w:val="0"/>
                <w:sz w:val="24"/>
                <w:lang w:val="en-US" w:eastAsia="zh-CN"/>
              </w:rPr>
            </w:pPr>
            <w:r>
              <w:rPr>
                <w:rFonts w:hint="eastAsia"/>
                <w:b/>
                <w:bCs/>
                <w:color w:val="000000"/>
                <w:kern w:val="0"/>
                <w:sz w:val="24"/>
                <w:lang w:val="en-US" w:eastAsia="zh-CN"/>
              </w:rPr>
              <w:t>2.废气</w:t>
            </w:r>
          </w:p>
          <w:p w14:paraId="0DAC674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本项目所在区域为淮北市，2024年度PM</w:t>
            </w:r>
            <w:r>
              <w:rPr>
                <w:rFonts w:hint="eastAsia"/>
                <w:color w:val="000000"/>
                <w:kern w:val="0"/>
                <w:sz w:val="24"/>
                <w:vertAlign w:val="subscript"/>
                <w:lang w:val="en-US" w:eastAsia="zh-CN"/>
              </w:rPr>
              <w:t>2.5</w:t>
            </w:r>
            <w:r>
              <w:rPr>
                <w:rFonts w:hint="eastAsia"/>
                <w:color w:val="000000"/>
                <w:kern w:val="0"/>
                <w:sz w:val="24"/>
                <w:lang w:val="en-US" w:eastAsia="zh-CN"/>
              </w:rPr>
              <w:t>和PM</w:t>
            </w:r>
            <w:r>
              <w:rPr>
                <w:rFonts w:hint="eastAsia"/>
                <w:color w:val="000000"/>
                <w:kern w:val="0"/>
                <w:sz w:val="24"/>
                <w:vertAlign w:val="subscript"/>
                <w:lang w:val="en-US" w:eastAsia="zh-CN"/>
              </w:rPr>
              <w:t>10</w:t>
            </w:r>
            <w:r>
              <w:rPr>
                <w:rFonts w:hint="eastAsia"/>
                <w:color w:val="000000"/>
                <w:kern w:val="0"/>
                <w:sz w:val="24"/>
                <w:lang w:val="en-US" w:eastAsia="zh-CN"/>
              </w:rPr>
              <w:t>均不达标，本次新增污染物颗粒物和VOCs指标均需执行“倍量替代”。</w:t>
            </w:r>
          </w:p>
          <w:p w14:paraId="1B46107B">
            <w:pPr>
              <w:spacing w:line="360" w:lineRule="auto"/>
              <w:ind w:firstLine="480" w:firstLineChars="200"/>
              <w:jc w:val="left"/>
              <w:rPr>
                <w:rFonts w:hint="eastAsia" w:ascii="Times New Roman" w:hAnsi="Times New Roman" w:eastAsia="宋体" w:cs="Times New Roman"/>
                <w:b w:val="0"/>
                <w:bCs w:val="0"/>
                <w:sz w:val="24"/>
                <w:lang w:val="en-US" w:eastAsia="zh-CN"/>
              </w:rPr>
            </w:pPr>
            <w:r>
              <w:rPr>
                <w:rFonts w:hint="eastAsia"/>
                <w:color w:val="000000"/>
                <w:kern w:val="0"/>
                <w:sz w:val="24"/>
                <w:lang w:val="en-US" w:eastAsia="zh-CN"/>
              </w:rPr>
              <w:t>本项目颗粒物有组织</w:t>
            </w:r>
            <w:r>
              <w:rPr>
                <w:rFonts w:hint="eastAsia"/>
                <w:color w:val="000000"/>
                <w:kern w:val="0"/>
                <w:sz w:val="24"/>
                <w:highlight w:val="none"/>
                <w:lang w:val="en-US" w:eastAsia="zh-CN"/>
              </w:rPr>
              <w:t>排放量0.26t/a，VOCs有组织排放量0.355t/a。故</w:t>
            </w:r>
            <w:r>
              <w:rPr>
                <w:rFonts w:hint="default" w:ascii="Times New Roman" w:hAnsi="Times New Roman" w:cs="Times New Roman"/>
                <w:color w:val="auto"/>
                <w:kern w:val="0"/>
                <w:sz w:val="24"/>
                <w:highlight w:val="none"/>
              </w:rPr>
              <w:t>本项目总量申请指标</w:t>
            </w:r>
            <w:r>
              <w:rPr>
                <w:rFonts w:hint="eastAsia" w:ascii="Times New Roman" w:hAnsi="Times New Roman" w:cs="Times New Roman"/>
                <w:color w:val="auto"/>
                <w:kern w:val="0"/>
                <w:sz w:val="24"/>
                <w:highlight w:val="none"/>
                <w:lang w:eastAsia="zh-CN"/>
              </w:rPr>
              <w:t>：</w:t>
            </w:r>
            <w:r>
              <w:rPr>
                <w:rFonts w:hint="eastAsia"/>
                <w:color w:val="000000"/>
                <w:kern w:val="0"/>
                <w:sz w:val="24"/>
                <w:highlight w:val="none"/>
                <w:lang w:val="en-US" w:eastAsia="zh-CN"/>
              </w:rPr>
              <w:t>颗粒物0.26t/a，VOCs0.355t/a</w:t>
            </w:r>
            <w:r>
              <w:rPr>
                <w:rFonts w:hint="eastAsia"/>
                <w:color w:val="000000"/>
                <w:kern w:val="0"/>
                <w:sz w:val="24"/>
                <w:lang w:val="en-US" w:eastAsia="zh-CN"/>
              </w:rPr>
              <w:t>。</w:t>
            </w:r>
          </w:p>
        </w:tc>
      </w:tr>
    </w:tbl>
    <w:p w14:paraId="53464C98">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both"/>
        <w:textAlignment w:val="auto"/>
        <w:rPr>
          <w:rFonts w:hint="default"/>
          <w:b w:val="0"/>
          <w:bCs w:val="0"/>
          <w:snapToGrid w:val="0"/>
          <w:sz w:val="30"/>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6C70BBDC">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0"/>
          <w:lang w:val="en-US" w:eastAsia="zh-CN"/>
        </w:rPr>
      </w:pPr>
      <w:r>
        <w:rPr>
          <w:rFonts w:hint="eastAsia"/>
          <w:b w:val="0"/>
          <w:bCs w:val="0"/>
          <w:snapToGrid w:val="0"/>
          <w:sz w:val="30"/>
          <w:lang w:val="en-US" w:eastAsia="zh-CN"/>
        </w:rPr>
        <w:t>四、主要环境影响和保护措施</w:t>
      </w: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
      <w:tblGrid>
        <w:gridCol w:w="509"/>
        <w:gridCol w:w="8399"/>
      </w:tblGrid>
      <w:tr w14:paraId="2050F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1999" w:hRule="atLeast"/>
          <w:jc w:val="center"/>
        </w:trPr>
        <w:tc>
          <w:tcPr>
            <w:tcW w:w="509" w:type="dxa"/>
            <w:noWrap w:val="0"/>
            <w:tcMar>
              <w:left w:w="28" w:type="dxa"/>
              <w:right w:w="28" w:type="dxa"/>
            </w:tcMar>
            <w:vAlign w:val="center"/>
          </w:tcPr>
          <w:p w14:paraId="7B34D6C1">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施工</w:t>
            </w:r>
          </w:p>
          <w:p w14:paraId="0BEE67CE">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期环</w:t>
            </w:r>
          </w:p>
          <w:p w14:paraId="50D1D069">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境保</w:t>
            </w:r>
          </w:p>
          <w:p w14:paraId="4CB9C841">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护措</w:t>
            </w:r>
          </w:p>
          <w:p w14:paraId="448C05A4">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施</w:t>
            </w:r>
          </w:p>
        </w:tc>
        <w:tc>
          <w:tcPr>
            <w:tcW w:w="8399" w:type="dxa"/>
            <w:noWrap w:val="0"/>
            <w:vAlign w:val="center"/>
          </w:tcPr>
          <w:p w14:paraId="2D0925BA">
            <w:pPr>
              <w:spacing w:line="360" w:lineRule="auto"/>
              <w:jc w:val="left"/>
              <w:rPr>
                <w:rFonts w:hint="eastAsia"/>
                <w:b/>
                <w:bCs/>
                <w:color w:val="auto"/>
                <w:sz w:val="24"/>
                <w:lang w:val="en-US" w:eastAsia="zh-CN"/>
              </w:rPr>
            </w:pPr>
            <w:r>
              <w:rPr>
                <w:rFonts w:hint="eastAsia"/>
                <w:b/>
                <w:bCs/>
                <w:color w:val="auto"/>
                <w:sz w:val="24"/>
                <w:lang w:val="en-US" w:eastAsia="zh-CN"/>
              </w:rPr>
              <w:t>1、大气环境影响分析及防治措施</w:t>
            </w:r>
          </w:p>
          <w:p w14:paraId="6FC88757">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本项目施工废气主要为施工扬尘和施工机械燃油废气，施工单位应在施工期应</w:t>
            </w:r>
            <w:r>
              <w:rPr>
                <w:rFonts w:ascii="Times New Roman" w:hAnsi="Times New Roman" w:eastAsia="Times New Roman" w:cs="Times New Roman"/>
                <w:color w:val="auto"/>
                <w:kern w:val="2"/>
                <w:sz w:val="24"/>
                <w:szCs w:val="24"/>
                <w:lang w:val="en-US" w:eastAsia="zh-CN" w:bidi="ar-SA"/>
              </w:rPr>
              <w:t>严格执行《安徽省大气污染防治行动计划实施方案》等大气污染防治法律、法规、规章及文件精神，严格落实“六个百分百”相关要求，具体的施工期大气环境保护措施主要有以下几点</w:t>
            </w:r>
            <w:r>
              <w:rPr>
                <w:rFonts w:ascii="Times New Roman" w:hAnsi="Times New Roman" w:eastAsia="Times New Roman" w:cs="Times New Roman"/>
                <w:snapToGrid w:val="0"/>
                <w:color w:val="auto"/>
                <w:kern w:val="0"/>
                <w:sz w:val="24"/>
                <w:szCs w:val="24"/>
                <w:lang w:val="en-US" w:eastAsia="zh-CN" w:bidi="ar-SA"/>
              </w:rPr>
              <w:t>：</w:t>
            </w:r>
          </w:p>
          <w:p w14:paraId="44B9085B">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（1）施工</w:t>
            </w:r>
            <w:r>
              <w:rPr>
                <w:rFonts w:hint="eastAsia" w:eastAsia="Times New Roman" w:cs="Times New Roman"/>
                <w:snapToGrid w:val="0"/>
                <w:color w:val="auto"/>
                <w:kern w:val="0"/>
                <w:sz w:val="24"/>
                <w:szCs w:val="24"/>
                <w:lang w:val="en-US" w:eastAsia="zh-CN" w:bidi="ar-SA"/>
              </w:rPr>
              <w:t>场地</w:t>
            </w:r>
            <w:r>
              <w:rPr>
                <w:rFonts w:ascii="Times New Roman" w:hAnsi="Times New Roman" w:eastAsia="Times New Roman" w:cs="Times New Roman"/>
                <w:snapToGrid w:val="0"/>
                <w:color w:val="auto"/>
                <w:kern w:val="0"/>
                <w:sz w:val="24"/>
                <w:szCs w:val="24"/>
                <w:lang w:val="en-US" w:eastAsia="zh-CN" w:bidi="ar-SA"/>
              </w:rPr>
              <w:t>周边100%围挡</w:t>
            </w:r>
          </w:p>
          <w:p w14:paraId="04B77A72">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color w:val="auto"/>
                <w:kern w:val="2"/>
                <w:sz w:val="24"/>
                <w:szCs w:val="24"/>
                <w:lang w:val="en-US" w:eastAsia="zh-CN" w:bidi="ar-SA"/>
              </w:rPr>
              <w:t>施</w:t>
            </w:r>
            <w:r>
              <w:rPr>
                <w:rFonts w:ascii="Times New Roman" w:hAnsi="Times New Roman" w:eastAsia="Times New Roman" w:cs="Times New Roman"/>
                <w:snapToGrid w:val="0"/>
                <w:color w:val="auto"/>
                <w:kern w:val="0"/>
                <w:sz w:val="24"/>
                <w:szCs w:val="24"/>
                <w:lang w:val="en-US" w:eastAsia="zh-CN" w:bidi="ar-SA"/>
              </w:rPr>
              <w:t>工现场应设置稳固、整齐、美观并符合安全标准要求的连续封闭式围挡；围挡底部应设置30厘米防溢座，防止泥浆外漏；房屋建筑工程施工期在30天以上的，必须设置不低于2.5米的围墙，工期在30天以内的可设置彩钢围挡。</w:t>
            </w:r>
          </w:p>
          <w:p w14:paraId="2DA6648A">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（2）物料堆放100%覆盖</w:t>
            </w:r>
          </w:p>
          <w:p w14:paraId="58C6460E">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color w:val="auto"/>
                <w:kern w:val="2"/>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施工现场建筑材料、构配件、施工设备等应按施工现场平面布置图确定的位置放置，对渣土、水泥等易产生扬尘的建筑材料，应严密遮盖或存</w:t>
            </w:r>
            <w:r>
              <w:rPr>
                <w:rFonts w:hint="eastAsia" w:eastAsia="Times New Roman" w:cs="Times New Roman"/>
                <w:snapToGrid w:val="0"/>
                <w:color w:val="auto"/>
                <w:kern w:val="0"/>
                <w:sz w:val="24"/>
                <w:szCs w:val="24"/>
                <w:lang w:val="en-US" w:eastAsia="zh-CN" w:bidi="ar-SA"/>
              </w:rPr>
              <w:t>放在</w:t>
            </w:r>
            <w:r>
              <w:rPr>
                <w:rFonts w:ascii="Times New Roman" w:hAnsi="Times New Roman" w:eastAsia="Times New Roman" w:cs="Times New Roman"/>
                <w:snapToGrid w:val="0"/>
                <w:color w:val="auto"/>
                <w:kern w:val="0"/>
                <w:sz w:val="24"/>
                <w:szCs w:val="24"/>
                <w:lang w:val="en-US" w:eastAsia="zh-CN" w:bidi="ar-SA"/>
              </w:rPr>
              <w:t>库房内；专门设置集中堆放建筑垃</w:t>
            </w:r>
            <w:r>
              <w:rPr>
                <w:rFonts w:ascii="Times New Roman" w:hAnsi="Times New Roman" w:eastAsia="Times New Roman" w:cs="Times New Roman"/>
                <w:color w:val="auto"/>
                <w:kern w:val="2"/>
                <w:sz w:val="24"/>
                <w:szCs w:val="24"/>
                <w:lang w:val="en-US" w:eastAsia="zh-CN" w:bidi="ar-SA"/>
              </w:rPr>
              <w:t>圾、渣土的场地；不能按时完成清运的，应及时覆盖。</w:t>
            </w:r>
          </w:p>
          <w:p w14:paraId="2E749027">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（3）出入车辆100%冲洗</w:t>
            </w:r>
          </w:p>
          <w:p w14:paraId="5FED1437">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施工现场的出入口均应设置车辆冲洗台，四周设置排水沟，上盖钢篦，设置两级沉淀池，排水沟与沉淀池相连，沉淀池大小应满足冲洗要求；配备高压冲洗设备或设置自动冲洗台；应配备保洁员负责车辆、进出道路的冲洗、清扫和保洁工作。</w:t>
            </w:r>
          </w:p>
          <w:p w14:paraId="2AF0ED4D">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（4）施工现场地面100%硬化</w:t>
            </w:r>
          </w:p>
          <w:p w14:paraId="18988FE2">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p w14:paraId="3F0C3098">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w:t>
            </w:r>
            <w:r>
              <w:rPr>
                <w:rFonts w:hint="eastAsia" w:ascii="Times New Roman" w:hAnsi="Times New Roman" w:eastAsia="Times New Roman" w:cs="Times New Roman"/>
                <w:snapToGrid w:val="0"/>
                <w:color w:val="auto"/>
                <w:kern w:val="0"/>
                <w:sz w:val="24"/>
                <w:szCs w:val="24"/>
                <w:lang w:val="en-US" w:eastAsia="zh-CN" w:bidi="ar-SA"/>
              </w:rPr>
              <w:t>5</w:t>
            </w:r>
            <w:r>
              <w:rPr>
                <w:rFonts w:ascii="Times New Roman" w:hAnsi="Times New Roman" w:eastAsia="Times New Roman" w:cs="Times New Roman"/>
                <w:snapToGrid w:val="0"/>
                <w:color w:val="auto"/>
                <w:kern w:val="0"/>
                <w:sz w:val="24"/>
                <w:szCs w:val="24"/>
                <w:lang w:val="en-US" w:eastAsia="zh-CN" w:bidi="ar-SA"/>
              </w:rPr>
              <w:t>）渣土车辆100%密闭运输</w:t>
            </w:r>
          </w:p>
          <w:p w14:paraId="2FA6E482">
            <w:pPr>
              <w:keepNext w:val="0"/>
              <w:keepLines w:val="0"/>
              <w:pageBreakBefore w:val="0"/>
              <w:widowControl w:val="0"/>
              <w:kinsoku/>
              <w:wordWrap/>
              <w:overflowPunct/>
              <w:bidi w:val="0"/>
              <w:adjustRightInd/>
              <w:snapToGrid/>
              <w:spacing w:before="0" w:beforeLines="0" w:line="360" w:lineRule="auto"/>
              <w:ind w:left="0" w:firstLine="480" w:firstLineChars="200"/>
              <w:jc w:val="both"/>
              <w:rPr>
                <w:rFonts w:ascii="Times New Roman" w:hAnsi="Times New Roman" w:eastAsia="Times New Roman" w:cs="Times New Roman"/>
                <w:snapToGrid w:val="0"/>
                <w:color w:val="auto"/>
                <w:kern w:val="0"/>
                <w:sz w:val="24"/>
                <w:szCs w:val="24"/>
                <w:lang w:val="en-US" w:eastAsia="zh-CN" w:bidi="ar-SA"/>
              </w:rPr>
            </w:pPr>
            <w:r>
              <w:rPr>
                <w:rFonts w:ascii="Times New Roman" w:hAnsi="Times New Roman" w:eastAsia="Times New Roman" w:cs="Times New Roman"/>
                <w:snapToGrid w:val="0"/>
                <w:color w:val="auto"/>
                <w:kern w:val="0"/>
                <w:sz w:val="24"/>
                <w:szCs w:val="24"/>
                <w:lang w:val="en-US" w:eastAsia="zh-CN" w:bidi="ar-SA"/>
              </w:rPr>
              <w:t>进出工地车辆应采取密闭车斗，并保证物料不遗撒外漏。若无密闭车斗，物料、垃圾、渣土的装载与车厢持平，不得超高；车斗应用苫布盖严、捆实，车厢左右侧各三竖道，车后十字交叉并收紧，保证物料、垃圾、渣土等不露出、不遗撒。</w:t>
            </w:r>
          </w:p>
          <w:p w14:paraId="7187610D">
            <w:pPr>
              <w:keepNext w:val="0"/>
              <w:keepLines w:val="0"/>
              <w:pageBreakBefore w:val="0"/>
              <w:widowControl w:val="0"/>
              <w:kinsoku/>
              <w:wordWrap/>
              <w:overflowPunct/>
              <w:bidi w:val="0"/>
              <w:adjustRightInd/>
              <w:snapToGrid/>
              <w:spacing w:line="360" w:lineRule="auto"/>
              <w:ind w:left="0" w:firstLine="480" w:firstLineChars="200"/>
              <w:rPr>
                <w:rFonts w:cs="Times New Roman"/>
                <w:color w:val="auto"/>
                <w:sz w:val="24"/>
                <w:szCs w:val="24"/>
              </w:rPr>
            </w:pPr>
            <w:r>
              <w:rPr>
                <w:rFonts w:cs="Times New Roman"/>
                <w:color w:val="auto"/>
                <w:sz w:val="24"/>
                <w:szCs w:val="24"/>
              </w:rPr>
              <w:t>另外，针对施工机械燃油废气，施工单位应做好机械的维护、保养工作，避免油料在柴油机内不完全燃烧而产生大量的黑烟；对运输车辆禁止超载、不得使用劣质燃料；对车辆的尾气排放进行监督管理，严格执行汽车排污监管办法、汽车排放监测制度。</w:t>
            </w:r>
          </w:p>
          <w:p w14:paraId="25933030">
            <w:pPr>
              <w:keepNext w:val="0"/>
              <w:keepLines w:val="0"/>
              <w:pageBreakBefore w:val="0"/>
              <w:widowControl w:val="0"/>
              <w:kinsoku/>
              <w:wordWrap/>
              <w:overflowPunct/>
              <w:bidi w:val="0"/>
              <w:adjustRightInd/>
              <w:snapToGrid/>
              <w:spacing w:before="0" w:beforeLines="0" w:line="360" w:lineRule="auto"/>
              <w:ind w:left="0" w:firstLine="480" w:firstLineChars="200"/>
              <w:jc w:val="both"/>
              <w:textAlignment w:val="baseline"/>
              <w:rPr>
                <w:rFonts w:hint="eastAsia" w:ascii="宋体" w:hAnsi="宋体" w:cs="宋体"/>
                <w:color w:val="auto"/>
                <w:kern w:val="0"/>
                <w:sz w:val="24"/>
                <w:szCs w:val="24"/>
                <w:lang w:eastAsia="zh-CN"/>
              </w:rPr>
            </w:pPr>
            <w:r>
              <w:rPr>
                <w:rFonts w:ascii="Times New Roman" w:hAnsi="Times New Roman" w:eastAsia="宋体" w:cs="Times New Roman"/>
                <w:color w:val="auto"/>
                <w:kern w:val="2"/>
                <w:sz w:val="24"/>
                <w:szCs w:val="24"/>
                <w:lang w:val="en-US" w:eastAsia="zh-CN" w:bidi="ar-SA"/>
              </w:rPr>
              <w:t>综上，经采用上述施工废气污染防治措施后，项目施工期废气对区域的大气环境影响较小。</w:t>
            </w:r>
          </w:p>
          <w:p w14:paraId="5EE2CBD1">
            <w:pPr>
              <w:autoSpaceDE w:val="0"/>
              <w:autoSpaceDN w:val="0"/>
              <w:adjustRightInd w:val="0"/>
              <w:snapToGrid w:val="0"/>
              <w:spacing w:line="360" w:lineRule="auto"/>
              <w:jc w:val="left"/>
              <w:rPr>
                <w:rFonts w:hint="eastAsia" w:ascii="宋体" w:hAnsi="宋体" w:cs="宋体"/>
                <w:color w:val="auto"/>
                <w:kern w:val="0"/>
                <w:sz w:val="24"/>
                <w:szCs w:val="24"/>
                <w:lang w:eastAsia="zh-CN"/>
              </w:rPr>
            </w:pPr>
            <w:r>
              <w:rPr>
                <w:rFonts w:hint="eastAsia"/>
                <w:b/>
                <w:bCs/>
                <w:color w:val="auto"/>
                <w:sz w:val="24"/>
                <w:lang w:val="en-US" w:eastAsia="zh-CN"/>
              </w:rPr>
              <w:t>2、水环境影响分析及防治措施</w:t>
            </w:r>
          </w:p>
          <w:p w14:paraId="40E3C330">
            <w:pPr>
              <w:keepNext w:val="0"/>
              <w:keepLines w:val="0"/>
              <w:pageBreakBefore w:val="0"/>
              <w:widowControl w:val="0"/>
              <w:kinsoku/>
              <w:wordWrap/>
              <w:overflowPunct/>
              <w:bidi w:val="0"/>
              <w:adjustRightInd/>
              <w:snapToGrid/>
              <w:spacing w:line="360" w:lineRule="auto"/>
              <w:ind w:left="0" w:firstLine="480" w:firstLineChars="200"/>
              <w:rPr>
                <w:rFonts w:cs="Times New Roman"/>
                <w:color w:val="auto"/>
                <w:sz w:val="24"/>
                <w:szCs w:val="24"/>
              </w:rPr>
            </w:pPr>
            <w:r>
              <w:rPr>
                <w:rFonts w:cs="Times New Roman"/>
                <w:color w:val="auto"/>
                <w:sz w:val="24"/>
                <w:szCs w:val="24"/>
              </w:rPr>
              <w:t>本项目施工废水主要是施工人员的日常生活污水和建筑施工作业废水。</w:t>
            </w:r>
          </w:p>
          <w:p w14:paraId="690D84D7">
            <w:pPr>
              <w:keepNext w:val="0"/>
              <w:keepLines w:val="0"/>
              <w:pageBreakBefore w:val="0"/>
              <w:widowControl w:val="0"/>
              <w:kinsoku/>
              <w:wordWrap/>
              <w:overflowPunct/>
              <w:bidi w:val="0"/>
              <w:adjustRightInd/>
              <w:snapToGrid/>
              <w:spacing w:line="360" w:lineRule="auto"/>
              <w:ind w:left="0" w:firstLine="480" w:firstLineChars="200"/>
              <w:rPr>
                <w:rFonts w:cs="Times New Roman"/>
                <w:color w:val="auto"/>
                <w:sz w:val="24"/>
                <w:szCs w:val="24"/>
              </w:rPr>
            </w:pPr>
            <w:r>
              <w:rPr>
                <w:rFonts w:cs="Times New Roman"/>
                <w:color w:val="auto"/>
                <w:sz w:val="24"/>
                <w:szCs w:val="24"/>
              </w:rPr>
              <w:t>本项目施工人员不在施工工地食宿，人员生活污水主要污染因子为COD、BOD</w:t>
            </w:r>
            <w:r>
              <w:rPr>
                <w:rFonts w:cs="Times New Roman"/>
                <w:color w:val="auto"/>
                <w:sz w:val="24"/>
                <w:szCs w:val="24"/>
                <w:vertAlign w:val="subscript"/>
              </w:rPr>
              <w:t>5</w:t>
            </w:r>
            <w:r>
              <w:rPr>
                <w:rFonts w:cs="Times New Roman"/>
                <w:color w:val="auto"/>
                <w:sz w:val="24"/>
                <w:szCs w:val="24"/>
              </w:rPr>
              <w:t>、NH</w:t>
            </w:r>
            <w:r>
              <w:rPr>
                <w:rFonts w:cs="Times New Roman"/>
                <w:color w:val="auto"/>
                <w:sz w:val="24"/>
                <w:szCs w:val="24"/>
                <w:vertAlign w:val="subscript"/>
              </w:rPr>
              <w:t>3</w:t>
            </w:r>
            <w:r>
              <w:rPr>
                <w:rFonts w:cs="Times New Roman"/>
                <w:color w:val="auto"/>
                <w:sz w:val="24"/>
                <w:szCs w:val="24"/>
              </w:rPr>
              <w:t>-N和SS等；建筑施工废水主要污染因子为SS。施工人员生活污水量不大，</w:t>
            </w:r>
            <w:r>
              <w:rPr>
                <w:rFonts w:hint="eastAsia" w:cs="Times New Roman"/>
                <w:color w:val="auto"/>
                <w:sz w:val="24"/>
                <w:szCs w:val="24"/>
                <w:lang w:val="en-US" w:eastAsia="zh-CN"/>
              </w:rPr>
              <w:t>可直接使用厂区内原有</w:t>
            </w:r>
            <w:r>
              <w:rPr>
                <w:rFonts w:cs="Times New Roman"/>
                <w:color w:val="auto"/>
                <w:sz w:val="24"/>
                <w:szCs w:val="24"/>
              </w:rPr>
              <w:t>化粪池。施工场地设置施工作业废水收集沉淀池，建筑施工废水经收集沉淀后回用，不外排。</w:t>
            </w:r>
          </w:p>
          <w:p w14:paraId="59F8C449">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eastAsia="zh-CN"/>
              </w:rPr>
            </w:pPr>
            <w:r>
              <w:rPr>
                <w:rFonts w:cs="Times New Roman"/>
                <w:color w:val="auto"/>
                <w:sz w:val="24"/>
                <w:szCs w:val="24"/>
              </w:rPr>
              <w:t>综上，经采用上述施工废水污染防治措施后，项目施工废水对区域的地表水环境无影响</w:t>
            </w:r>
            <w:r>
              <w:rPr>
                <w:rFonts w:hint="eastAsia" w:ascii="宋体" w:hAnsi="宋体" w:cs="宋体"/>
                <w:color w:val="auto"/>
                <w:kern w:val="0"/>
                <w:sz w:val="24"/>
                <w:szCs w:val="24"/>
                <w:lang w:eastAsia="zh-CN"/>
              </w:rPr>
              <w:t>。</w:t>
            </w:r>
          </w:p>
          <w:p w14:paraId="35214D4D">
            <w:pPr>
              <w:autoSpaceDE w:val="0"/>
              <w:autoSpaceDN w:val="0"/>
              <w:adjustRightInd w:val="0"/>
              <w:snapToGrid w:val="0"/>
              <w:spacing w:line="360" w:lineRule="auto"/>
              <w:jc w:val="left"/>
              <w:rPr>
                <w:rFonts w:hint="eastAsia" w:ascii="宋体" w:hAnsi="宋体" w:cs="宋体"/>
                <w:color w:val="auto"/>
                <w:kern w:val="0"/>
                <w:sz w:val="24"/>
                <w:szCs w:val="24"/>
                <w:lang w:eastAsia="zh-CN"/>
              </w:rPr>
            </w:pPr>
            <w:r>
              <w:rPr>
                <w:rFonts w:hint="eastAsia"/>
                <w:b/>
                <w:bCs/>
                <w:color w:val="auto"/>
                <w:sz w:val="24"/>
                <w:lang w:val="en-US" w:eastAsia="zh-CN"/>
              </w:rPr>
              <w:t>3、噪声环境影响分析及防治措施</w:t>
            </w:r>
          </w:p>
          <w:p w14:paraId="6B96DD1B">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噪声污染是建设期间最主要的污染因子，也是项目建设最敏感的污染因子，建设期间的噪声有各种施工机械噪声和运输车辆噪声。噪声的污染程度与所使用的施工设备的种类及施工队伍的管理等因素有关。项目建设期噪声主要来自不同施工阶段所使用的各种施工机械设备运行过程、施工作业过程及运输车辆等产生的非连续性噪声，该阶段噪声具有阶段性、临时性和不固定性的特点。</w:t>
            </w:r>
          </w:p>
          <w:p w14:paraId="319764C1">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（1）机械设备噪声</w:t>
            </w:r>
          </w:p>
          <w:p w14:paraId="1892E645">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各类施工机械多为高噪声设备，不同的施工阶段采用不同的施工设备。</w:t>
            </w:r>
          </w:p>
          <w:p w14:paraId="531F4E26">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①土方阶段的主要声源是由翻斗车、挖掘机、装载机及运输车辆等构成，声源无明显的指向性。</w:t>
            </w:r>
          </w:p>
          <w:p w14:paraId="54C7D91F">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②在基础阶段，主要声源为静压桩机、起重机、吊车，其中静压桩机噪声为周期性脉冲声，具有一定的指向特性。其余设备无明显指向性。</w:t>
            </w:r>
          </w:p>
          <w:p w14:paraId="57B3EBF3">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③结构阶段的主要声源是振捣棒和混凝土搅拌机，这两种声源工作时间较长，影响面较广，应为主要声源加以控制；同时，混凝土搅拌车及泵车也是重要的声源。</w:t>
            </w:r>
          </w:p>
          <w:p w14:paraId="49F2ECEB">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④在装修阶段，大多数声源的声功率级不高，即使有些声源声功率级高的，其使用时间很短，且基本在室内使用，基本不会使工地场界噪声超标。</w:t>
            </w:r>
          </w:p>
          <w:p w14:paraId="182707E9">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（2）施工噪声</w:t>
            </w:r>
          </w:p>
          <w:p w14:paraId="077A1615">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施工作业噪声主要指施工时的敲打声、装卸车辆的撞击声、拆装模板的撞击声和吆喝声，多为瞬间噪声，瞬时声压级可高达100dB以上。</w:t>
            </w:r>
          </w:p>
          <w:p w14:paraId="2E982CEF">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（3）施工交通噪声</w:t>
            </w:r>
          </w:p>
          <w:p w14:paraId="29D089F0">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建设期多采用大型车辆，其噪声级较高，正常行驶时噪声可达80dB，鸣笛时可达85dB。</w:t>
            </w:r>
          </w:p>
          <w:p w14:paraId="2E58E1F3">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要求加强施工场区管理，减轻人为噪声影响。同时避免在夜间及中午午休时间使用高噪声设备。加强设备定期检查、维护和管理，避免非正常运行噪声产生。</w:t>
            </w:r>
          </w:p>
          <w:p w14:paraId="79F40E51">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施工期噪声随施工期结束，随之消除，无持续影响，对周围环境影响不大。</w:t>
            </w:r>
          </w:p>
          <w:p w14:paraId="61D1F31A">
            <w:pPr>
              <w:autoSpaceDE w:val="0"/>
              <w:autoSpaceDN w:val="0"/>
              <w:adjustRightInd w:val="0"/>
              <w:snapToGrid w:val="0"/>
              <w:spacing w:line="360" w:lineRule="auto"/>
              <w:jc w:val="left"/>
              <w:rPr>
                <w:rFonts w:hint="eastAsia" w:ascii="宋体" w:hAnsi="宋体" w:cs="宋体"/>
                <w:color w:val="auto"/>
                <w:kern w:val="0"/>
                <w:sz w:val="24"/>
                <w:szCs w:val="24"/>
                <w:lang w:eastAsia="zh-CN"/>
              </w:rPr>
            </w:pPr>
            <w:r>
              <w:rPr>
                <w:rFonts w:hint="eastAsia"/>
                <w:b/>
                <w:bCs/>
                <w:color w:val="auto"/>
                <w:sz w:val="24"/>
                <w:lang w:val="en-US" w:eastAsia="zh-CN"/>
              </w:rPr>
              <w:t>4、固体废物环境影响分析及防治措施</w:t>
            </w:r>
          </w:p>
          <w:p w14:paraId="19B7F3EF">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施工期固废主要为生活垃圾及建筑垃圾。建设单位及工程承包单位应与当地环卫部门联系，及时清理施工现场的生活废弃物，并且工程承包单位应对施工人员加强教育，不随意乱丢废弃物，保证工人工作、生活环境的卫生质量。</w:t>
            </w:r>
          </w:p>
          <w:p w14:paraId="56D81D34">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工程建设单位将会同有关部门，为本工程的建筑垃圾制定处置计划。分散于各个建设工地的建筑垃圾运输计划，将与公路有关部门联系。避免在行车高峰时运输建筑垃圾。建设单位应与运输部门共同做好驾驶员的职业道德教育，按规定路线运输，按规定地点处置建筑垃圾，并不定期地检查执行情况。</w:t>
            </w:r>
          </w:p>
          <w:p w14:paraId="4039100C">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rPr>
            </w:pPr>
            <w:r>
              <w:rPr>
                <w:rFonts w:hint="eastAsia" w:ascii="宋体" w:hAnsi="宋体" w:cs="宋体"/>
                <w:color w:val="auto"/>
                <w:kern w:val="0"/>
                <w:sz w:val="24"/>
                <w:szCs w:val="24"/>
                <w:lang w:eastAsia="zh-CN"/>
              </w:rPr>
              <w:t>在采取上述措施后，施工期固废均可无害化处理，对周围环境基本无影响。</w:t>
            </w:r>
          </w:p>
        </w:tc>
      </w:tr>
    </w:tbl>
    <w:p w14:paraId="2BBDC7D1">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br w:type="page"/>
      </w: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
      <w:tblGrid>
        <w:gridCol w:w="509"/>
        <w:gridCol w:w="8399"/>
      </w:tblGrid>
      <w:tr w14:paraId="73490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810" w:hRule="atLeast"/>
          <w:jc w:val="center"/>
        </w:trPr>
        <w:tc>
          <w:tcPr>
            <w:tcW w:w="509" w:type="dxa"/>
            <w:noWrap w:val="0"/>
            <w:tcMar>
              <w:left w:w="28" w:type="dxa"/>
              <w:right w:w="28" w:type="dxa"/>
            </w:tcMar>
            <w:vAlign w:val="center"/>
          </w:tcPr>
          <w:p w14:paraId="07A0F4B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运营期环境影响和保护措施</w:t>
            </w:r>
          </w:p>
        </w:tc>
        <w:tc>
          <w:tcPr>
            <w:tcW w:w="8399" w:type="dxa"/>
            <w:noWrap w:val="0"/>
            <w:vAlign w:val="center"/>
          </w:tcPr>
          <w:p w14:paraId="57EFD2DC">
            <w:pPr>
              <w:numPr>
                <w:ilvl w:val="0"/>
                <w:numId w:val="8"/>
              </w:numPr>
              <w:spacing w:line="360" w:lineRule="auto"/>
              <w:jc w:val="left"/>
              <w:rPr>
                <w:rFonts w:hint="eastAsia"/>
                <w:b/>
                <w:bCs/>
                <w:sz w:val="24"/>
                <w:lang w:val="en-US" w:eastAsia="zh-CN"/>
              </w:rPr>
            </w:pPr>
            <w:r>
              <w:rPr>
                <w:rFonts w:hint="eastAsia"/>
                <w:b/>
                <w:bCs/>
                <w:sz w:val="24"/>
                <w:lang w:val="en-US" w:eastAsia="zh-CN"/>
              </w:rPr>
              <w:t>废气</w:t>
            </w:r>
          </w:p>
          <w:p w14:paraId="111F43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lang w:val="en-US" w:eastAsia="zh-CN"/>
              </w:rPr>
              <w:t>1.1</w:t>
            </w:r>
            <w:r>
              <w:rPr>
                <w:rFonts w:hint="eastAsia"/>
                <w:b/>
                <w:bCs/>
                <w:color w:val="auto"/>
                <w:sz w:val="24"/>
              </w:rPr>
              <w:t>废气污染物源强分析</w:t>
            </w:r>
          </w:p>
          <w:p w14:paraId="081F6848">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sz w:val="24"/>
                <w:lang w:val="en-US" w:eastAsia="zh-CN"/>
              </w:rPr>
              <w:t>本项目运营期产生的废气主要为：焊接废气、</w:t>
            </w:r>
            <w:r>
              <w:rPr>
                <w:rFonts w:hint="eastAsia" w:cs="Times New Roman"/>
                <w:b w:val="0"/>
                <w:bCs w:val="0"/>
                <w:sz w:val="24"/>
                <w:lang w:val="en-US" w:eastAsia="zh-CN"/>
              </w:rPr>
              <w:t>喷砂废气、喷漆废气（含喷枪清洗、调漆、晾干）、浇注固化废气、</w:t>
            </w:r>
            <w:r>
              <w:rPr>
                <w:rFonts w:hint="default" w:ascii="Times New Roman" w:hAnsi="Times New Roman" w:cs="Times New Roman"/>
                <w:b w:val="0"/>
                <w:bCs w:val="0"/>
                <w:sz w:val="24"/>
                <w:lang w:val="en-US" w:eastAsia="zh-CN"/>
              </w:rPr>
              <w:t>喷塑废气</w:t>
            </w:r>
            <w:r>
              <w:rPr>
                <w:rFonts w:hint="eastAsia" w:cs="Times New Roman"/>
                <w:b w:val="0"/>
                <w:bCs w:val="0"/>
                <w:sz w:val="24"/>
                <w:lang w:val="en-US" w:eastAsia="zh-CN"/>
              </w:rPr>
              <w:t>及喷塑后烘干废气</w:t>
            </w:r>
            <w:r>
              <w:rPr>
                <w:rFonts w:hint="default" w:ascii="Times New Roman" w:hAnsi="Times New Roman" w:cs="Times New Roman"/>
                <w:b w:val="0"/>
                <w:bCs w:val="0"/>
                <w:sz w:val="24"/>
                <w:lang w:val="en-US" w:eastAsia="zh-CN"/>
              </w:rPr>
              <w:t>。</w:t>
            </w:r>
          </w:p>
          <w:p w14:paraId="47D69538">
            <w:pPr>
              <w:pStyle w:val="20"/>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eastAsiaTheme="minorEastAsia"/>
                <w:highlight w:val="none"/>
                <w:vertAlign w:val="baseline"/>
                <w:lang w:val="en-US" w:eastAsia="zh-CN"/>
              </w:rPr>
            </w:pPr>
            <w:r>
              <w:rPr>
                <w:rFonts w:hint="eastAsia" w:ascii="Times New Roman" w:hAnsi="Times New Roman" w:cs="Times New Roman" w:eastAsiaTheme="minorEastAsia"/>
                <w:kern w:val="2"/>
                <w:sz w:val="24"/>
                <w:szCs w:val="24"/>
                <w:vertAlign w:val="baseline"/>
                <w:lang w:val="en-US" w:eastAsia="zh-CN" w:bidi="ar-SA"/>
              </w:rPr>
              <w:t>（1）</w:t>
            </w:r>
            <w:r>
              <w:rPr>
                <w:rFonts w:hint="eastAsia" w:ascii="Times New Roman" w:hAnsi="Times New Roman" w:cs="Times New Roman" w:eastAsiaTheme="minorEastAsia"/>
                <w:highlight w:val="none"/>
                <w:lang w:val="en-US" w:eastAsia="zh-CN"/>
              </w:rPr>
              <w:t>焊接废气：</w:t>
            </w:r>
            <w:r>
              <w:rPr>
                <w:rFonts w:hint="default" w:ascii="Times New Roman" w:hAnsi="Times New Roman" w:cs="Times New Roman"/>
                <w:color w:val="000000" w:themeColor="text1"/>
                <w:sz w:val="24"/>
                <w:szCs w:val="24"/>
                <w:highlight w:val="none"/>
                <w:lang w:val="en-GB"/>
                <w14:textFill>
                  <w14:solidFill>
                    <w14:schemeClr w14:val="tx1"/>
                  </w14:solidFill>
                </w14:textFill>
              </w:rPr>
              <w:t>根据《排放源统计调查产排污核算方法和系数手册》（生态环境部办公厅2021 年6月11日印发）中《机械行业系数手册》0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cs="Times New Roman"/>
                <w:color w:val="000000" w:themeColor="text1"/>
                <w:sz w:val="24"/>
                <w:szCs w:val="24"/>
                <w:highlight w:val="none"/>
                <w:lang w:val="en-GB"/>
                <w14:textFill>
                  <w14:solidFill>
                    <w14:schemeClr w14:val="tx1"/>
                  </w14:solidFill>
                </w14:textFill>
              </w:rPr>
              <w:t xml:space="preserve"> </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焊接</w:t>
            </w:r>
            <w:r>
              <w:rPr>
                <w:rFonts w:hint="default" w:ascii="Times New Roman" w:hAnsi="Times New Roman" w:cs="Times New Roman"/>
                <w:color w:val="000000" w:themeColor="text1"/>
                <w:sz w:val="24"/>
                <w:szCs w:val="24"/>
                <w:highlight w:val="none"/>
                <w:lang w:val="en-GB"/>
                <w14:textFill>
                  <w14:solidFill>
                    <w14:schemeClr w14:val="tx1"/>
                  </w14:solidFill>
                </w14:textFill>
              </w:rPr>
              <w:t>工序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药</w:t>
            </w:r>
            <w:r>
              <w:rPr>
                <w:rFonts w:ascii="宋体" w:hAnsi="宋体" w:eastAsia="宋体" w:cs="宋体"/>
                <w:sz w:val="24"/>
                <w:szCs w:val="24"/>
                <w:highlight w:val="none"/>
              </w:rPr>
              <w:t>芯焊丝</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焊接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颗粒物</w:t>
            </w:r>
            <w:r>
              <w:rPr>
                <w:rFonts w:hint="default" w:ascii="Times New Roman" w:hAnsi="Times New Roman" w:cs="Times New Roman"/>
                <w:color w:val="000000" w:themeColor="text1"/>
                <w:sz w:val="24"/>
                <w:szCs w:val="24"/>
                <w:highlight w:val="none"/>
                <w:lang w:val="en-GB"/>
                <w14:textFill>
                  <w14:solidFill>
                    <w14:schemeClr w14:val="tx1"/>
                  </w14:solidFill>
                </w14:textFill>
              </w:rPr>
              <w:t>产污系数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为20.5</w:t>
            </w:r>
            <w:r>
              <w:rPr>
                <w:rFonts w:hint="default" w:ascii="Times New Roman" w:hAnsi="Times New Roman" w:cs="Times New Roman"/>
                <w:color w:val="000000" w:themeColor="text1"/>
                <w:sz w:val="24"/>
                <w:szCs w:val="24"/>
                <w:highlight w:val="none"/>
                <w:lang w:val="en-GB"/>
                <w14:textFill>
                  <w14:solidFill>
                    <w14:schemeClr w14:val="tx1"/>
                  </w14:solidFill>
                </w14:textFill>
              </w:rPr>
              <w:t>千克/吨原料</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实</w:t>
            </w:r>
            <w:r>
              <w:rPr>
                <w:rFonts w:hint="default" w:ascii="Times New Roman" w:hAnsi="Times New Roman" w:eastAsia="宋体" w:cs="Times New Roman"/>
                <w:sz w:val="24"/>
                <w:szCs w:val="24"/>
                <w:highlight w:val="none"/>
              </w:rPr>
              <w:t>芯焊丝</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焊接</w:t>
            </w:r>
            <w:r>
              <w:rPr>
                <w:rFonts w:hint="default" w:ascii="Times New Roman" w:hAnsi="Times New Roman" w:cs="Times New Roman"/>
                <w:color w:val="000000" w:themeColor="text1"/>
                <w:sz w:val="24"/>
                <w:szCs w:val="24"/>
                <w:highlight w:val="none"/>
                <w:lang w:val="en-GB"/>
                <w14:textFill>
                  <w14:solidFill>
                    <w14:schemeClr w14:val="tx1"/>
                  </w14:solidFill>
                </w14:textFill>
              </w:rPr>
              <w:t>产污系数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为9.19</w:t>
            </w:r>
            <w:r>
              <w:rPr>
                <w:rFonts w:hint="default" w:ascii="Times New Roman" w:hAnsi="Times New Roman" w:cs="Times New Roman"/>
                <w:color w:val="000000" w:themeColor="text1"/>
                <w:sz w:val="24"/>
                <w:szCs w:val="24"/>
                <w:highlight w:val="none"/>
                <w:lang w:val="en-GB"/>
                <w14:textFill>
                  <w14:solidFill>
                    <w14:schemeClr w14:val="tx1"/>
                  </w14:solidFill>
                </w14:textFill>
              </w:rPr>
              <w:t>千克/吨原料</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本项目年消耗药</w:t>
            </w:r>
            <w:r>
              <w:rPr>
                <w:rFonts w:hint="default" w:ascii="Times New Roman" w:hAnsi="Times New Roman" w:eastAsia="宋体" w:cs="Times New Roman"/>
                <w:sz w:val="24"/>
                <w:szCs w:val="24"/>
                <w:highlight w:val="none"/>
              </w:rPr>
              <w:t>芯焊丝</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0.45</w:t>
            </w:r>
            <w:r>
              <w:rPr>
                <w:rFonts w:hint="default" w:ascii="Times New Roman" w:hAnsi="Times New Roman" w:cs="Times New Roman"/>
                <w:color w:val="000000" w:themeColor="text1"/>
                <w:sz w:val="24"/>
                <w:szCs w:val="24"/>
                <w:highlight w:val="none"/>
                <w:lang w:val="en-GB"/>
                <w14:textFill>
                  <w14:solidFill>
                    <w14:schemeClr w14:val="tx1"/>
                  </w14:solidFill>
                </w14:textFill>
              </w:rPr>
              <w:t>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，实</w:t>
            </w:r>
            <w:r>
              <w:rPr>
                <w:rFonts w:hint="default" w:ascii="Times New Roman" w:hAnsi="Times New Roman" w:eastAsia="宋体" w:cs="Times New Roman"/>
                <w:sz w:val="24"/>
                <w:szCs w:val="24"/>
                <w:highlight w:val="none"/>
              </w:rPr>
              <w:t>芯焊丝</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1.35</w:t>
            </w:r>
            <w:r>
              <w:rPr>
                <w:rFonts w:hint="default" w:ascii="Times New Roman" w:hAnsi="Times New Roman" w:cs="Times New Roman"/>
                <w:color w:val="000000" w:themeColor="text1"/>
                <w:sz w:val="24"/>
                <w:szCs w:val="24"/>
                <w:highlight w:val="none"/>
                <w:lang w:val="en-GB"/>
                <w14:textFill>
                  <w14:solidFill>
                    <w14:schemeClr w14:val="tx1"/>
                  </w14:solidFill>
                </w14:textFill>
              </w:rPr>
              <w:t>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，则焊接颗粒物产生总量为0.02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highlight w:val="none"/>
                <w:lang w:val="en-GB" w:eastAsia="zh-CN"/>
              </w:rPr>
              <w:t>t/a。</w:t>
            </w:r>
            <w:r>
              <w:rPr>
                <w:rFonts w:hint="eastAsia" w:ascii="Times New Roman" w:hAnsi="Times New Roman" w:cs="Times New Roman" w:eastAsiaTheme="minorEastAsia"/>
                <w:highlight w:val="none"/>
                <w:lang w:val="en-US" w:eastAsia="zh-CN"/>
              </w:rPr>
              <w:t>废气由集气罩收集再经布袋除尘器处理后通过24米排气筒排放。建设单位拟设置3处集气罩，每个集气罩面积为0.25m</w:t>
            </w:r>
            <w:r>
              <w:rPr>
                <w:rFonts w:hint="eastAsia" w:ascii="Times New Roman" w:hAnsi="Times New Roman" w:cs="Times New Roman" w:eastAsiaTheme="minorEastAsia"/>
                <w:highlight w:val="none"/>
                <w:vertAlign w:val="superscript"/>
                <w:lang w:val="en-US" w:eastAsia="zh-CN"/>
              </w:rPr>
              <w:t>2</w:t>
            </w:r>
            <w:r>
              <w:rPr>
                <w:rFonts w:hint="eastAsia" w:ascii="Times New Roman" w:hAnsi="Times New Roman" w:cs="Times New Roman" w:eastAsiaTheme="minorEastAsia"/>
                <w:highlight w:val="none"/>
                <w:vertAlign w:val="baseline"/>
                <w:lang w:val="en-US" w:eastAsia="zh-CN"/>
              </w:rPr>
              <w:t>，参考《通风工程（第2版）》（王汉青主编），对于焊接、打磨等产生的粉尘，控制风速通常取0.5–1.0 m/s，以确保捕集效率。本项目控制风速取0.8m/s，排风罩排风量计算公式为：</w:t>
            </w:r>
          </w:p>
          <w:p w14:paraId="1F631326">
            <w:pPr>
              <w:pStyle w:val="20"/>
              <w:keepNext w:val="0"/>
              <w:keepLines w:val="0"/>
              <w:pageBreakBefore w:val="0"/>
              <w:widowControl w:val="0"/>
              <w:shd w:val="clea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eastAsiaTheme="minorEastAsia"/>
                <w:highlight w:val="none"/>
                <w:vertAlign w:val="baseline"/>
                <w:lang w:val="en-US" w:eastAsia="zh-CN"/>
              </w:rPr>
            </w:pPr>
            <m:oMathPara>
              <m:oMath>
                <m:sSub>
                  <m:sSubPr>
                    <m:ctrlPr>
                      <w:rPr>
                        <w:rFonts w:hint="eastAsia" w:ascii="Cambria Math" w:hAnsi="Cambria Math" w:cs="Times New Roman" w:eastAsiaTheme="minorEastAsia"/>
                        <w:highlight w:val="none"/>
                        <w:vertAlign w:val="baseline"/>
                        <w:lang w:val="en-US" w:eastAsia="zh-CN"/>
                      </w:rPr>
                    </m:ctrlPr>
                  </m:sSubPr>
                  <m:e>
                    <m:r>
                      <m:rPr>
                        <m:sty m:val="p"/>
                      </m:rPr>
                      <w:rPr>
                        <w:rFonts w:hint="eastAsia" w:ascii="Times New Roman" w:hAnsi="Times New Roman" w:cs="Times New Roman" w:eastAsiaTheme="minorEastAsia"/>
                        <w:highlight w:val="none"/>
                        <w:vertAlign w:val="baseline"/>
                        <w:lang w:val="en-US" w:eastAsia="zh-CN"/>
                      </w:rPr>
                      <m:t>q</m:t>
                    </m:r>
                    <m:ctrlPr>
                      <w:rPr>
                        <w:rFonts w:hint="eastAsia" w:ascii="Cambria Math" w:hAnsi="Cambria Math" w:cs="Times New Roman" w:eastAsiaTheme="minorEastAsia"/>
                        <w:highlight w:val="none"/>
                        <w:vertAlign w:val="baseline"/>
                        <w:lang w:val="en-US" w:eastAsia="zh-CN"/>
                      </w:rPr>
                    </m:ctrlPr>
                  </m:e>
                  <m:sub>
                    <m:r>
                      <m:rPr>
                        <m:sty m:val="p"/>
                      </m:rPr>
                      <w:rPr>
                        <w:rFonts w:hint="eastAsia" w:ascii="Times New Roman" w:hAnsi="Times New Roman" w:cs="Times New Roman" w:eastAsiaTheme="minorEastAsia"/>
                        <w:highlight w:val="none"/>
                        <w:vertAlign w:val="baseline"/>
                        <w:lang w:val="en-US" w:eastAsia="zh-CN"/>
                      </w:rPr>
                      <m:t>v</m:t>
                    </m:r>
                    <m:ctrlPr>
                      <w:rPr>
                        <w:rFonts w:hint="eastAsia" w:ascii="Cambria Math" w:hAnsi="Cambria Math" w:cs="Times New Roman" w:eastAsiaTheme="minorEastAsia"/>
                        <w:highlight w:val="none"/>
                        <w:vertAlign w:val="baseline"/>
                        <w:lang w:val="en-US" w:eastAsia="zh-CN"/>
                      </w:rPr>
                    </m:ctrlPr>
                  </m:sub>
                </m:sSub>
                <m:r>
                  <m:rPr>
                    <m:sty m:val="p"/>
                  </m:rPr>
                  <w:rPr>
                    <w:rFonts w:hint="eastAsia" w:ascii="Times New Roman" w:hAnsi="Times New Roman" w:cs="Times New Roman" w:eastAsiaTheme="minorEastAsia"/>
                    <w:highlight w:val="none"/>
                    <w:vertAlign w:val="baseline"/>
                    <w:lang w:val="en-US" w:eastAsia="zh-CN"/>
                  </w:rPr>
                  <m:t>=</m:t>
                </m:r>
                <m:sSub>
                  <m:sSubPr>
                    <m:ctrlPr>
                      <w:rPr>
                        <w:rFonts w:hint="eastAsia" w:ascii="Cambria Math" w:hAnsi="Cambria Math" w:cs="Times New Roman" w:eastAsiaTheme="minorEastAsia"/>
                        <w:highlight w:val="none"/>
                        <w:vertAlign w:val="baseline"/>
                        <w:lang w:val="en-US" w:eastAsia="zh-CN"/>
                      </w:rPr>
                    </m:ctrlPr>
                  </m:sSubPr>
                  <m:e>
                    <m:r>
                      <m:rPr>
                        <m:sty m:val="p"/>
                      </m:rPr>
                      <w:rPr>
                        <w:rFonts w:hint="eastAsia" w:ascii="Times New Roman" w:hAnsi="Times New Roman" w:cs="Times New Roman" w:eastAsiaTheme="minorEastAsia"/>
                        <w:highlight w:val="none"/>
                        <w:vertAlign w:val="baseline"/>
                        <w:lang w:val="en-US" w:eastAsia="zh-CN"/>
                      </w:rPr>
                      <m:t>v</m:t>
                    </m:r>
                    <m:ctrlPr>
                      <w:rPr>
                        <w:rFonts w:hint="eastAsia" w:ascii="Cambria Math" w:hAnsi="Cambria Math" w:cs="Times New Roman" w:eastAsiaTheme="minorEastAsia"/>
                        <w:highlight w:val="none"/>
                        <w:vertAlign w:val="baseline"/>
                        <w:lang w:val="en-US" w:eastAsia="zh-CN"/>
                      </w:rPr>
                    </m:ctrlPr>
                  </m:e>
                  <m:sub>
                    <m:r>
                      <m:rPr>
                        <m:sty m:val="p"/>
                      </m:rPr>
                      <w:rPr>
                        <w:rFonts w:hint="eastAsia" w:ascii="Times New Roman" w:hAnsi="Times New Roman" w:cs="Times New Roman" w:eastAsiaTheme="minorEastAsia"/>
                        <w:highlight w:val="none"/>
                        <w:vertAlign w:val="baseline"/>
                        <w:lang w:val="en-US" w:eastAsia="zh-CN"/>
                      </w:rPr>
                      <m:t>0</m:t>
                    </m:r>
                    <m:ctrlPr>
                      <w:rPr>
                        <w:rFonts w:hint="eastAsia" w:ascii="Cambria Math" w:hAnsi="Cambria Math" w:cs="Times New Roman" w:eastAsiaTheme="minorEastAsia"/>
                        <w:highlight w:val="none"/>
                        <w:vertAlign w:val="baseline"/>
                        <w:lang w:val="en-US" w:eastAsia="zh-CN"/>
                      </w:rPr>
                    </m:ctrlPr>
                  </m:sub>
                </m:sSub>
                <m:r>
                  <m:rPr>
                    <m:sty m:val="p"/>
                  </m:rPr>
                  <w:rPr>
                    <w:rFonts w:hint="eastAsia" w:ascii="Times New Roman" w:hAnsi="Times New Roman" w:cs="Times New Roman" w:eastAsiaTheme="minorEastAsia"/>
                    <w:highlight w:val="none"/>
                    <w:vertAlign w:val="baseline"/>
                    <w:lang w:val="en-US" w:eastAsia="zh-CN"/>
                  </w:rPr>
                  <m:t>F</m:t>
                </m:r>
              </m:oMath>
            </m:oMathPara>
          </w:p>
          <w:p w14:paraId="57B75ED1">
            <w:pPr>
              <w:pStyle w:val="20"/>
              <w:keepNext w:val="0"/>
              <w:keepLines w:val="0"/>
              <w:pageBreakBefore w:val="0"/>
              <w:widowControl w:val="0"/>
              <w:shd w:val="clea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eastAsiaTheme="minorEastAsia"/>
                <w:highlight w:val="none"/>
                <w:vertAlign w:val="baseline"/>
                <w:lang w:val="en-US" w:eastAsia="zh-CN"/>
              </w:rPr>
            </w:pPr>
            <w:r>
              <w:rPr>
                <w:rFonts w:hint="eastAsia" w:ascii="Times New Roman" w:hAnsi="Times New Roman" w:cs="Times New Roman" w:eastAsiaTheme="minorEastAsia"/>
                <w:highlight w:val="none"/>
                <w:vertAlign w:val="baseline"/>
                <w:lang w:val="en-US" w:eastAsia="zh-CN"/>
              </w:rPr>
              <w:t>式中：qv：吸气口的排风量（m</w:t>
            </w:r>
            <w:r>
              <w:rPr>
                <w:rFonts w:hint="eastAsia" w:ascii="Times New Roman" w:hAnsi="Times New Roman" w:cs="Times New Roman" w:eastAsiaTheme="minorEastAsia"/>
                <w:highlight w:val="none"/>
                <w:vertAlign w:val="superscript"/>
                <w:lang w:val="en-US" w:eastAsia="zh-CN"/>
              </w:rPr>
              <w:t>3</w:t>
            </w:r>
            <w:r>
              <w:rPr>
                <w:rFonts w:hint="eastAsia" w:ascii="Times New Roman" w:hAnsi="Times New Roman" w:cs="Times New Roman" w:eastAsiaTheme="minorEastAsia"/>
                <w:highlight w:val="none"/>
                <w:vertAlign w:val="baseline"/>
                <w:lang w:val="en-US" w:eastAsia="zh-CN"/>
              </w:rPr>
              <w:t>/s）；</w:t>
            </w:r>
          </w:p>
          <w:p w14:paraId="44297607">
            <w:pPr>
              <w:pStyle w:val="20"/>
              <w:keepNext w:val="0"/>
              <w:keepLines w:val="0"/>
              <w:pageBreakBefore w:val="0"/>
              <w:widowControl w:val="0"/>
              <w:shd w:val="clea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eastAsiaTheme="minorEastAsia"/>
                <w:highlight w:val="none"/>
                <w:vertAlign w:val="baseline"/>
                <w:lang w:val="en-US" w:eastAsia="zh-CN"/>
              </w:rPr>
            </w:pPr>
            <w:r>
              <w:rPr>
                <w:rFonts w:hint="eastAsia" w:ascii="Times New Roman" w:hAnsi="Times New Roman" w:cs="Times New Roman" w:eastAsiaTheme="minorEastAsia"/>
                <w:highlight w:val="none"/>
                <w:vertAlign w:val="baseline"/>
                <w:lang w:val="en-US" w:eastAsia="zh-CN"/>
              </w:rPr>
              <w:t>v0：控制风速（m/s）；</w:t>
            </w:r>
          </w:p>
          <w:p w14:paraId="442B44F4">
            <w:pPr>
              <w:pStyle w:val="20"/>
              <w:keepNext w:val="0"/>
              <w:keepLines w:val="0"/>
              <w:pageBreakBefore w:val="0"/>
              <w:widowControl w:val="0"/>
              <w:shd w:val="clea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eastAsiaTheme="minorEastAsia"/>
                <w:highlight w:val="none"/>
                <w:vertAlign w:val="baseline"/>
                <w:lang w:val="en-US" w:eastAsia="zh-CN"/>
              </w:rPr>
            </w:pPr>
            <w:r>
              <w:rPr>
                <w:rFonts w:hint="eastAsia" w:ascii="Times New Roman" w:hAnsi="Times New Roman" w:cs="Times New Roman" w:eastAsiaTheme="minorEastAsia"/>
                <w:highlight w:val="none"/>
                <w:vertAlign w:val="baseline"/>
                <w:lang w:val="en-US" w:eastAsia="zh-CN"/>
              </w:rPr>
              <w:t>F：吸气口的面积（m</w:t>
            </w:r>
            <w:r>
              <w:rPr>
                <w:rFonts w:hint="eastAsia" w:ascii="Times New Roman" w:hAnsi="Times New Roman" w:cs="Times New Roman" w:eastAsiaTheme="minorEastAsia"/>
                <w:highlight w:val="none"/>
                <w:vertAlign w:val="superscript"/>
                <w:lang w:val="en-US" w:eastAsia="zh-CN"/>
              </w:rPr>
              <w:t>2</w:t>
            </w:r>
            <w:r>
              <w:rPr>
                <w:rFonts w:hint="eastAsia" w:ascii="Times New Roman" w:hAnsi="Times New Roman" w:cs="Times New Roman" w:eastAsiaTheme="minorEastAsia"/>
                <w:highlight w:val="none"/>
                <w:vertAlign w:val="baseline"/>
                <w:lang w:val="en-US" w:eastAsia="zh-CN"/>
              </w:rPr>
              <w:t>）</w:t>
            </w:r>
          </w:p>
          <w:p w14:paraId="68DFCD24">
            <w:pPr>
              <w:pStyle w:val="20"/>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cs="Times New Roman" w:eastAsiaTheme="minorEastAsia"/>
                <w:b/>
                <w:bCs/>
                <w:sz w:val="21"/>
                <w:szCs w:val="21"/>
                <w:highlight w:val="none"/>
                <w:vertAlign w:val="baseline"/>
                <w:lang w:val="en-US" w:eastAsia="zh-CN"/>
              </w:rPr>
            </w:pPr>
            <w:r>
              <w:rPr>
                <w:rFonts w:hint="eastAsia" w:ascii="Times New Roman" w:hAnsi="Times New Roman" w:cs="Times New Roman" w:eastAsiaTheme="minorEastAsia"/>
                <w:b/>
                <w:bCs/>
                <w:sz w:val="21"/>
                <w:szCs w:val="21"/>
                <w:highlight w:val="none"/>
                <w:vertAlign w:val="baseline"/>
                <w:lang w:val="en-US" w:eastAsia="zh-CN"/>
              </w:rPr>
              <w:t>表4-1  集气罩风量计算一览表</w:t>
            </w:r>
          </w:p>
          <w:tbl>
            <w:tblPr>
              <w:tblStyle w:val="25"/>
              <w:tblW w:w="7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656"/>
              <w:gridCol w:w="1692"/>
              <w:gridCol w:w="1718"/>
              <w:gridCol w:w="1637"/>
            </w:tblGrid>
            <w:tr w14:paraId="587C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Align w:val="center"/>
                </w:tcPr>
                <w:p w14:paraId="1EA9C124">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集气罩</w:t>
                  </w:r>
                </w:p>
              </w:tc>
              <w:tc>
                <w:tcPr>
                  <w:tcW w:w="1656" w:type="dxa"/>
                  <w:vAlign w:val="center"/>
                </w:tcPr>
                <w:p w14:paraId="423C39CE">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边长（m）</w:t>
                  </w:r>
                </w:p>
              </w:tc>
              <w:tc>
                <w:tcPr>
                  <w:tcW w:w="1692" w:type="dxa"/>
                  <w:vAlign w:val="center"/>
                </w:tcPr>
                <w:p w14:paraId="4E5EC0C8">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吸气口的面积（m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w:t>
                  </w:r>
                </w:p>
              </w:tc>
              <w:tc>
                <w:tcPr>
                  <w:tcW w:w="1718" w:type="dxa"/>
                  <w:vAlign w:val="center"/>
                </w:tcPr>
                <w:p w14:paraId="2E9605C7">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控制风速（m/s）</w:t>
                  </w:r>
                </w:p>
              </w:tc>
              <w:tc>
                <w:tcPr>
                  <w:tcW w:w="1637" w:type="dxa"/>
                  <w:vAlign w:val="center"/>
                </w:tcPr>
                <w:p w14:paraId="50016665">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风量（m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/h）</w:t>
                  </w:r>
                </w:p>
              </w:tc>
            </w:tr>
            <w:tr w14:paraId="5854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Align w:val="center"/>
                </w:tcPr>
                <w:p w14:paraId="38502A53">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56" w:type="dxa"/>
                  <w:vAlign w:val="center"/>
                </w:tcPr>
                <w:p w14:paraId="5A4A3495">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0.5*0.5</w:t>
                  </w:r>
                </w:p>
              </w:tc>
              <w:tc>
                <w:tcPr>
                  <w:tcW w:w="1692" w:type="dxa"/>
                  <w:vAlign w:val="center"/>
                </w:tcPr>
                <w:p w14:paraId="1C192C0F">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718" w:type="dxa"/>
                  <w:vAlign w:val="center"/>
                </w:tcPr>
                <w:p w14:paraId="6A091BF3">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w:t>
                  </w:r>
                </w:p>
              </w:tc>
              <w:tc>
                <w:tcPr>
                  <w:tcW w:w="1637" w:type="dxa"/>
                  <w:vAlign w:val="center"/>
                </w:tcPr>
                <w:p w14:paraId="1E585D6C">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w:t>
                  </w:r>
                </w:p>
              </w:tc>
            </w:tr>
            <w:tr w14:paraId="6E24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Align w:val="center"/>
                </w:tcPr>
                <w:p w14:paraId="2FDCBFE9">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656" w:type="dxa"/>
                  <w:vAlign w:val="center"/>
                </w:tcPr>
                <w:p w14:paraId="1D875682">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0.5*0.5</w:t>
                  </w:r>
                </w:p>
              </w:tc>
              <w:tc>
                <w:tcPr>
                  <w:tcW w:w="1692" w:type="dxa"/>
                  <w:vAlign w:val="center"/>
                </w:tcPr>
                <w:p w14:paraId="6C94CA3C">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718" w:type="dxa"/>
                  <w:vAlign w:val="center"/>
                </w:tcPr>
                <w:p w14:paraId="05824A08">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w:t>
                  </w:r>
                </w:p>
              </w:tc>
              <w:tc>
                <w:tcPr>
                  <w:tcW w:w="1637" w:type="dxa"/>
                  <w:vAlign w:val="center"/>
                </w:tcPr>
                <w:p w14:paraId="5D5B627B">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w:t>
                  </w:r>
                </w:p>
              </w:tc>
            </w:tr>
            <w:tr w14:paraId="1C67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Align w:val="center"/>
                </w:tcPr>
                <w:p w14:paraId="4E1716E6">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656" w:type="dxa"/>
                  <w:vAlign w:val="center"/>
                </w:tcPr>
                <w:p w14:paraId="176EEB1F">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0.5*0.5</w:t>
                  </w:r>
                </w:p>
              </w:tc>
              <w:tc>
                <w:tcPr>
                  <w:tcW w:w="1692" w:type="dxa"/>
                  <w:vAlign w:val="center"/>
                </w:tcPr>
                <w:p w14:paraId="5E02BFA4">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718" w:type="dxa"/>
                  <w:vAlign w:val="center"/>
                </w:tcPr>
                <w:p w14:paraId="3FF41BEB">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w:t>
                  </w:r>
                </w:p>
              </w:tc>
              <w:tc>
                <w:tcPr>
                  <w:tcW w:w="1637" w:type="dxa"/>
                  <w:vAlign w:val="center"/>
                </w:tcPr>
                <w:p w14:paraId="4C6A7AC7">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720</w:t>
                  </w:r>
                </w:p>
              </w:tc>
            </w:tr>
            <w:tr w14:paraId="43BB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6" w:type="dxa"/>
                  <w:gridSpan w:val="4"/>
                  <w:vAlign w:val="center"/>
                </w:tcPr>
                <w:p w14:paraId="7D69A3DB">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合计</w:t>
                  </w:r>
                </w:p>
              </w:tc>
              <w:tc>
                <w:tcPr>
                  <w:tcW w:w="1637" w:type="dxa"/>
                  <w:vAlign w:val="center"/>
                </w:tcPr>
                <w:p w14:paraId="64C7C934">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2160</w:t>
                  </w:r>
                </w:p>
              </w:tc>
            </w:tr>
          </w:tbl>
          <w:p w14:paraId="280A74C6">
            <w:pPr>
              <w:pStyle w:val="20"/>
              <w:keepNext w:val="0"/>
              <w:keepLines w:val="0"/>
              <w:pageBreakBefore w:val="0"/>
              <w:widowControl w:val="0"/>
              <w:shd w:val="clear"/>
              <w:kinsoku/>
              <w:wordWrap/>
              <w:overflowPunct/>
              <w:topLinePunct w:val="0"/>
              <w:autoSpaceDE/>
              <w:autoSpaceDN/>
              <w:bidi w:val="0"/>
              <w:adjustRightInd/>
              <w:snapToGrid/>
              <w:spacing w:before="157" w:beforeLines="50" w:after="0" w:line="360" w:lineRule="auto"/>
              <w:ind w:firstLine="480" w:firstLineChars="200"/>
              <w:textAlignment w:val="auto"/>
              <w:rPr>
                <w:rFonts w:hint="eastAsia" w:ascii="Times New Roman" w:hAnsi="Times New Roman" w:cs="Times New Roman"/>
                <w:b w:val="0"/>
                <w:bCs w:val="0"/>
                <w:color w:val="auto"/>
                <w:szCs w:val="28"/>
                <w:lang w:eastAsia="zh-CN"/>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焊接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废气</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产生总量为0.02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eastAsiaTheme="minorEastAsia"/>
                <w:highlight w:val="none"/>
                <w:lang w:val="en-GB" w:eastAsia="zh-CN"/>
              </w:rPr>
              <w:t>t/a</w:t>
            </w:r>
            <w:r>
              <w:rPr>
                <w:rFonts w:hint="eastAsia" w:ascii="Times New Roman" w:hAnsi="Times New Roman" w:cs="Times New Roman" w:eastAsiaTheme="minorEastAsia"/>
                <w:highlight w:val="none"/>
                <w:lang w:val="en-GB" w:eastAsia="zh-CN"/>
              </w:rPr>
              <w:t>，</w:t>
            </w:r>
            <w:r>
              <w:rPr>
                <w:rFonts w:hint="eastAsia" w:ascii="Times New Roman" w:hAnsi="Times New Roman" w:cs="Times New Roman" w:eastAsiaTheme="minorEastAsia"/>
                <w:highlight w:val="none"/>
                <w:vertAlign w:val="baseline"/>
                <w:lang w:val="en-US" w:eastAsia="zh-CN"/>
              </w:rPr>
              <w:t>集气罩总风量为2160</w:t>
            </w:r>
            <w:r>
              <w:rPr>
                <w:rFonts w:hint="default" w:ascii="Times New Roman" w:hAnsi="Times New Roman" w:cs="Times New Roman"/>
                <w:color w:val="000000"/>
                <w:kern w:val="0"/>
                <w:sz w:val="24"/>
                <w:lang w:val="en-US" w:eastAsia="zh-CN"/>
              </w:rPr>
              <w:t>m</w:t>
            </w:r>
            <w:r>
              <w:rPr>
                <w:rFonts w:hint="default" w:ascii="Times New Roman" w:hAnsi="Times New Roman" w:cs="Times New Roman"/>
                <w:color w:val="000000"/>
                <w:kern w:val="0"/>
                <w:sz w:val="24"/>
                <w:vertAlign w:val="superscript"/>
                <w:lang w:val="en-US" w:eastAsia="zh-CN"/>
              </w:rPr>
              <w:t>3</w:t>
            </w:r>
            <w:r>
              <w:rPr>
                <w:rFonts w:hint="default" w:ascii="Times New Roman" w:hAnsi="Times New Roman" w:cs="Times New Roman"/>
                <w:color w:val="000000"/>
                <w:kern w:val="0"/>
                <w:sz w:val="24"/>
                <w:lang w:val="en-US" w:eastAsia="zh-CN"/>
              </w:rPr>
              <w:t>/h</w:t>
            </w:r>
            <w:r>
              <w:rPr>
                <w:rFonts w:hint="eastAsia" w:ascii="Times New Roman" w:hAnsi="Times New Roman" w:cs="Times New Roman"/>
                <w:color w:val="000000"/>
                <w:kern w:val="0"/>
                <w:sz w:val="24"/>
                <w:lang w:val="en-US" w:eastAsia="zh-CN"/>
              </w:rPr>
              <w:t>。废气</w:t>
            </w:r>
            <w:r>
              <w:rPr>
                <w:rFonts w:hint="default" w:ascii="Times New Roman" w:hAnsi="Times New Roman" w:cs="Times New Roman" w:eastAsiaTheme="minorEastAsia"/>
                <w:highlight w:val="none"/>
                <w:lang w:val="en-US" w:eastAsia="zh-CN"/>
              </w:rPr>
              <w:t>收集效率</w:t>
            </w:r>
            <w:r>
              <w:rPr>
                <w:rFonts w:hint="eastAsia" w:ascii="Times New Roman" w:hAnsi="Times New Roman" w:cs="Times New Roman" w:eastAsiaTheme="minorEastAsia"/>
                <w:highlight w:val="none"/>
                <w:lang w:val="en-US" w:eastAsia="zh-CN"/>
              </w:rPr>
              <w:t>取</w:t>
            </w:r>
            <w:r>
              <w:rPr>
                <w:rFonts w:hint="default" w:ascii="Times New Roman" w:hAnsi="Times New Roman" w:cs="Times New Roman" w:eastAsiaTheme="minorEastAsia"/>
                <w:highlight w:val="none"/>
                <w:lang w:val="en-US" w:eastAsia="zh-CN"/>
              </w:rPr>
              <w:t>80%</w:t>
            </w:r>
            <w:r>
              <w:rPr>
                <w:rFonts w:hint="eastAsia" w:ascii="Times New Roman" w:hAnsi="Times New Roman" w:cs="Times New Roman" w:eastAsiaTheme="minorEastAsia"/>
                <w:highlight w:val="none"/>
                <w:lang w:val="en-US" w:eastAsia="zh-CN"/>
              </w:rPr>
              <w:t>，布袋除尘器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处理效率</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参考</w:t>
            </w:r>
            <w:r>
              <w:rPr>
                <w:rFonts w:hint="default" w:ascii="Times New Roman" w:hAnsi="Times New Roman" w:cs="Times New Roman"/>
                <w:color w:val="000000" w:themeColor="text1"/>
                <w:sz w:val="24"/>
                <w:szCs w:val="24"/>
                <w:highlight w:val="none"/>
                <w:lang w:val="en-GB"/>
                <w14:textFill>
                  <w14:solidFill>
                    <w14:schemeClr w14:val="tx1"/>
                  </w14:solidFill>
                </w14:textFill>
              </w:rPr>
              <w:t>《排放源统计调查产排污核算方法和系数手册》（生态环境部办公厅2021 年6月11日印发）中《机械行业系数手册》</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4下料</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工序的末端治理技术名称</w:t>
            </w:r>
            <w:r>
              <w:rPr>
                <w:rFonts w:hint="eastAsia" w:ascii="Times New Roman" w:hAnsi="Times New Roman" w:cs="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袋式除尘</w:t>
            </w:r>
            <w:r>
              <w:rPr>
                <w:rFonts w:hint="eastAsia" w:ascii="Times New Roman" w:hAnsi="Times New Roman" w:cs="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以95%计</w:t>
            </w:r>
            <w:r>
              <w:rPr>
                <w:rFonts w:hint="default" w:ascii="Times New Roman" w:hAnsi="Times New Roman" w:cs="Times New Roman"/>
                <w:color w:val="000000" w:themeColor="text1"/>
                <w:sz w:val="24"/>
                <w:szCs w:val="24"/>
                <w:lang w:val="en-GB"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计算可知</w:t>
            </w:r>
            <w:r>
              <w:rPr>
                <w:rFonts w:hint="default" w:ascii="Times New Roman" w:hAnsi="Times New Roman" w:cs="Times New Roman"/>
                <w:color w:val="000000" w:themeColor="text1"/>
                <w:sz w:val="24"/>
                <w:szCs w:val="24"/>
                <w:lang w:val="en-US" w:eastAsia="zh-CN"/>
                <w14:textFill>
                  <w14:solidFill>
                    <w14:schemeClr w14:val="tx1"/>
                  </w14:solidFill>
                </w14:textFill>
              </w:rPr>
              <w:t>焊接过程无组织排放量为0.00</w:t>
            </w:r>
            <w:r>
              <w:rPr>
                <w:rFonts w:hint="eastAsia" w:ascii="Times New Roman" w:hAnsi="Times New Roman" w:cs="Times New Roman"/>
                <w:color w:val="000000" w:themeColor="text1"/>
                <w:sz w:val="24"/>
                <w:szCs w:val="24"/>
                <w:lang w:val="en-US" w:eastAsia="zh-CN"/>
                <w14:textFill>
                  <w14:solidFill>
                    <w14:schemeClr w14:val="tx1"/>
                  </w14:solidFill>
                </w14:textFill>
              </w:rPr>
              <w:t>43</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b w:val="0"/>
                <w:bCs w:val="0"/>
                <w:szCs w:val="21"/>
                <w:highlight w:val="none"/>
                <w:vertAlign w:val="baseline"/>
                <w:lang w:val="en-US" w:eastAsia="zh-CN"/>
              </w:rPr>
              <w:t>有组织</w:t>
            </w:r>
            <w:r>
              <w:rPr>
                <w:rFonts w:hint="eastAsia" w:ascii="Times New Roman" w:hAnsi="Times New Roman" w:cs="Times New Roman"/>
                <w:b w:val="0"/>
                <w:bCs w:val="0"/>
                <w:color w:val="auto"/>
                <w:szCs w:val="28"/>
                <w:lang w:val="en-US" w:eastAsia="zh-CN"/>
              </w:rPr>
              <w:t>排放</w:t>
            </w:r>
            <w:r>
              <w:rPr>
                <w:rFonts w:hint="default" w:ascii="Times New Roman" w:hAnsi="Times New Roman" w:cs="Times New Roman"/>
                <w:b w:val="0"/>
                <w:bCs w:val="0"/>
                <w:color w:val="auto"/>
                <w:szCs w:val="28"/>
              </w:rPr>
              <w:t>量为</w:t>
            </w:r>
            <w:r>
              <w:rPr>
                <w:rFonts w:hint="eastAsia" w:ascii="Times New Roman" w:hAnsi="Times New Roman" w:cs="Times New Roman"/>
                <w:b w:val="0"/>
                <w:bCs w:val="0"/>
                <w:color w:val="auto"/>
                <w:szCs w:val="28"/>
                <w:lang w:val="en-US" w:eastAsia="zh-CN"/>
              </w:rPr>
              <w:t>0.00087</w:t>
            </w:r>
            <w:r>
              <w:rPr>
                <w:rFonts w:hint="default" w:ascii="Times New Roman" w:hAnsi="Times New Roman" w:cs="Times New Roman"/>
                <w:b w:val="0"/>
                <w:bCs w:val="0"/>
                <w:color w:val="auto"/>
                <w:szCs w:val="28"/>
              </w:rPr>
              <w:t>t/a</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排放浓度为0.185mg/m</w:t>
            </w:r>
            <w:r>
              <w:rPr>
                <w:rFonts w:hint="eastAsia" w:ascii="Times New Roman" w:hAnsi="Times New Roman" w:cs="Times New Roman"/>
                <w:b w:val="0"/>
                <w:bCs w:val="0"/>
                <w:color w:val="auto"/>
                <w:szCs w:val="28"/>
                <w:vertAlign w:val="superscript"/>
                <w:lang w:val="en-US" w:eastAsia="zh-CN"/>
              </w:rPr>
              <w:t>3</w:t>
            </w:r>
            <w:r>
              <w:rPr>
                <w:rFonts w:hint="eastAsia" w:ascii="Times New Roman" w:hAnsi="Times New Roman" w:cs="Times New Roman"/>
                <w:b w:val="0"/>
                <w:bCs w:val="0"/>
                <w:color w:val="auto"/>
                <w:szCs w:val="28"/>
                <w:lang w:val="en-US" w:eastAsia="zh-CN"/>
              </w:rPr>
              <w:t>，排放速率为0.0004kg/h</w:t>
            </w:r>
            <w:r>
              <w:rPr>
                <w:rFonts w:hint="eastAsia" w:ascii="Times New Roman" w:hAnsi="Times New Roman" w:eastAsia="宋体" w:cs="Times New Roman"/>
                <w:color w:val="000000" w:themeColor="text1"/>
                <w:sz w:val="24"/>
                <w:szCs w:val="24"/>
                <w:highlight w:val="none"/>
                <w:vertAlign w:val="baseline"/>
                <w:lang w:val="en-GB" w:eastAsia="zh-CN"/>
                <w14:textFill>
                  <w14:solidFill>
                    <w14:schemeClr w14:val="tx1"/>
                  </w14:solidFill>
                </w14:textFill>
              </w:rPr>
              <w:t>。</w:t>
            </w:r>
          </w:p>
          <w:p w14:paraId="3402662B">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cs="Times New Roman"/>
                <w:b w:val="0"/>
                <w:bCs w:val="0"/>
                <w:color w:val="auto"/>
                <w:highlight w:val="none"/>
                <w:lang w:val="en-US" w:eastAsia="zh-CN"/>
              </w:rPr>
              <w:t>喷砂废气</w:t>
            </w:r>
          </w:p>
          <w:p w14:paraId="62F93AC9">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000000" w:themeColor="text1"/>
                <w:sz w:val="24"/>
                <w:szCs w:val="24"/>
                <w:lang w:val="en-GB" w:eastAsia="zh-CN"/>
                <w14:textFill>
                  <w14:solidFill>
                    <w14:schemeClr w14:val="tx1"/>
                  </w14:solidFill>
                </w14:textFill>
              </w:rPr>
            </w:pPr>
            <w:r>
              <w:rPr>
                <w:rFonts w:hint="default" w:ascii="Times New Roman" w:hAnsi="Times New Roman" w:cs="Times New Roman" w:eastAsiaTheme="minorEastAsia"/>
                <w:lang w:val="en-GB" w:eastAsia="zh-CN"/>
              </w:rPr>
              <w:t>根据《排放源统计调查产排污核算方法和系数手册》（生态环境部办公厅2</w:t>
            </w:r>
            <w:r>
              <w:rPr>
                <w:rFonts w:hint="default" w:ascii="Times New Roman" w:hAnsi="Times New Roman" w:cs="Times New Roman"/>
                <w:color w:val="000000" w:themeColor="text1"/>
                <w:sz w:val="24"/>
                <w:szCs w:val="24"/>
                <w:lang w:val="en-GB"/>
                <w14:textFill>
                  <w14:solidFill>
                    <w14:schemeClr w14:val="tx1"/>
                  </w14:solidFill>
                </w14:textFill>
              </w:rPr>
              <w:t>021 年6月11日印发）中《机械行业系数手册》0</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lang w:val="en-GB"/>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预处理</w:t>
            </w:r>
            <w:r>
              <w:rPr>
                <w:rFonts w:hint="default" w:ascii="Times New Roman" w:hAnsi="Times New Roman" w:cs="Times New Roman"/>
                <w:color w:val="000000" w:themeColor="text1"/>
                <w:sz w:val="24"/>
                <w:szCs w:val="24"/>
                <w:lang w:val="en-GB"/>
                <w14:textFill>
                  <w14:solidFill>
                    <w14:schemeClr w14:val="tx1"/>
                  </w14:solidFill>
                </w14:textFill>
              </w:rPr>
              <w:t>工序</w:t>
            </w:r>
            <w:r>
              <w:rPr>
                <w:rFonts w:hint="default" w:ascii="Times New Roman" w:hAnsi="Times New Roman" w:cs="Times New Roman"/>
                <w:color w:val="000000" w:themeColor="text1"/>
                <w:sz w:val="24"/>
                <w:szCs w:val="24"/>
                <w:lang w:val="en-US" w:eastAsia="zh-CN"/>
                <w14:textFill>
                  <w14:solidFill>
                    <w14:schemeClr w14:val="tx1"/>
                  </w14:solidFill>
                </w14:textFill>
              </w:rPr>
              <w:t>可知</w:t>
            </w:r>
            <w:r>
              <w:rPr>
                <w:rFonts w:hint="default" w:ascii="Times New Roman" w:hAnsi="Times New Roman" w:cs="Times New Roman"/>
                <w:color w:val="000000" w:themeColor="text1"/>
                <w:sz w:val="24"/>
                <w:szCs w:val="24"/>
                <w:lang w:val="en-GB"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喷砂</w:t>
            </w:r>
            <w:r>
              <w:rPr>
                <w:rFonts w:hint="eastAsia" w:ascii="Times New Roman" w:hAnsi="Times New Roman" w:cs="Times New Roman"/>
                <w:color w:val="000000" w:themeColor="text1"/>
                <w:sz w:val="24"/>
                <w:szCs w:val="24"/>
                <w:lang w:val="en-US" w:eastAsia="zh-CN"/>
                <w14:textFill>
                  <w14:solidFill>
                    <w14:schemeClr w14:val="tx1"/>
                  </w14:solidFill>
                </w14:textFill>
              </w:rPr>
              <w:t>颗粒物</w:t>
            </w:r>
            <w:r>
              <w:rPr>
                <w:rFonts w:hint="default" w:ascii="Times New Roman" w:hAnsi="Times New Roman" w:cs="Times New Roman"/>
                <w:color w:val="000000" w:themeColor="text1"/>
                <w:sz w:val="24"/>
                <w:szCs w:val="24"/>
                <w:lang w:val="en-GB"/>
                <w14:textFill>
                  <w14:solidFill>
                    <w14:schemeClr w14:val="tx1"/>
                  </w14:solidFill>
                </w14:textFill>
              </w:rPr>
              <w:t>产污系数</w:t>
            </w:r>
            <w:r>
              <w:rPr>
                <w:rFonts w:hint="default" w:ascii="Times New Roman" w:hAnsi="Times New Roman" w:cs="Times New Roman"/>
                <w:color w:val="000000" w:themeColor="text1"/>
                <w:sz w:val="24"/>
                <w:szCs w:val="24"/>
                <w:lang w:val="en-US" w:eastAsia="zh-CN"/>
                <w14:textFill>
                  <w14:solidFill>
                    <w14:schemeClr w14:val="tx1"/>
                  </w14:solidFill>
                </w14:textFill>
              </w:rPr>
              <w:t>为2.19</w:t>
            </w:r>
            <w:r>
              <w:rPr>
                <w:rFonts w:hint="default" w:ascii="Times New Roman" w:hAnsi="Times New Roman" w:cs="Times New Roman"/>
                <w:color w:val="000000" w:themeColor="text1"/>
                <w:sz w:val="24"/>
                <w:szCs w:val="24"/>
                <w:lang w:val="en-GB"/>
                <w14:textFill>
                  <w14:solidFill>
                    <w14:schemeClr w14:val="tx1"/>
                  </w14:solidFill>
                </w14:textFill>
              </w:rPr>
              <w:t>千克/吨原料</w:t>
            </w:r>
            <w:r>
              <w:rPr>
                <w:rFonts w:hint="default" w:ascii="Times New Roman" w:hAnsi="Times New Roman" w:cs="Times New Roman"/>
                <w:color w:val="000000" w:themeColor="text1"/>
                <w:sz w:val="24"/>
                <w:szCs w:val="24"/>
                <w:lang w:val="en-GB"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根据企业提供资料，</w:t>
            </w:r>
            <w:r>
              <w:rPr>
                <w:rFonts w:hint="default" w:ascii="Times New Roman" w:hAnsi="Times New Roman" w:cs="Times New Roman"/>
                <w:color w:val="000000" w:themeColor="text1"/>
                <w:sz w:val="24"/>
                <w:szCs w:val="24"/>
                <w:lang w:val="en-US" w:eastAsia="zh-CN"/>
                <w14:textFill>
                  <w14:solidFill>
                    <w14:schemeClr w14:val="tx1"/>
                  </w14:solidFill>
                </w14:textFill>
              </w:rPr>
              <w:t>本项目钢材</w:t>
            </w:r>
            <w:r>
              <w:rPr>
                <w:rFonts w:hint="eastAsia" w:ascii="Times New Roman" w:hAnsi="Times New Roman" w:cs="Times New Roman"/>
                <w:color w:val="000000" w:themeColor="text1"/>
                <w:sz w:val="24"/>
                <w:szCs w:val="24"/>
                <w:lang w:val="en-US" w:eastAsia="zh-CN"/>
                <w14:textFill>
                  <w14:solidFill>
                    <w14:schemeClr w14:val="tx1"/>
                  </w14:solidFill>
                </w14:textFill>
              </w:rPr>
              <w:t>年使用量为</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lang w:val="en-US" w:eastAsia="zh-CN"/>
                <w14:textFill>
                  <w14:solidFill>
                    <w14:schemeClr w14:val="tx1"/>
                  </w14:solidFill>
                </w14:textFill>
              </w:rPr>
              <w:t>00</w:t>
            </w:r>
            <w:r>
              <w:rPr>
                <w:rFonts w:hint="default" w:ascii="Times New Roman" w:hAnsi="Times New Roman" w:cs="Times New Roman"/>
                <w:color w:val="000000" w:themeColor="text1"/>
                <w:sz w:val="24"/>
                <w:szCs w:val="24"/>
                <w:lang w:val="en-GB"/>
                <w14:textFill>
                  <w14:solidFill>
                    <w14:schemeClr w14:val="tx1"/>
                  </w14:solidFill>
                </w14:textFill>
              </w:rPr>
              <w:t>t</w:t>
            </w:r>
            <w:r>
              <w:rPr>
                <w:rFonts w:hint="default" w:ascii="Times New Roman" w:hAnsi="Times New Roman" w:cs="Times New Roman"/>
                <w:color w:val="000000" w:themeColor="text1"/>
                <w:sz w:val="24"/>
                <w:szCs w:val="24"/>
                <w:lang w:val="en-US" w:eastAsia="zh-CN"/>
                <w14:textFill>
                  <w14:solidFill>
                    <w14:schemeClr w14:val="tx1"/>
                  </w14:solidFill>
                </w14:textFill>
              </w:rPr>
              <w:t>，则</w:t>
            </w:r>
            <w:r>
              <w:rPr>
                <w:rFonts w:hint="eastAsia" w:ascii="Times New Roman" w:hAnsi="Times New Roman" w:cs="Times New Roman"/>
                <w:b w:val="0"/>
                <w:bCs w:val="0"/>
                <w:sz w:val="24"/>
                <w:lang w:val="en-US" w:eastAsia="zh-CN"/>
              </w:rPr>
              <w:t>喷砂颗粒物</w:t>
            </w:r>
            <w:r>
              <w:rPr>
                <w:rFonts w:hint="default" w:ascii="Times New Roman" w:hAnsi="Times New Roman" w:eastAsia="宋体" w:cs="Times New Roman"/>
                <w:b w:val="0"/>
                <w:bCs w:val="0"/>
                <w:sz w:val="24"/>
                <w:lang w:val="en-US" w:eastAsia="zh-CN"/>
              </w:rPr>
              <w:t>产生量</w:t>
            </w:r>
            <w:r>
              <w:rPr>
                <w:rFonts w:hint="default" w:ascii="Times New Roman" w:hAnsi="Times New Roman" w:cs="Times New Roman"/>
                <w:color w:val="000000" w:themeColor="text1"/>
                <w:sz w:val="24"/>
                <w:szCs w:val="24"/>
                <w:lang w:val="en-GB"/>
                <w14:textFill>
                  <w14:solidFill>
                    <w14:schemeClr w14:val="tx1"/>
                  </w14:solidFill>
                </w14:textFill>
              </w:rPr>
              <w:t>为</w:t>
            </w:r>
            <w:r>
              <w:rPr>
                <w:rFonts w:hint="default" w:ascii="Times New Roman" w:hAnsi="Times New Roman" w:cs="Times New Roman"/>
                <w:color w:val="000000" w:themeColor="text1"/>
                <w:sz w:val="24"/>
                <w:szCs w:val="24"/>
                <w:lang w:val="en-US" w:eastAsia="zh-CN"/>
                <w14:textFill>
                  <w14:solidFill>
                    <w14:schemeClr w14:val="tx1"/>
                  </w14:solidFill>
                </w14:textFill>
              </w:rPr>
              <w:t>1.095</w:t>
            </w:r>
            <w:r>
              <w:rPr>
                <w:rFonts w:hint="default" w:ascii="Times New Roman" w:hAnsi="Times New Roman" w:cs="Times New Roman"/>
                <w:color w:val="000000" w:themeColor="text1"/>
                <w:sz w:val="24"/>
                <w:szCs w:val="24"/>
                <w:lang w:val="en-GB"/>
                <w14:textFill>
                  <w14:solidFill>
                    <w14:schemeClr w14:val="tx1"/>
                  </w14:solidFill>
                </w14:textFill>
              </w:rPr>
              <w:t>t/a</w:t>
            </w:r>
            <w:r>
              <w:rPr>
                <w:rFonts w:hint="eastAsia" w:ascii="Times New Roman" w:hAnsi="Times New Roman" w:cs="Times New Roman"/>
                <w:color w:val="000000" w:themeColor="text1"/>
                <w:sz w:val="24"/>
                <w:szCs w:val="24"/>
                <w:lang w:val="en-GB" w:eastAsia="zh-CN"/>
                <w14:textFill>
                  <w14:solidFill>
                    <w14:schemeClr w14:val="tx1"/>
                  </w14:solidFill>
                </w14:textFill>
              </w:rPr>
              <w:t>。</w:t>
            </w:r>
          </w:p>
          <w:p w14:paraId="2C546AAC">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auto"/>
              </w:rPr>
              <w:t>建设单位</w:t>
            </w:r>
            <w:r>
              <w:rPr>
                <w:rFonts w:hint="eastAsia" w:ascii="Times New Roman" w:hAnsi="Times New Roman" w:cs="Times New Roman"/>
                <w:b w:val="0"/>
                <w:bCs w:val="0"/>
                <w:color w:val="auto"/>
                <w:lang w:val="en-US" w:eastAsia="zh-CN"/>
              </w:rPr>
              <w:t>新建</w:t>
            </w:r>
            <w:r>
              <w:rPr>
                <w:rFonts w:hint="default" w:ascii="Times New Roman" w:hAnsi="Times New Roman" w:cs="Times New Roman"/>
                <w:b w:val="0"/>
                <w:bCs w:val="0"/>
                <w:color w:val="auto"/>
              </w:rPr>
              <w:t>1个密闭喷</w:t>
            </w:r>
            <w:r>
              <w:rPr>
                <w:rFonts w:hint="eastAsia" w:ascii="Times New Roman" w:hAnsi="Times New Roman" w:cs="Times New Roman"/>
                <w:b w:val="0"/>
                <w:bCs w:val="0"/>
                <w:color w:val="auto"/>
                <w:lang w:val="en-US" w:eastAsia="zh-CN"/>
              </w:rPr>
              <w:t>砂</w:t>
            </w:r>
            <w:r>
              <w:rPr>
                <w:rFonts w:hint="default" w:ascii="Times New Roman" w:hAnsi="Times New Roman" w:cs="Times New Roman"/>
                <w:b w:val="0"/>
                <w:bCs w:val="0"/>
                <w:color w:val="auto"/>
              </w:rPr>
              <w:t>房（</w:t>
            </w:r>
            <w:r>
              <w:rPr>
                <w:rFonts w:hint="default" w:ascii="Times New Roman" w:hAnsi="Times New Roman" w:cs="Times New Roman"/>
                <w:b w:val="0"/>
                <w:bCs w:val="0"/>
                <w:color w:val="auto"/>
                <w:lang w:val="en-US" w:eastAsia="zh-CN"/>
              </w:rPr>
              <w:t>10</w:t>
            </w:r>
            <w:r>
              <w:rPr>
                <w:rFonts w:hint="default" w:ascii="Times New Roman" w:hAnsi="Times New Roman" w:cs="Times New Roman"/>
                <w:b w:val="0"/>
                <w:bCs w:val="0"/>
                <w:color w:val="auto"/>
              </w:rPr>
              <w:t>m×</w:t>
            </w:r>
            <w:r>
              <w:rPr>
                <w:rFonts w:hint="default" w:ascii="Times New Roman" w:hAnsi="Times New Roman" w:cs="Times New Roman"/>
                <w:b w:val="0"/>
                <w:bCs w:val="0"/>
                <w:color w:val="auto"/>
                <w:lang w:val="en-US" w:eastAsia="zh-CN"/>
              </w:rPr>
              <w:t>8</w:t>
            </w:r>
            <w:r>
              <w:rPr>
                <w:rFonts w:hint="default" w:ascii="Times New Roman" w:hAnsi="Times New Roman" w:cs="Times New Roman"/>
                <w:b w:val="0"/>
                <w:bCs w:val="0"/>
                <w:color w:val="auto"/>
              </w:rPr>
              <w:t>m×</w:t>
            </w:r>
            <w:r>
              <w:rPr>
                <w:rFonts w:hint="default" w:ascii="Times New Roman" w:hAnsi="Times New Roman" w:cs="Times New Roman"/>
                <w:b w:val="0"/>
                <w:bCs w:val="0"/>
                <w:color w:val="auto"/>
                <w:lang w:val="en-US" w:eastAsia="zh-CN"/>
              </w:rPr>
              <w:t>6</w:t>
            </w:r>
            <w:r>
              <w:rPr>
                <w:rFonts w:hint="default" w:ascii="Times New Roman" w:hAnsi="Times New Roman" w:cs="Times New Roman"/>
                <w:b w:val="0"/>
                <w:bCs w:val="0"/>
                <w:color w:val="auto"/>
              </w:rPr>
              <w:t>m），</w:t>
            </w:r>
            <w:r>
              <w:rPr>
                <w:rFonts w:hint="eastAsia" w:ascii="Times New Roman" w:hAnsi="Times New Roman" w:cs="Times New Roman"/>
                <w:b w:val="0"/>
                <w:bCs w:val="0"/>
                <w:color w:val="auto"/>
                <w:lang w:val="en-US" w:eastAsia="zh-CN"/>
              </w:rPr>
              <w:t>工人使用喷枪在喷砂房内对所需材料进行喷砂打磨。</w:t>
            </w:r>
            <w:r>
              <w:rPr>
                <w:rFonts w:hint="default" w:ascii="Times New Roman" w:hAnsi="Times New Roman" w:cs="Times New Roman"/>
                <w:b w:val="0"/>
                <w:bCs w:val="0"/>
                <w:color w:val="auto"/>
              </w:rPr>
              <w:t>喷</w:t>
            </w:r>
            <w:r>
              <w:rPr>
                <w:rFonts w:hint="eastAsia" w:ascii="Times New Roman" w:hAnsi="Times New Roman" w:cs="Times New Roman"/>
                <w:b w:val="0"/>
                <w:bCs w:val="0"/>
                <w:color w:val="auto"/>
                <w:lang w:val="en-US" w:eastAsia="zh-CN"/>
              </w:rPr>
              <w:t>砂</w:t>
            </w:r>
            <w:r>
              <w:rPr>
                <w:rFonts w:hint="default" w:ascii="Times New Roman" w:hAnsi="Times New Roman" w:cs="Times New Roman"/>
                <w:b w:val="0"/>
                <w:bCs w:val="0"/>
                <w:color w:val="auto"/>
              </w:rPr>
              <w:t>房采用负压抽吸的方式收集废气</w:t>
            </w:r>
            <w:r>
              <w:rPr>
                <w:rFonts w:hint="eastAsia" w:ascii="Times New Roman" w:hAnsi="Times New Roman" w:cs="Times New Roman"/>
                <w:b w:val="0"/>
                <w:bCs w:val="0"/>
                <w:color w:val="auto"/>
                <w:lang w:val="en-US" w:eastAsia="zh-CN"/>
              </w:rPr>
              <w:t>后由布袋除尘器处理后经过24米排气筒（DA002）排放</w:t>
            </w:r>
            <w:r>
              <w:rPr>
                <w:rFonts w:hint="eastAsia" w:ascii="Times New Roman" w:hAnsi="Times New Roman" w:cs="Times New Roman"/>
                <w:b w:val="0"/>
                <w:bCs w:val="0"/>
                <w:color w:val="auto"/>
                <w:lang w:eastAsia="zh-CN"/>
              </w:rPr>
              <w:t>。</w:t>
            </w:r>
            <w:r>
              <w:rPr>
                <w:rFonts w:hint="default" w:ascii="Times New Roman" w:hAnsi="Times New Roman" w:cs="Times New Roman"/>
                <w:b w:val="0"/>
                <w:bCs w:val="0"/>
                <w:color w:val="auto"/>
              </w:rPr>
              <w:t>收集</w:t>
            </w:r>
            <w:r>
              <w:rPr>
                <w:rFonts w:hint="eastAsia" w:ascii="Times New Roman" w:hAnsi="Times New Roman" w:cs="Times New Roman"/>
                <w:b w:val="0"/>
                <w:bCs w:val="0"/>
                <w:color w:val="auto"/>
                <w:lang w:val="en-US" w:eastAsia="zh-CN"/>
              </w:rPr>
              <w:t>效率</w:t>
            </w:r>
            <w:r>
              <w:rPr>
                <w:rFonts w:hint="default" w:ascii="Times New Roman" w:hAnsi="Times New Roman" w:cs="Times New Roman"/>
                <w:b w:val="0"/>
                <w:bCs w:val="0"/>
                <w:color w:val="auto"/>
              </w:rPr>
              <w:t>取98%，喷</w:t>
            </w:r>
            <w:r>
              <w:rPr>
                <w:rFonts w:hint="eastAsia" w:ascii="Times New Roman" w:hAnsi="Times New Roman" w:cs="Times New Roman"/>
                <w:b w:val="0"/>
                <w:bCs w:val="0"/>
                <w:color w:val="auto"/>
                <w:lang w:val="en-US" w:eastAsia="zh-CN"/>
              </w:rPr>
              <w:t>砂</w:t>
            </w:r>
            <w:r>
              <w:rPr>
                <w:rFonts w:hint="default" w:ascii="Times New Roman" w:hAnsi="Times New Roman" w:cs="Times New Roman"/>
                <w:b w:val="0"/>
                <w:bCs w:val="0"/>
                <w:color w:val="auto"/>
              </w:rPr>
              <w:t>房换气次数</w:t>
            </w:r>
            <w:r>
              <w:rPr>
                <w:rFonts w:hint="eastAsia" w:ascii="Times New Roman" w:hAnsi="Times New Roman" w:cs="Times New Roman"/>
                <w:b w:val="0"/>
                <w:bCs w:val="0"/>
                <w:color w:val="auto"/>
                <w:lang w:val="en-US" w:eastAsia="zh-CN"/>
              </w:rPr>
              <w:t>取2</w:t>
            </w:r>
            <w:r>
              <w:rPr>
                <w:rFonts w:hint="default" w:ascii="Times New Roman" w:hAnsi="Times New Roman" w:cs="Times New Roman"/>
                <w:b w:val="0"/>
                <w:bCs w:val="0"/>
                <w:color w:val="auto"/>
              </w:rPr>
              <w:t>0次/h，喷</w:t>
            </w:r>
            <w:r>
              <w:rPr>
                <w:rFonts w:hint="eastAsia" w:ascii="Times New Roman" w:hAnsi="Times New Roman" w:cs="Times New Roman"/>
                <w:b w:val="0"/>
                <w:bCs w:val="0"/>
                <w:color w:val="auto"/>
                <w:lang w:val="en-US" w:eastAsia="zh-CN"/>
              </w:rPr>
              <w:t>砂</w:t>
            </w:r>
            <w:r>
              <w:rPr>
                <w:rFonts w:hint="default" w:ascii="Times New Roman" w:hAnsi="Times New Roman" w:cs="Times New Roman"/>
                <w:b w:val="0"/>
                <w:bCs w:val="0"/>
                <w:color w:val="auto"/>
              </w:rPr>
              <w:t>房所需风量</w:t>
            </w:r>
            <w:r>
              <w:rPr>
                <w:rFonts w:hint="eastAsia" w:ascii="Times New Roman" w:hAnsi="Times New Roman" w:cs="Times New Roman"/>
                <w:b w:val="0"/>
                <w:bCs w:val="0"/>
                <w:color w:val="auto"/>
                <w:lang w:val="en-US" w:eastAsia="zh-CN"/>
              </w:rPr>
              <w:t>960</w:t>
            </w:r>
            <w:r>
              <w:rPr>
                <w:rFonts w:hint="default" w:ascii="Times New Roman" w:hAnsi="Times New Roman" w:cs="Times New Roman"/>
                <w:b w:val="0"/>
                <w:bCs w:val="0"/>
                <w:color w:val="auto"/>
              </w:rPr>
              <w:t>0m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/h</w:t>
            </w:r>
            <w:r>
              <w:rPr>
                <w:rFonts w:hint="eastAsia"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设计风机风量</w:t>
            </w:r>
            <w:r>
              <w:rPr>
                <w:rFonts w:hint="eastAsia" w:ascii="Times New Roman" w:hAnsi="Times New Roman" w:cs="Times New Roman"/>
                <w:b w:val="0"/>
                <w:bCs w:val="0"/>
                <w:color w:val="auto"/>
                <w:highlight w:val="none"/>
                <w:lang w:val="en-US" w:eastAsia="zh-CN"/>
              </w:rPr>
              <w:t>取10</w:t>
            </w:r>
            <w:r>
              <w:rPr>
                <w:rFonts w:hint="default" w:ascii="Times New Roman" w:hAnsi="Times New Roman" w:cs="Times New Roman"/>
                <w:b w:val="0"/>
                <w:bCs w:val="0"/>
                <w:color w:val="auto"/>
                <w:highlight w:val="none"/>
              </w:rPr>
              <w:t>000m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/h。项目喷</w:t>
            </w:r>
            <w:r>
              <w:rPr>
                <w:rFonts w:hint="eastAsia" w:ascii="Times New Roman" w:hAnsi="Times New Roman" w:cs="Times New Roman"/>
                <w:b w:val="0"/>
                <w:bCs w:val="0"/>
                <w:color w:val="auto"/>
                <w:highlight w:val="none"/>
                <w:lang w:val="en-US" w:eastAsia="zh-CN"/>
              </w:rPr>
              <w:t>砂房</w:t>
            </w:r>
            <w:r>
              <w:rPr>
                <w:rFonts w:hint="default" w:ascii="Times New Roman" w:hAnsi="Times New Roman" w:cs="Times New Roman"/>
                <w:b w:val="0"/>
                <w:bCs w:val="0"/>
                <w:color w:val="auto"/>
                <w:highlight w:val="none"/>
              </w:rPr>
              <w:t>每天工作8h，每年工作300天。</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处理效率</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参考</w:t>
            </w:r>
            <w:r>
              <w:rPr>
                <w:rFonts w:hint="default" w:ascii="Times New Roman" w:hAnsi="Times New Roman" w:cs="Times New Roman"/>
                <w:color w:val="000000" w:themeColor="text1"/>
                <w:sz w:val="24"/>
                <w:szCs w:val="24"/>
                <w:highlight w:val="none"/>
                <w:lang w:val="en-GB"/>
                <w14:textFill>
                  <w14:solidFill>
                    <w14:schemeClr w14:val="tx1"/>
                  </w14:solidFill>
                </w14:textFill>
              </w:rPr>
              <w:t>《排放源统计调查产排污核算方法和系数手册》（生态环境部办公厅2021 年6月11日印发）中《机械行业系数手册》</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下料</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工序的末端治理技术名称</w:t>
            </w:r>
            <w:r>
              <w:rPr>
                <w:rFonts w:hint="eastAsia" w:ascii="Times New Roman" w:hAnsi="Times New Roman" w:cs="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袋式除尘</w:t>
            </w:r>
            <w:r>
              <w:rPr>
                <w:rFonts w:hint="eastAsia" w:ascii="Times New Roman" w:hAnsi="Times New Roman" w:cs="Times New Roman"/>
                <w:color w:val="000000" w:themeColor="text1"/>
                <w:sz w:val="24"/>
                <w:szCs w:val="24"/>
                <w:highlight w:val="none"/>
                <w:lang w:val="en-GB"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以95%计</w:t>
            </w:r>
            <w:r>
              <w:rPr>
                <w:rFonts w:hint="eastAsia" w:ascii="Times New Roman" w:hAnsi="Times New Roman" w:cs="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计算可知喷砂过程</w:t>
            </w:r>
            <w:r>
              <w:rPr>
                <w:rFonts w:hint="eastAsia" w:ascii="Times New Roman" w:hAnsi="Times New Roman" w:cs="Times New Roman"/>
                <w:b w:val="0"/>
                <w:bCs w:val="0"/>
                <w:color w:val="auto"/>
                <w:szCs w:val="28"/>
                <w:lang w:val="en-US" w:eastAsia="zh-CN"/>
              </w:rPr>
              <w:t>无组织排放量0.022</w:t>
            </w:r>
            <w:r>
              <w:rPr>
                <w:rFonts w:hint="default" w:ascii="Times New Roman" w:hAnsi="Times New Roman" w:cs="Times New Roman"/>
                <w:b w:val="0"/>
                <w:bCs w:val="0"/>
                <w:color w:val="auto"/>
                <w:szCs w:val="28"/>
              </w:rPr>
              <w:t>t/a</w:t>
            </w:r>
            <w:r>
              <w:rPr>
                <w:rFonts w:hint="eastAsia" w:ascii="Times New Roman" w:hAnsi="Times New Roman" w:cs="Times New Roman"/>
                <w:b w:val="0"/>
                <w:bCs w:val="0"/>
                <w:szCs w:val="21"/>
                <w:highlight w:val="none"/>
                <w:vertAlign w:val="baseline"/>
                <w:lang w:eastAsia="zh-CN"/>
              </w:rPr>
              <w:t>，</w:t>
            </w:r>
            <w:r>
              <w:rPr>
                <w:rFonts w:hint="default" w:ascii="Times New Roman" w:hAnsi="Times New Roman" w:cs="Times New Roman"/>
                <w:b w:val="0"/>
                <w:bCs w:val="0"/>
                <w:color w:val="auto"/>
                <w:szCs w:val="28"/>
              </w:rPr>
              <w:t>有组织</w:t>
            </w:r>
            <w:r>
              <w:rPr>
                <w:rFonts w:hint="eastAsia" w:ascii="Times New Roman" w:hAnsi="Times New Roman" w:cs="Times New Roman"/>
                <w:b w:val="0"/>
                <w:bCs w:val="0"/>
                <w:color w:val="auto"/>
                <w:szCs w:val="28"/>
                <w:lang w:val="en-US" w:eastAsia="zh-CN"/>
              </w:rPr>
              <w:t>排放</w:t>
            </w:r>
            <w:r>
              <w:rPr>
                <w:rFonts w:hint="default" w:ascii="Times New Roman" w:hAnsi="Times New Roman" w:cs="Times New Roman"/>
                <w:b w:val="0"/>
                <w:bCs w:val="0"/>
                <w:color w:val="auto"/>
                <w:szCs w:val="28"/>
              </w:rPr>
              <w:t>量为</w:t>
            </w:r>
            <w:r>
              <w:rPr>
                <w:rFonts w:hint="eastAsia" w:ascii="Times New Roman" w:hAnsi="Times New Roman" w:cs="Times New Roman"/>
                <w:b w:val="0"/>
                <w:bCs w:val="0"/>
                <w:color w:val="auto"/>
                <w:szCs w:val="28"/>
                <w:lang w:val="en-US" w:eastAsia="zh-CN"/>
              </w:rPr>
              <w:t>0.054</w:t>
            </w:r>
            <w:r>
              <w:rPr>
                <w:rFonts w:hint="default" w:ascii="Times New Roman" w:hAnsi="Times New Roman" w:cs="Times New Roman"/>
                <w:b w:val="0"/>
                <w:bCs w:val="0"/>
                <w:color w:val="auto"/>
                <w:szCs w:val="28"/>
              </w:rPr>
              <w:t>t/a</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排放浓度为2.24mg/m</w:t>
            </w:r>
            <w:r>
              <w:rPr>
                <w:rFonts w:hint="eastAsia" w:ascii="Times New Roman" w:hAnsi="Times New Roman" w:cs="Times New Roman"/>
                <w:b w:val="0"/>
                <w:bCs w:val="0"/>
                <w:color w:val="auto"/>
                <w:szCs w:val="28"/>
                <w:vertAlign w:val="superscript"/>
                <w:lang w:val="en-US" w:eastAsia="zh-CN"/>
              </w:rPr>
              <w:t>3</w:t>
            </w:r>
            <w:r>
              <w:rPr>
                <w:rFonts w:hint="eastAsia" w:ascii="Times New Roman" w:hAnsi="Times New Roman" w:cs="Times New Roman"/>
                <w:b w:val="0"/>
                <w:bCs w:val="0"/>
                <w:color w:val="auto"/>
                <w:szCs w:val="28"/>
                <w:lang w:val="en-US" w:eastAsia="zh-CN"/>
              </w:rPr>
              <w:t>，排放速率为0.022kg/h</w:t>
            </w:r>
            <w:r>
              <w:rPr>
                <w:rFonts w:hint="eastAsia" w:ascii="Times New Roman" w:hAnsi="Times New Roman" w:cs="Times New Roman"/>
                <w:b w:val="0"/>
                <w:bCs w:val="0"/>
                <w:color w:val="auto"/>
                <w:lang w:eastAsia="zh-CN"/>
              </w:rPr>
              <w:t>。</w:t>
            </w:r>
          </w:p>
          <w:p w14:paraId="4BEC8C19">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cs="Times New Roman"/>
                <w:b w:val="0"/>
                <w:bCs w:val="0"/>
                <w:color w:val="auto"/>
                <w:highlight w:val="none"/>
                <w:lang w:val="en-US" w:eastAsia="zh-CN"/>
              </w:rPr>
              <w:t>喷漆废气（含喷枪清洗、调漆、晾干）</w:t>
            </w:r>
          </w:p>
          <w:p w14:paraId="13E048C0">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s="Times New Roman"/>
                <w:b w:val="0"/>
                <w:bCs w:val="0"/>
                <w:sz w:val="24"/>
                <w:lang w:val="en-US" w:eastAsia="zh-CN"/>
              </w:rPr>
            </w:pPr>
            <w:r>
              <w:rPr>
                <w:rFonts w:hint="default" w:ascii="Times New Roman" w:hAnsi="Times New Roman" w:cs="Times New Roman"/>
                <w:b w:val="0"/>
                <w:bCs w:val="0"/>
                <w:color w:val="auto"/>
              </w:rPr>
              <w:t>建设单位</w:t>
            </w:r>
            <w:r>
              <w:rPr>
                <w:rFonts w:hint="eastAsia" w:ascii="Times New Roman" w:hAnsi="Times New Roman" w:cs="Times New Roman"/>
                <w:b w:val="0"/>
                <w:bCs w:val="0"/>
                <w:color w:val="auto"/>
                <w:lang w:val="en-US" w:eastAsia="zh-CN"/>
              </w:rPr>
              <w:t>新建</w:t>
            </w:r>
            <w:r>
              <w:rPr>
                <w:rFonts w:hint="default" w:ascii="Times New Roman" w:hAnsi="Times New Roman" w:cs="Times New Roman"/>
                <w:b w:val="0"/>
                <w:bCs w:val="0"/>
                <w:color w:val="auto"/>
              </w:rPr>
              <w:t>1个密闭式喷</w:t>
            </w:r>
            <w:r>
              <w:rPr>
                <w:rFonts w:hint="eastAsia" w:cs="Times New Roman"/>
                <w:b w:val="0"/>
                <w:bCs w:val="0"/>
                <w:color w:val="auto"/>
                <w:lang w:val="en-US" w:eastAsia="zh-CN"/>
              </w:rPr>
              <w:t>漆</w:t>
            </w:r>
            <w:r>
              <w:rPr>
                <w:rFonts w:hint="default" w:ascii="Times New Roman" w:hAnsi="Times New Roman" w:cs="Times New Roman"/>
                <w:b w:val="0"/>
                <w:bCs w:val="0"/>
                <w:color w:val="auto"/>
              </w:rPr>
              <w:t>房（</w:t>
            </w:r>
            <w:r>
              <w:rPr>
                <w:rFonts w:hint="default" w:ascii="Times New Roman" w:hAnsi="Times New Roman" w:cs="Times New Roman"/>
                <w:b w:val="0"/>
                <w:bCs w:val="0"/>
                <w:color w:val="auto"/>
                <w:lang w:val="en-US" w:eastAsia="zh-CN"/>
              </w:rPr>
              <w:t>10</w:t>
            </w:r>
            <w:r>
              <w:rPr>
                <w:rFonts w:hint="default" w:ascii="Times New Roman" w:hAnsi="Times New Roman" w:cs="Times New Roman"/>
                <w:b w:val="0"/>
                <w:bCs w:val="0"/>
                <w:color w:val="auto"/>
              </w:rPr>
              <w:t>m×</w:t>
            </w:r>
            <w:r>
              <w:rPr>
                <w:rFonts w:hint="default" w:ascii="Times New Roman" w:hAnsi="Times New Roman" w:cs="Times New Roman"/>
                <w:b w:val="0"/>
                <w:bCs w:val="0"/>
                <w:color w:val="auto"/>
                <w:lang w:val="en-US" w:eastAsia="zh-CN"/>
              </w:rPr>
              <w:t>8</w:t>
            </w:r>
            <w:r>
              <w:rPr>
                <w:rFonts w:hint="default" w:ascii="Times New Roman" w:hAnsi="Times New Roman" w:cs="Times New Roman"/>
                <w:b w:val="0"/>
                <w:bCs w:val="0"/>
                <w:color w:val="auto"/>
              </w:rPr>
              <w:t>m×</w:t>
            </w:r>
            <w:r>
              <w:rPr>
                <w:rFonts w:hint="default" w:ascii="Times New Roman" w:hAnsi="Times New Roman" w:cs="Times New Roman"/>
                <w:b w:val="0"/>
                <w:bCs w:val="0"/>
                <w:color w:val="auto"/>
                <w:lang w:val="en-US" w:eastAsia="zh-CN"/>
              </w:rPr>
              <w:t>6</w:t>
            </w:r>
            <w:r>
              <w:rPr>
                <w:rFonts w:hint="default" w:ascii="Times New Roman" w:hAnsi="Times New Roman" w:cs="Times New Roman"/>
                <w:b w:val="0"/>
                <w:bCs w:val="0"/>
                <w:color w:val="auto"/>
              </w:rPr>
              <w:t>m），喷</w:t>
            </w:r>
            <w:r>
              <w:rPr>
                <w:rFonts w:hint="eastAsia" w:cs="Times New Roman"/>
                <w:b w:val="0"/>
                <w:bCs w:val="0"/>
                <w:color w:val="auto"/>
                <w:lang w:val="en-US" w:eastAsia="zh-CN"/>
              </w:rPr>
              <w:t>漆</w:t>
            </w:r>
            <w:r>
              <w:rPr>
                <w:rFonts w:hint="default" w:ascii="Times New Roman" w:hAnsi="Times New Roman" w:cs="Times New Roman"/>
                <w:b w:val="0"/>
                <w:bCs w:val="0"/>
                <w:color w:val="auto"/>
              </w:rPr>
              <w:t>房采用负压抽吸的方式收集废气</w:t>
            </w:r>
            <w:r>
              <w:rPr>
                <w:rFonts w:hint="eastAsia" w:ascii="Times New Roman" w:hAnsi="Times New Roman" w:cs="Times New Roman"/>
                <w:b w:val="0"/>
                <w:bCs w:val="0"/>
                <w:color w:val="auto"/>
                <w:lang w:eastAsia="zh-CN"/>
              </w:rPr>
              <w:t>，</w:t>
            </w:r>
            <w:r>
              <w:rPr>
                <w:rFonts w:hint="default" w:ascii="Times New Roman" w:hAnsi="Times New Roman" w:cs="Times New Roman"/>
                <w:b w:val="0"/>
                <w:bCs w:val="0"/>
                <w:color w:val="auto"/>
              </w:rPr>
              <w:t>换气次数为</w:t>
            </w:r>
            <w:r>
              <w:rPr>
                <w:rFonts w:hint="eastAsia" w:ascii="Times New Roman" w:hAnsi="Times New Roman" w:cs="Times New Roman"/>
                <w:b w:val="0"/>
                <w:bCs w:val="0"/>
                <w:color w:val="auto"/>
                <w:lang w:val="en-US" w:eastAsia="zh-CN"/>
              </w:rPr>
              <w:t>3</w:t>
            </w:r>
            <w:r>
              <w:rPr>
                <w:rFonts w:hint="default" w:ascii="Times New Roman" w:hAnsi="Times New Roman" w:cs="Times New Roman"/>
                <w:b w:val="0"/>
                <w:bCs w:val="0"/>
                <w:color w:val="auto"/>
              </w:rPr>
              <w:t>0次/h，喷</w:t>
            </w:r>
            <w:r>
              <w:rPr>
                <w:rFonts w:hint="eastAsia" w:cs="Times New Roman"/>
                <w:b w:val="0"/>
                <w:bCs w:val="0"/>
                <w:color w:val="auto"/>
                <w:lang w:val="en-US" w:eastAsia="zh-CN"/>
              </w:rPr>
              <w:t>漆</w:t>
            </w:r>
            <w:r>
              <w:rPr>
                <w:rFonts w:hint="default" w:ascii="Times New Roman" w:hAnsi="Times New Roman" w:cs="Times New Roman"/>
                <w:b w:val="0"/>
                <w:bCs w:val="0"/>
                <w:color w:val="auto"/>
              </w:rPr>
              <w:t>房所需风量1</w:t>
            </w:r>
            <w:r>
              <w:rPr>
                <w:rFonts w:hint="eastAsia" w:ascii="Times New Roman" w:hAnsi="Times New Roman" w:cs="Times New Roman"/>
                <w:b w:val="0"/>
                <w:bCs w:val="0"/>
                <w:color w:val="auto"/>
                <w:lang w:val="en-US" w:eastAsia="zh-CN"/>
              </w:rPr>
              <w:t>440</w:t>
            </w:r>
            <w:r>
              <w:rPr>
                <w:rFonts w:hint="default" w:ascii="Times New Roman" w:hAnsi="Times New Roman" w:cs="Times New Roman"/>
                <w:b w:val="0"/>
                <w:bCs w:val="0"/>
                <w:color w:val="auto"/>
              </w:rPr>
              <w:t>0m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/h</w:t>
            </w:r>
            <w:r>
              <w:rPr>
                <w:rFonts w:hint="eastAsia"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设计风机风量</w:t>
            </w:r>
            <w:r>
              <w:rPr>
                <w:rFonts w:hint="eastAsia" w:ascii="Times New Roman" w:hAnsi="Times New Roman" w:cs="Times New Roman"/>
                <w:b w:val="0"/>
                <w:bCs w:val="0"/>
                <w:color w:val="auto"/>
                <w:highlight w:val="none"/>
                <w:lang w:val="en-US" w:eastAsia="zh-CN"/>
              </w:rPr>
              <w:t>取15</w:t>
            </w:r>
            <w:r>
              <w:rPr>
                <w:rFonts w:hint="default" w:ascii="Times New Roman" w:hAnsi="Times New Roman" w:cs="Times New Roman"/>
                <w:b w:val="0"/>
                <w:bCs w:val="0"/>
                <w:color w:val="auto"/>
                <w:highlight w:val="none"/>
              </w:rPr>
              <w:t>000m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/h。项目喷</w:t>
            </w:r>
            <w:r>
              <w:rPr>
                <w:rFonts w:hint="eastAsia" w:cs="Times New Roman"/>
                <w:b w:val="0"/>
                <w:bCs w:val="0"/>
                <w:color w:val="auto"/>
                <w:highlight w:val="none"/>
                <w:lang w:val="en-US" w:eastAsia="zh-CN"/>
              </w:rPr>
              <w:t>漆</w:t>
            </w:r>
            <w:r>
              <w:rPr>
                <w:rFonts w:hint="eastAsia" w:ascii="Times New Roman" w:hAnsi="Times New Roman" w:cs="Times New Roman"/>
                <w:b w:val="0"/>
                <w:bCs w:val="0"/>
                <w:color w:val="auto"/>
                <w:highlight w:val="none"/>
                <w:lang w:val="en-US" w:eastAsia="zh-CN"/>
              </w:rPr>
              <w:t>房</w:t>
            </w:r>
            <w:r>
              <w:rPr>
                <w:rFonts w:hint="default" w:ascii="Times New Roman" w:hAnsi="Times New Roman" w:cs="Times New Roman"/>
                <w:b w:val="0"/>
                <w:bCs w:val="0"/>
                <w:color w:val="auto"/>
                <w:highlight w:val="none"/>
              </w:rPr>
              <w:t>每天工作8h，每年工作300天。</w:t>
            </w:r>
            <w:r>
              <w:rPr>
                <w:rFonts w:hint="eastAsia" w:ascii="Times New Roman" w:hAnsi="Times New Roman" w:cs="Times New Roman"/>
                <w:b w:val="0"/>
                <w:bCs w:val="0"/>
                <w:color w:val="auto"/>
                <w:highlight w:val="none"/>
                <w:lang w:val="en-US" w:eastAsia="zh-CN"/>
              </w:rPr>
              <w:t>建设单位喷漆前的准备工作，包括调漆、喷枪清洗以及</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喷漆晾干、浇注固化及</w:t>
            </w:r>
            <w:r>
              <w:rPr>
                <w:rFonts w:hint="eastAsia" w:cs="Times New Roman"/>
                <w:b w:val="0"/>
                <w:bCs w:val="0"/>
                <w:sz w:val="24"/>
                <w:highlight w:val="none"/>
                <w:lang w:val="en-US" w:eastAsia="zh-CN"/>
              </w:rPr>
              <w:t>烘干均在喷漆房内进行。</w:t>
            </w:r>
          </w:p>
          <w:p w14:paraId="5199FAE2">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2"/>
                <w:sz w:val="24"/>
                <w:szCs w:val="24"/>
                <w:lang w:val="en-US" w:eastAsia="zh-CN" w:bidi="ar-SA"/>
              </w:rPr>
            </w:pPr>
            <w:r>
              <w:rPr>
                <w:rFonts w:hint="eastAsia" w:ascii="Times New Roman" w:hAnsi="Times New Roman" w:cs="Times New Roman"/>
                <w:color w:val="000000" w:themeColor="text1"/>
                <w:sz w:val="24"/>
                <w:szCs w:val="24"/>
                <w:lang w:val="en-US" w:eastAsia="zh-CN"/>
                <w14:textFill>
                  <w14:solidFill>
                    <w14:schemeClr w14:val="tx1"/>
                  </w14:solidFill>
                </w14:textFill>
              </w:rPr>
              <w:t>根据漆量平衡，</w:t>
            </w:r>
            <w:r>
              <w:rPr>
                <w:rFonts w:hint="eastAsia" w:ascii="Times New Roman" w:hAnsi="Times New Roman" w:eastAsia="宋体" w:cs="Times New Roman"/>
                <w:color w:val="auto"/>
                <w:kern w:val="2"/>
                <w:sz w:val="24"/>
                <w:szCs w:val="24"/>
                <w:lang w:val="en-US" w:eastAsia="zh-CN" w:bidi="ar-SA"/>
              </w:rPr>
              <w:t>油</w:t>
            </w:r>
            <w:r>
              <w:rPr>
                <w:rFonts w:hint="default" w:ascii="Times New Roman" w:hAnsi="Times New Roman" w:eastAsia="宋体" w:cs="Times New Roman"/>
                <w:color w:val="auto"/>
                <w:kern w:val="2"/>
                <w:sz w:val="24"/>
                <w:szCs w:val="24"/>
                <w:lang w:val="en-US" w:eastAsia="zh-CN" w:bidi="ar-SA"/>
              </w:rPr>
              <w:t>性漆</w:t>
            </w:r>
            <w:r>
              <w:rPr>
                <w:rFonts w:hint="default" w:ascii="Times New Roman" w:hAnsi="Times New Roman" w:cs="Times New Roman"/>
                <w:color w:val="auto"/>
                <w:kern w:val="2"/>
                <w:sz w:val="24"/>
                <w:szCs w:val="24"/>
                <w:lang w:val="en-US" w:eastAsia="zh-CN" w:bidi="ar-SA"/>
              </w:rPr>
              <w:t>固体分</w:t>
            </w:r>
            <w:r>
              <w:rPr>
                <w:rFonts w:hint="default" w:ascii="Times New Roman" w:hAnsi="Times New Roman" w:eastAsia="宋体" w:cs="Times New Roman"/>
                <w:color w:val="auto"/>
                <w:kern w:val="2"/>
                <w:sz w:val="24"/>
                <w:szCs w:val="24"/>
                <w:lang w:val="en-US" w:eastAsia="zh-CN" w:bidi="ar-SA"/>
              </w:rPr>
              <w:t>利用率为</w:t>
            </w:r>
            <w:r>
              <w:rPr>
                <w:rFonts w:hint="eastAsia" w:ascii="Times New Roman" w:hAnsi="Times New Roman" w:cs="Times New Roman"/>
                <w:color w:val="auto"/>
                <w:kern w:val="2"/>
                <w:sz w:val="24"/>
                <w:szCs w:val="24"/>
                <w:lang w:val="en-US" w:eastAsia="zh-CN" w:bidi="ar-SA"/>
              </w:rPr>
              <w:t>60</w:t>
            </w:r>
            <w:r>
              <w:rPr>
                <w:rFonts w:hint="default" w:ascii="Times New Roman" w:hAnsi="Times New Roman" w:eastAsia="宋体" w:cs="Times New Roman"/>
                <w:color w:val="auto"/>
                <w:kern w:val="2"/>
                <w:sz w:val="24"/>
                <w:szCs w:val="24"/>
                <w:lang w:val="en-US" w:eastAsia="zh-CN" w:bidi="ar-SA"/>
              </w:rPr>
              <w:t>%，即喷漆过程</w:t>
            </w:r>
            <w:r>
              <w:rPr>
                <w:rFonts w:hint="eastAsia" w:ascii="Times New Roman" w:hAnsi="Times New Roman" w:cs="Times New Roman"/>
                <w:color w:val="auto"/>
                <w:kern w:val="2"/>
                <w:sz w:val="24"/>
                <w:szCs w:val="24"/>
                <w:lang w:val="en-US" w:eastAsia="zh-CN" w:bidi="ar-SA"/>
              </w:rPr>
              <w:t>60</w:t>
            </w:r>
            <w:r>
              <w:rPr>
                <w:rFonts w:hint="default" w:ascii="Times New Roman" w:hAnsi="Times New Roman" w:eastAsia="宋体" w:cs="Times New Roman"/>
                <w:color w:val="auto"/>
                <w:kern w:val="2"/>
                <w:sz w:val="24"/>
                <w:szCs w:val="24"/>
                <w:lang w:val="en-US" w:eastAsia="zh-CN" w:bidi="ar-SA"/>
              </w:rPr>
              <w:t>%固态组份覆盖在产品外表面成为涂层，</w:t>
            </w:r>
            <w:r>
              <w:rPr>
                <w:rFonts w:hint="eastAsia" w:ascii="Times New Roman" w:hAnsi="Times New Roman" w:cs="Times New Roman"/>
                <w:color w:val="auto"/>
                <w:kern w:val="2"/>
                <w:sz w:val="24"/>
                <w:szCs w:val="24"/>
                <w:lang w:val="en-US" w:eastAsia="zh-CN" w:bidi="ar-SA"/>
              </w:rPr>
              <w:t>40</w:t>
            </w:r>
            <w:r>
              <w:rPr>
                <w:rFonts w:hint="default" w:ascii="Times New Roman" w:hAnsi="Times New Roman" w:eastAsia="宋体" w:cs="Times New Roman"/>
                <w:color w:val="auto"/>
                <w:kern w:val="2"/>
                <w:sz w:val="24"/>
                <w:szCs w:val="24"/>
                <w:lang w:val="en-US" w:eastAsia="zh-CN" w:bidi="ar-SA"/>
              </w:rPr>
              <w:t>%固态组份在喷涂过程中损耗，损耗中</w:t>
            </w:r>
            <w:r>
              <w:rPr>
                <w:rFonts w:hint="eastAsia" w:ascii="Times New Roman" w:hAnsi="Times New Roman" w:cs="Times New Roman"/>
                <w:color w:val="auto"/>
                <w:kern w:val="2"/>
                <w:sz w:val="24"/>
                <w:szCs w:val="24"/>
                <w:lang w:val="en-US" w:eastAsia="zh-CN" w:bidi="ar-SA"/>
              </w:rPr>
              <w:t>10</w:t>
            </w:r>
            <w:r>
              <w:rPr>
                <w:rFonts w:hint="default" w:ascii="Times New Roman" w:hAnsi="Times New Roman" w:eastAsia="宋体" w:cs="Times New Roman"/>
                <w:color w:val="auto"/>
                <w:kern w:val="2"/>
                <w:sz w:val="24"/>
                <w:szCs w:val="24"/>
                <w:lang w:val="en-US" w:eastAsia="zh-CN" w:bidi="ar-SA"/>
              </w:rPr>
              <w:t>%固态组份作为漆渣沉降地面，</w:t>
            </w:r>
            <w:r>
              <w:rPr>
                <w:rFonts w:hint="eastAsia" w:ascii="Times New Roman" w:hAnsi="Times New Roman" w:cs="Times New Roman"/>
                <w:color w:val="auto"/>
                <w:kern w:val="2"/>
                <w:sz w:val="24"/>
                <w:szCs w:val="24"/>
                <w:lang w:val="en-US" w:eastAsia="zh-CN" w:bidi="ar-SA"/>
              </w:rPr>
              <w:t>3</w:t>
            </w:r>
            <w:r>
              <w:rPr>
                <w:rFonts w:hint="default" w:ascii="Times New Roman" w:hAnsi="Times New Roman" w:cs="Times New Roman"/>
                <w:color w:val="auto"/>
                <w:kern w:val="2"/>
                <w:sz w:val="24"/>
                <w:szCs w:val="24"/>
                <w:lang w:val="en-US" w:eastAsia="zh-CN" w:bidi="ar-SA"/>
              </w:rPr>
              <w:t>0</w:t>
            </w:r>
            <w:r>
              <w:rPr>
                <w:rFonts w:hint="default" w:ascii="Times New Roman" w:hAnsi="Times New Roman" w:eastAsia="宋体" w:cs="Times New Roman"/>
                <w:color w:val="auto"/>
                <w:kern w:val="2"/>
                <w:sz w:val="24"/>
                <w:szCs w:val="24"/>
                <w:lang w:val="en-US" w:eastAsia="zh-CN" w:bidi="ar-SA"/>
              </w:rPr>
              <w:t>%固态组份作为漆雾颗粒物</w:t>
            </w:r>
            <w:r>
              <w:rPr>
                <w:rFonts w:hint="eastAsia" w:ascii="Times New Roman" w:hAnsi="Times New Roman" w:cs="Times New Roman"/>
                <w:color w:val="auto"/>
                <w:kern w:val="2"/>
                <w:sz w:val="24"/>
                <w:szCs w:val="24"/>
                <w:lang w:val="en-US" w:eastAsia="zh-CN" w:bidi="ar-SA"/>
              </w:rPr>
              <w:t>被</w:t>
            </w:r>
            <w:r>
              <w:rPr>
                <w:rFonts w:hint="default" w:ascii="Times New Roman" w:hAnsi="Times New Roman" w:eastAsia="宋体" w:cs="Times New Roman"/>
                <w:color w:val="auto"/>
                <w:kern w:val="2"/>
                <w:sz w:val="24"/>
                <w:szCs w:val="24"/>
                <w:lang w:val="en-US" w:eastAsia="zh-CN" w:bidi="ar-SA"/>
              </w:rPr>
              <w:t>有组织收集。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本次按最不利因素考虑</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有机废气在</w:t>
            </w:r>
            <w:r>
              <w:rPr>
                <w:rFonts w:hint="eastAsia" w:ascii="Times New Roman" w:hAnsi="Times New Roman" w:cs="Times New Roman"/>
                <w:color w:val="auto"/>
                <w:kern w:val="2"/>
                <w:sz w:val="24"/>
                <w:szCs w:val="24"/>
                <w:lang w:val="en-US" w:eastAsia="zh-CN" w:bidi="ar-SA"/>
              </w:rPr>
              <w:t>调漆、</w:t>
            </w:r>
            <w:r>
              <w:rPr>
                <w:rFonts w:hint="default" w:ascii="Times New Roman" w:hAnsi="Times New Roman" w:eastAsia="宋体" w:cs="Times New Roman"/>
                <w:color w:val="auto"/>
                <w:kern w:val="2"/>
                <w:sz w:val="24"/>
                <w:szCs w:val="24"/>
                <w:lang w:val="en-US" w:eastAsia="zh-CN" w:bidi="ar-SA"/>
              </w:rPr>
              <w:t>喷漆</w:t>
            </w:r>
            <w:r>
              <w:rPr>
                <w:rFonts w:hint="eastAsia" w:ascii="Times New Roman" w:hAnsi="Times New Roman" w:cs="Times New Roman"/>
                <w:color w:val="auto"/>
                <w:kern w:val="2"/>
                <w:sz w:val="24"/>
                <w:szCs w:val="24"/>
                <w:lang w:val="en-US" w:eastAsia="zh-CN" w:bidi="ar-SA"/>
              </w:rPr>
              <w:t>及</w:t>
            </w:r>
            <w:r>
              <w:rPr>
                <w:rFonts w:hint="default" w:ascii="Times New Roman" w:hAnsi="Times New Roman" w:eastAsia="宋体" w:cs="Times New Roman"/>
                <w:color w:val="auto"/>
                <w:kern w:val="2"/>
                <w:sz w:val="24"/>
                <w:szCs w:val="24"/>
                <w:lang w:val="en-US" w:eastAsia="zh-CN" w:bidi="ar-SA"/>
              </w:rPr>
              <w:t>晾干过程中</w:t>
            </w:r>
            <w:r>
              <w:rPr>
                <w:rFonts w:hint="eastAsia" w:ascii="Times New Roman" w:hAnsi="Times New Roman" w:cs="Times New Roman"/>
                <w:color w:val="auto"/>
                <w:kern w:val="2"/>
                <w:sz w:val="24"/>
                <w:szCs w:val="24"/>
                <w:lang w:val="en-US" w:eastAsia="zh-CN" w:bidi="ar-SA"/>
              </w:rPr>
              <w:t>全部</w:t>
            </w:r>
            <w:r>
              <w:rPr>
                <w:rFonts w:hint="default" w:ascii="Times New Roman" w:hAnsi="Times New Roman" w:eastAsia="宋体" w:cs="Times New Roman"/>
                <w:color w:val="auto"/>
                <w:kern w:val="2"/>
                <w:sz w:val="24"/>
                <w:szCs w:val="24"/>
                <w:lang w:val="en-US" w:eastAsia="zh-CN" w:bidi="ar-SA"/>
              </w:rPr>
              <w:t>挥发</w:t>
            </w:r>
            <w:r>
              <w:rPr>
                <w:rFonts w:hint="eastAsia" w:ascii="Times New Roman" w:hAnsi="Times New Roman" w:cs="Times New Roman"/>
                <w:color w:val="auto"/>
                <w:kern w:val="2"/>
                <w:sz w:val="24"/>
                <w:szCs w:val="24"/>
                <w:lang w:val="en-US" w:eastAsia="zh-CN" w:bidi="ar-SA"/>
              </w:rPr>
              <w:t>。</w:t>
            </w:r>
          </w:p>
          <w:p w14:paraId="5DE3A699">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①底漆：本项目底漆年用量为1.98t（其中</w:t>
            </w:r>
            <w:r>
              <w:rPr>
                <w:rFonts w:hint="eastAsia" w:ascii="Times New Roman" w:hAnsi="Times New Roman" w:eastAsia="宋体" w:cs="Times New Roman"/>
                <w:color w:val="auto"/>
                <w:kern w:val="2"/>
                <w:sz w:val="24"/>
                <w:szCs w:val="24"/>
                <w:lang w:val="en-US" w:eastAsia="zh-CN" w:bidi="ar-SA"/>
              </w:rPr>
              <w:t>底漆A</w:t>
            </w: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8</w:t>
            </w:r>
            <w:r>
              <w:rPr>
                <w:rFonts w:hint="default" w:ascii="Times New Roman" w:hAnsi="Times New Roman" w:eastAsia="宋体" w:cs="Times New Roman"/>
                <w:color w:val="auto"/>
                <w:kern w:val="2"/>
                <w:sz w:val="24"/>
                <w:szCs w:val="24"/>
                <w:lang w:val="en-US" w:eastAsia="zh-CN" w:bidi="ar-SA"/>
              </w:rPr>
              <w:t>t，</w:t>
            </w:r>
            <w:r>
              <w:rPr>
                <w:rFonts w:hint="eastAsia" w:ascii="Times New Roman" w:hAnsi="Times New Roman" w:eastAsia="宋体" w:cs="Times New Roman"/>
                <w:color w:val="auto"/>
                <w:kern w:val="2"/>
                <w:sz w:val="24"/>
                <w:szCs w:val="24"/>
                <w:lang w:val="en-US" w:eastAsia="zh-CN" w:bidi="ar-SA"/>
              </w:rPr>
              <w:t>底漆B0.18t</w:t>
            </w:r>
            <w:r>
              <w:rPr>
                <w:rFonts w:hint="default" w:ascii="Times New Roman" w:hAnsi="Times New Roman" w:eastAsia="宋体" w:cs="Times New Roman"/>
                <w:color w:val="auto"/>
                <w:kern w:val="2"/>
                <w:sz w:val="24"/>
                <w:szCs w:val="24"/>
                <w:lang w:val="en-US" w:eastAsia="zh-CN" w:bidi="ar-SA"/>
              </w:rPr>
              <w:t>），根据其MSDS和漆量平衡，喷涂底漆VOC</w:t>
            </w:r>
            <w:r>
              <w:rPr>
                <w:rFonts w:hint="eastAsia" w:ascii="Times New Roman" w:hAnsi="Times New Roman" w:cs="Times New Roman"/>
                <w:color w:val="auto"/>
                <w:kern w:val="2"/>
                <w:sz w:val="24"/>
                <w:szCs w:val="24"/>
                <w:lang w:val="en-US" w:eastAsia="zh-CN" w:bidi="ar-SA"/>
              </w:rPr>
              <w:t>s</w:t>
            </w:r>
            <w:r>
              <w:rPr>
                <w:rFonts w:hint="default" w:ascii="Times New Roman" w:hAnsi="Times New Roman" w:eastAsia="宋体" w:cs="Times New Roman"/>
                <w:color w:val="auto"/>
                <w:kern w:val="2"/>
                <w:sz w:val="24"/>
                <w:szCs w:val="24"/>
                <w:lang w:val="en-US" w:eastAsia="zh-CN" w:bidi="ar-SA"/>
              </w:rPr>
              <w:t>的产生量为0.495t/a（其中二甲苯0.216t/a），漆雾颗粒的产生量为0.4455t/a。</w:t>
            </w:r>
          </w:p>
          <w:p w14:paraId="2C44D1FB">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②炉体面漆：本项目喷涂炉体使用的面漆年用量为2.1</w:t>
            </w:r>
            <w:r>
              <w:rPr>
                <w:rFonts w:hint="eastAsia" w:ascii="Times New Roman" w:hAnsi="Times New Roman" w:cs="Times New Roman"/>
                <w:color w:val="auto"/>
                <w:kern w:val="2"/>
                <w:sz w:val="24"/>
                <w:szCs w:val="24"/>
                <w:lang w:val="en-US" w:eastAsia="zh-CN" w:bidi="ar-SA"/>
              </w:rPr>
              <w:t>9</w:t>
            </w:r>
            <w:r>
              <w:rPr>
                <w:rFonts w:hint="default" w:ascii="Times New Roman" w:hAnsi="Times New Roman" w:eastAsia="宋体" w:cs="Times New Roman"/>
                <w:color w:val="auto"/>
                <w:kern w:val="2"/>
                <w:sz w:val="24"/>
                <w:szCs w:val="24"/>
                <w:lang w:val="en-US" w:eastAsia="zh-CN" w:bidi="ar-SA"/>
              </w:rPr>
              <w:t>t（其中醇酸面漆1.44t，固化剂0.36t，稀释剂0.3</w:t>
            </w:r>
            <w:r>
              <w:rPr>
                <w:rFonts w:hint="eastAsia" w:ascii="Times New Roman" w:hAnsi="Times New Roman" w:cs="Times New Roman"/>
                <w:color w:val="auto"/>
                <w:kern w:val="2"/>
                <w:sz w:val="24"/>
                <w:szCs w:val="24"/>
                <w:lang w:val="en-US" w:eastAsia="zh-CN" w:bidi="ar-SA"/>
              </w:rPr>
              <w:t>9</w:t>
            </w:r>
            <w:r>
              <w:rPr>
                <w:rFonts w:hint="default" w:ascii="Times New Roman" w:hAnsi="Times New Roman" w:eastAsia="宋体" w:cs="Times New Roman"/>
                <w:color w:val="auto"/>
                <w:kern w:val="2"/>
                <w:sz w:val="24"/>
                <w:szCs w:val="24"/>
                <w:lang w:val="en-US" w:eastAsia="zh-CN" w:bidi="ar-SA"/>
              </w:rPr>
              <w:t>t</w:t>
            </w:r>
            <w:r>
              <w:rPr>
                <w:rFonts w:hint="eastAsia" w:ascii="Times New Roman" w:hAnsi="Times New Roman" w:cs="Times New Roman"/>
                <w:color w:val="auto"/>
                <w:kern w:val="2"/>
                <w:sz w:val="24"/>
                <w:szCs w:val="24"/>
                <w:lang w:val="en-US" w:eastAsia="zh-CN" w:bidi="ar-SA"/>
              </w:rPr>
              <w:t>，稀释剂中0.03</w:t>
            </w:r>
            <w:r>
              <w:rPr>
                <w:rFonts w:hint="default" w:ascii="Times New Roman" w:hAnsi="Times New Roman" w:eastAsia="宋体" w:cs="Times New Roman"/>
                <w:color w:val="auto"/>
                <w:kern w:val="2"/>
                <w:sz w:val="24"/>
                <w:szCs w:val="24"/>
                <w:lang w:val="en-US" w:eastAsia="zh-CN" w:bidi="ar-SA"/>
              </w:rPr>
              <w:t>t</w:t>
            </w:r>
            <w:r>
              <w:rPr>
                <w:rFonts w:hint="eastAsia" w:ascii="Times New Roman" w:hAnsi="Times New Roman" w:cs="Times New Roman"/>
                <w:color w:val="auto"/>
                <w:kern w:val="2"/>
                <w:sz w:val="24"/>
                <w:szCs w:val="24"/>
                <w:lang w:val="en-US" w:eastAsia="zh-CN" w:bidi="ar-SA"/>
              </w:rPr>
              <w:t>用于喷枪清洗</w:t>
            </w:r>
            <w:r>
              <w:rPr>
                <w:rFonts w:hint="default" w:ascii="Times New Roman" w:hAnsi="Times New Roman" w:eastAsia="宋体" w:cs="Times New Roman"/>
                <w:color w:val="auto"/>
                <w:kern w:val="2"/>
                <w:sz w:val="24"/>
                <w:szCs w:val="24"/>
                <w:lang w:val="en-US" w:eastAsia="zh-CN" w:bidi="ar-SA"/>
              </w:rPr>
              <w:t>），根据其MSDS和漆量平衡，喷涂炉体面漆VOC</w:t>
            </w:r>
            <w:r>
              <w:rPr>
                <w:rFonts w:hint="eastAsia" w:ascii="Times New Roman" w:hAnsi="Times New Roman" w:cs="Times New Roman"/>
                <w:color w:val="auto"/>
                <w:kern w:val="2"/>
                <w:sz w:val="24"/>
                <w:szCs w:val="24"/>
                <w:lang w:val="en-US" w:eastAsia="zh-CN" w:bidi="ar-SA"/>
              </w:rPr>
              <w:t>s</w:t>
            </w:r>
            <w:r>
              <w:rPr>
                <w:rFonts w:hint="default" w:ascii="Times New Roman" w:hAnsi="Times New Roman" w:eastAsia="宋体" w:cs="Times New Roman"/>
                <w:color w:val="auto"/>
                <w:kern w:val="2"/>
                <w:sz w:val="24"/>
                <w:szCs w:val="24"/>
                <w:lang w:val="en-US" w:eastAsia="zh-CN" w:bidi="ar-SA"/>
              </w:rPr>
              <w:t>的产生量为0.7</w:t>
            </w:r>
            <w:r>
              <w:rPr>
                <w:rFonts w:hint="eastAsia" w:ascii="Times New Roman" w:hAnsi="Times New Roman"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28t/a（其中二甲苯0.1</w:t>
            </w:r>
            <w:r>
              <w:rPr>
                <w:rFonts w:hint="eastAsia" w:ascii="Times New Roman" w:hAnsi="Times New Roman" w:cs="Times New Roman"/>
                <w:color w:val="auto"/>
                <w:kern w:val="2"/>
                <w:sz w:val="24"/>
                <w:szCs w:val="24"/>
                <w:lang w:val="en-US" w:eastAsia="zh-CN" w:bidi="ar-SA"/>
              </w:rPr>
              <w:t>56</w:t>
            </w:r>
            <w:r>
              <w:rPr>
                <w:rFonts w:hint="default" w:ascii="Times New Roman" w:hAnsi="Times New Roman" w:eastAsia="宋体" w:cs="Times New Roman"/>
                <w:color w:val="auto"/>
                <w:kern w:val="2"/>
                <w:sz w:val="24"/>
                <w:szCs w:val="24"/>
                <w:lang w:val="en-US" w:eastAsia="zh-CN" w:bidi="ar-SA"/>
              </w:rPr>
              <w:t>t/a，乙酸丁酯0.144t/a），漆雾颗粒的产生量为0.4342t/a。</w:t>
            </w:r>
          </w:p>
          <w:p w14:paraId="10E36AF6">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③</w:t>
            </w:r>
            <w:r>
              <w:rPr>
                <w:rFonts w:hint="eastAsia" w:ascii="Times New Roman" w:hAnsi="Times New Roman" w:cs="Times New Roman"/>
                <w:color w:val="auto"/>
                <w:kern w:val="2"/>
                <w:sz w:val="24"/>
                <w:szCs w:val="24"/>
                <w:lang w:val="en-US" w:eastAsia="zh-CN" w:bidi="ar-SA"/>
              </w:rPr>
              <w:t>柜体</w:t>
            </w:r>
            <w:r>
              <w:rPr>
                <w:rFonts w:hint="default" w:ascii="Times New Roman" w:hAnsi="Times New Roman" w:eastAsia="宋体" w:cs="Times New Roman"/>
                <w:color w:val="auto"/>
                <w:kern w:val="2"/>
                <w:sz w:val="24"/>
                <w:szCs w:val="24"/>
                <w:lang w:val="en-US" w:eastAsia="zh-CN" w:bidi="ar-SA"/>
              </w:rPr>
              <w:t>面漆</w:t>
            </w:r>
            <w:r>
              <w:rPr>
                <w:rFonts w:hint="eastAsia" w:ascii="Times New Roman" w:hAnsi="Times New Roman" w:cs="Times New Roman"/>
                <w:color w:val="auto"/>
                <w:kern w:val="2"/>
                <w:sz w:val="24"/>
                <w:szCs w:val="24"/>
                <w:lang w:val="en-US" w:eastAsia="zh-CN" w:bidi="ar-SA"/>
              </w:rPr>
              <w:t>：本项目喷涂柜体使用的面漆年用量为0.9t（其中丙烯酸聚氨酯树脂涂料0.58</w:t>
            </w:r>
            <w:r>
              <w:rPr>
                <w:rFonts w:hint="default" w:ascii="Times New Roman" w:hAnsi="Times New Roman" w:cs="Times New Roman"/>
                <w:color w:val="auto"/>
                <w:kern w:val="2"/>
                <w:sz w:val="24"/>
                <w:szCs w:val="24"/>
                <w:lang w:val="en-US" w:eastAsia="zh-CN" w:bidi="ar-SA"/>
              </w:rPr>
              <w:t>t，</w:t>
            </w:r>
            <w:r>
              <w:rPr>
                <w:rFonts w:hint="eastAsia" w:ascii="Times New Roman" w:hAnsi="Times New Roman" w:cs="Times New Roman"/>
                <w:color w:val="auto"/>
                <w:kern w:val="2"/>
                <w:sz w:val="24"/>
                <w:szCs w:val="24"/>
                <w:lang w:val="en-US" w:eastAsia="zh-CN" w:bidi="ar-SA"/>
              </w:rPr>
              <w:t>固化剂0.145</w:t>
            </w:r>
            <w:r>
              <w:rPr>
                <w:rFonts w:hint="default" w:ascii="Times New Roman" w:hAnsi="Times New Roman" w:cs="Times New Roman"/>
                <w:color w:val="auto"/>
                <w:kern w:val="2"/>
                <w:sz w:val="24"/>
                <w:szCs w:val="24"/>
                <w:lang w:val="en-US" w:eastAsia="zh-CN" w:bidi="ar-SA"/>
              </w:rPr>
              <w:t>t</w:t>
            </w:r>
            <w:r>
              <w:rPr>
                <w:rFonts w:hint="eastAsia" w:ascii="Times New Roman" w:hAnsi="Times New Roman" w:cs="Times New Roman"/>
                <w:color w:val="auto"/>
                <w:kern w:val="2"/>
                <w:sz w:val="24"/>
                <w:szCs w:val="24"/>
                <w:lang w:val="en-US" w:eastAsia="zh-CN" w:bidi="ar-SA"/>
              </w:rPr>
              <w:t>，稀释剂0.175</w:t>
            </w:r>
            <w:r>
              <w:rPr>
                <w:rFonts w:hint="default" w:ascii="Times New Roman" w:hAnsi="Times New Roman" w:cs="Times New Roman"/>
                <w:color w:val="auto"/>
                <w:kern w:val="2"/>
                <w:sz w:val="24"/>
                <w:szCs w:val="24"/>
                <w:lang w:val="en-US" w:eastAsia="zh-CN" w:bidi="ar-SA"/>
              </w:rPr>
              <w:t>t</w:t>
            </w:r>
            <w:r>
              <w:rPr>
                <w:rFonts w:hint="eastAsia" w:ascii="Times New Roman" w:hAnsi="Times New Roman" w:cs="Times New Roman"/>
                <w:color w:val="auto"/>
                <w:kern w:val="2"/>
                <w:sz w:val="24"/>
                <w:szCs w:val="24"/>
                <w:lang w:val="en-US" w:eastAsia="zh-CN" w:bidi="ar-SA"/>
              </w:rPr>
              <w:t>，稀释剂中0.03</w:t>
            </w:r>
            <w:r>
              <w:rPr>
                <w:rFonts w:hint="default" w:ascii="Times New Roman" w:hAnsi="Times New Roman" w:eastAsia="宋体" w:cs="Times New Roman"/>
                <w:color w:val="auto"/>
                <w:kern w:val="2"/>
                <w:sz w:val="24"/>
                <w:szCs w:val="24"/>
                <w:lang w:val="en-US" w:eastAsia="zh-CN" w:bidi="ar-SA"/>
              </w:rPr>
              <w:t>t</w:t>
            </w:r>
            <w:r>
              <w:rPr>
                <w:rFonts w:hint="eastAsia" w:ascii="Times New Roman" w:hAnsi="Times New Roman" w:cs="Times New Roman"/>
                <w:color w:val="auto"/>
                <w:kern w:val="2"/>
                <w:sz w:val="24"/>
                <w:szCs w:val="24"/>
                <w:lang w:val="en-US" w:eastAsia="zh-CN" w:bidi="ar-SA"/>
              </w:rPr>
              <w:t>用于喷枪清洗），根据其MSDS和</w:t>
            </w:r>
            <w:r>
              <w:rPr>
                <w:rFonts w:hint="default" w:ascii="Times New Roman" w:hAnsi="Times New Roman" w:cs="Times New Roman"/>
                <w:color w:val="auto"/>
                <w:kern w:val="2"/>
                <w:sz w:val="24"/>
                <w:szCs w:val="24"/>
                <w:lang w:val="en-US" w:eastAsia="zh-CN" w:bidi="ar-SA"/>
              </w:rPr>
              <w:t>漆量平衡</w:t>
            </w:r>
            <w:r>
              <w:rPr>
                <w:rFonts w:hint="eastAsia" w:ascii="Times New Roman" w:hAnsi="Times New Roman" w:cs="Times New Roman"/>
                <w:color w:val="auto"/>
                <w:kern w:val="2"/>
                <w:sz w:val="24"/>
                <w:szCs w:val="24"/>
                <w:lang w:val="en-US" w:eastAsia="zh-CN" w:bidi="ar-SA"/>
              </w:rPr>
              <w:t>，喷涂喷涂柜体面漆VOC的产生量为0.204t</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（其中二甲苯0.1</w:t>
            </w:r>
            <w:r>
              <w:rPr>
                <w:rFonts w:hint="eastAsia" w:ascii="Times New Roman" w:hAnsi="Times New Roman" w:cs="Times New Roman"/>
                <w:color w:val="auto"/>
                <w:kern w:val="2"/>
                <w:sz w:val="24"/>
                <w:szCs w:val="24"/>
                <w:lang w:val="en-US" w:eastAsia="zh-CN" w:bidi="ar-SA"/>
              </w:rPr>
              <w:t>33t</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，乙酸丁酯0.0</w:t>
            </w:r>
            <w:r>
              <w:rPr>
                <w:rFonts w:hint="eastAsia" w:ascii="Times New Roman" w:hAnsi="Times New Roman" w:cs="Times New Roman"/>
                <w:color w:val="auto"/>
                <w:kern w:val="2"/>
                <w:sz w:val="24"/>
                <w:szCs w:val="24"/>
                <w:lang w:val="en-US" w:eastAsia="zh-CN" w:bidi="ar-SA"/>
              </w:rPr>
              <w:t>35t</w:t>
            </w:r>
            <w:r>
              <w:rPr>
                <w:rFonts w:hint="default" w:ascii="Times New Roman" w:hAnsi="Times New Roman" w:eastAsia="宋体" w:cs="Times New Roman"/>
                <w:color w:val="auto"/>
                <w:kern w:val="2"/>
                <w:sz w:val="24"/>
                <w:szCs w:val="24"/>
                <w:lang w:val="en-US" w:eastAsia="zh-CN" w:bidi="ar-SA"/>
              </w:rPr>
              <w: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漆雾颗粒的产生量为0.</w:t>
            </w:r>
            <w:r>
              <w:rPr>
                <w:rFonts w:hint="eastAsia" w:ascii="Times New Roman" w:hAnsi="Times New Roman" w:cs="Times New Roman"/>
                <w:color w:val="auto"/>
                <w:kern w:val="2"/>
                <w:sz w:val="24"/>
                <w:szCs w:val="24"/>
                <w:lang w:val="en-US" w:eastAsia="zh-CN" w:bidi="ar-SA"/>
              </w:rPr>
              <w:t>2088</w:t>
            </w:r>
            <w:r>
              <w:rPr>
                <w:rFonts w:hint="default" w:ascii="Times New Roman" w:hAnsi="Times New Roman" w:cs="Times New Roman"/>
                <w:color w:val="auto"/>
                <w:kern w:val="2"/>
                <w:sz w:val="24"/>
                <w:szCs w:val="24"/>
                <w:lang w:val="en-US" w:eastAsia="zh-CN" w:bidi="ar-SA"/>
              </w:rPr>
              <w:t>t/a。</w:t>
            </w:r>
          </w:p>
          <w:p w14:paraId="0B7CBF2E">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b w:val="0"/>
                <w:bCs w:val="0"/>
                <w:color w:val="auto"/>
                <w:highlight w:val="none"/>
                <w:lang w:val="en-US" w:eastAsia="zh-CN"/>
              </w:rPr>
              <w:t>调漆、喷漆、晾干、喷枪清洗均在喷漆房内进行，</w:t>
            </w:r>
            <w:r>
              <w:rPr>
                <w:rFonts w:hint="eastAsia" w:ascii="Times New Roman" w:hAnsi="Times New Roman" w:cs="Times New Roman"/>
                <w:color w:val="auto"/>
                <w:kern w:val="2"/>
                <w:sz w:val="24"/>
                <w:szCs w:val="24"/>
                <w:lang w:val="en-US" w:eastAsia="zh-CN" w:bidi="ar-SA"/>
              </w:rPr>
              <w:t>喷漆房废气采用“过滤棉+吸附脱附催化燃烧设施”</w:t>
            </w:r>
            <w:r>
              <w:rPr>
                <w:rFonts w:hint="default" w:ascii="Times New Roman" w:hAnsi="Times New Roman" w:eastAsia="宋体" w:cs="Times New Roman"/>
                <w:color w:val="auto"/>
                <w:kern w:val="2"/>
                <w:sz w:val="24"/>
                <w:szCs w:val="24"/>
                <w:lang w:val="en-US" w:eastAsia="zh-CN" w:bidi="ar-SA"/>
              </w:rPr>
              <w:t>处理后经</w:t>
            </w:r>
            <w:r>
              <w:rPr>
                <w:rFonts w:hint="default" w:ascii="Times New Roman" w:hAnsi="Times New Roman" w:cs="Times New Roman"/>
                <w:color w:val="auto"/>
                <w:kern w:val="2"/>
                <w:sz w:val="24"/>
                <w:szCs w:val="24"/>
                <w:lang w:val="en-US" w:eastAsia="zh-CN" w:bidi="ar-SA"/>
              </w:rPr>
              <w:t>2</w:t>
            </w:r>
            <w:r>
              <w:rPr>
                <w:rFonts w:hint="eastAsia" w:ascii="Times New Roman" w:hAnsi="Times New Roman" w:cs="Times New Roman"/>
                <w:color w:val="auto"/>
                <w:kern w:val="2"/>
                <w:sz w:val="24"/>
                <w:szCs w:val="24"/>
                <w:lang w:val="en-US" w:eastAsia="zh-CN" w:bidi="ar-SA"/>
              </w:rPr>
              <w:t>4</w:t>
            </w:r>
            <w:r>
              <w:rPr>
                <w:rFonts w:hint="default" w:ascii="Times New Roman" w:hAnsi="Times New Roman" w:cs="Times New Roman"/>
                <w:color w:val="auto"/>
                <w:kern w:val="2"/>
                <w:sz w:val="24"/>
                <w:szCs w:val="24"/>
                <w:lang w:val="en-US" w:eastAsia="zh-CN" w:bidi="ar-SA"/>
              </w:rPr>
              <w:t>m高</w:t>
            </w:r>
            <w:r>
              <w:rPr>
                <w:rFonts w:hint="default" w:ascii="Times New Roman" w:hAnsi="Times New Roman" w:eastAsia="宋体" w:cs="Times New Roman"/>
                <w:color w:val="auto"/>
                <w:kern w:val="2"/>
                <w:sz w:val="24"/>
                <w:szCs w:val="24"/>
                <w:lang w:val="en-US" w:eastAsia="zh-CN" w:bidi="ar-SA"/>
              </w:rPr>
              <w:t>排气筒（</w:t>
            </w:r>
            <w:r>
              <w:rPr>
                <w:rFonts w:hint="default" w:ascii="Times New Roman" w:hAnsi="Times New Roman" w:cs="Times New Roman"/>
                <w:color w:val="auto"/>
                <w:kern w:val="2"/>
                <w:sz w:val="24"/>
                <w:szCs w:val="24"/>
                <w:lang w:val="en-US" w:eastAsia="zh-CN" w:bidi="ar-SA"/>
              </w:rPr>
              <w:t>DA001</w:t>
            </w:r>
            <w:r>
              <w:rPr>
                <w:rFonts w:hint="default" w:ascii="Times New Roman" w:hAnsi="Times New Roman" w:eastAsia="宋体" w:cs="Times New Roman"/>
                <w:color w:val="auto"/>
                <w:kern w:val="2"/>
                <w:sz w:val="24"/>
                <w:szCs w:val="24"/>
                <w:lang w:val="en-US" w:eastAsia="zh-CN" w:bidi="ar-SA"/>
              </w:rPr>
              <w:t>）排放</w:t>
            </w:r>
            <w:r>
              <w:rPr>
                <w:rFonts w:hint="default" w:ascii="Times New Roman" w:hAnsi="Times New Roman" w:cs="Times New Roman"/>
                <w:color w:val="auto"/>
                <w:kern w:val="2"/>
                <w:sz w:val="24"/>
                <w:szCs w:val="24"/>
                <w:lang w:val="en-US" w:eastAsia="zh-CN" w:bidi="ar-SA"/>
              </w:rPr>
              <w:t>，废气收集效率</w:t>
            </w:r>
            <w:r>
              <w:rPr>
                <w:rFonts w:hint="eastAsia" w:ascii="Times New Roman" w:hAnsi="Times New Roman" w:cs="Times New Roman"/>
                <w:color w:val="auto"/>
                <w:kern w:val="2"/>
                <w:sz w:val="24"/>
                <w:szCs w:val="24"/>
                <w:lang w:val="en-US" w:eastAsia="zh-CN" w:bidi="ar-SA"/>
              </w:rPr>
              <w:t>取</w:t>
            </w:r>
            <w:r>
              <w:rPr>
                <w:rFonts w:hint="default" w:ascii="Times New Roman" w:hAnsi="Times New Roman" w:cs="Times New Roman"/>
                <w:color w:val="auto"/>
                <w:kern w:val="2"/>
                <w:sz w:val="24"/>
                <w:szCs w:val="24"/>
                <w:lang w:val="en-US" w:eastAsia="zh-CN" w:bidi="ar-SA"/>
              </w:rPr>
              <w:t>98%，漆雾颗粒、</w:t>
            </w:r>
            <w:r>
              <w:rPr>
                <w:rFonts w:hint="eastAsia" w:ascii="Times New Roman" w:hAnsi="Times New Roman" w:cs="Times New Roman"/>
                <w:color w:val="auto"/>
                <w:kern w:val="2"/>
                <w:sz w:val="24"/>
                <w:szCs w:val="24"/>
                <w:lang w:val="en-US" w:eastAsia="zh-CN" w:bidi="ar-SA"/>
              </w:rPr>
              <w:t>挥发性有机物</w:t>
            </w:r>
            <w:r>
              <w:rPr>
                <w:rFonts w:hint="default" w:ascii="Times New Roman" w:hAnsi="Times New Roman" w:cs="Times New Roman"/>
                <w:color w:val="auto"/>
                <w:kern w:val="2"/>
                <w:sz w:val="24"/>
                <w:szCs w:val="24"/>
                <w:lang w:val="en-US" w:eastAsia="zh-CN" w:bidi="ar-SA"/>
              </w:rPr>
              <w:t>的去除效率</w:t>
            </w:r>
            <w:r>
              <w:rPr>
                <w:rFonts w:hint="eastAsia" w:ascii="Times New Roman" w:hAnsi="Times New Roman" w:cs="Times New Roman"/>
                <w:color w:val="auto"/>
                <w:kern w:val="2"/>
                <w:sz w:val="24"/>
                <w:szCs w:val="24"/>
                <w:lang w:val="en-US" w:eastAsia="zh-CN" w:bidi="ar-SA"/>
              </w:rPr>
              <w:t>取</w:t>
            </w:r>
            <w:r>
              <w:rPr>
                <w:rFonts w:hint="default" w:ascii="Times New Roman" w:hAnsi="Times New Roman" w:cs="Times New Roman"/>
                <w:color w:val="auto"/>
                <w:kern w:val="2"/>
                <w:sz w:val="24"/>
                <w:szCs w:val="24"/>
                <w:lang w:val="en-US" w:eastAsia="zh-CN" w:bidi="ar-SA"/>
              </w:rPr>
              <w:t>85%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计算可知喷漆废气中颗粒物</w:t>
            </w:r>
            <w:r>
              <w:rPr>
                <w:rFonts w:hint="eastAsia" w:ascii="Times New Roman" w:hAnsi="Times New Roman" w:cs="Times New Roman"/>
                <w:b w:val="0"/>
                <w:bCs w:val="0"/>
                <w:color w:val="auto"/>
                <w:szCs w:val="28"/>
                <w:lang w:val="en-US" w:eastAsia="zh-CN"/>
              </w:rPr>
              <w:t>无组织排放量0.022</w:t>
            </w:r>
            <w:r>
              <w:rPr>
                <w:rFonts w:hint="default" w:ascii="Times New Roman" w:hAnsi="Times New Roman" w:cs="Times New Roman"/>
                <w:b w:val="0"/>
                <w:bCs w:val="0"/>
                <w:color w:val="auto"/>
                <w:szCs w:val="28"/>
              </w:rPr>
              <w:t>t/a</w:t>
            </w:r>
            <w:r>
              <w:rPr>
                <w:rFonts w:hint="eastAsia" w:ascii="Times New Roman" w:hAnsi="Times New Roman" w:cs="Times New Roman"/>
                <w:b w:val="0"/>
                <w:bCs w:val="0"/>
                <w:szCs w:val="21"/>
                <w:highlight w:val="none"/>
                <w:vertAlign w:val="baseline"/>
                <w:lang w:eastAsia="zh-CN"/>
              </w:rPr>
              <w:t>，</w:t>
            </w:r>
            <w:r>
              <w:rPr>
                <w:rFonts w:hint="default" w:ascii="Times New Roman" w:hAnsi="Times New Roman" w:cs="Times New Roman"/>
                <w:b w:val="0"/>
                <w:bCs w:val="0"/>
                <w:color w:val="auto"/>
                <w:szCs w:val="28"/>
              </w:rPr>
              <w:t>有组织</w:t>
            </w:r>
            <w:r>
              <w:rPr>
                <w:rFonts w:hint="eastAsia" w:ascii="Times New Roman" w:hAnsi="Times New Roman" w:cs="Times New Roman"/>
                <w:b w:val="0"/>
                <w:bCs w:val="0"/>
                <w:color w:val="auto"/>
                <w:szCs w:val="28"/>
                <w:lang w:val="en-US" w:eastAsia="zh-CN"/>
              </w:rPr>
              <w:t>排放</w:t>
            </w:r>
            <w:r>
              <w:rPr>
                <w:rFonts w:hint="default" w:ascii="Times New Roman" w:hAnsi="Times New Roman" w:cs="Times New Roman"/>
                <w:b w:val="0"/>
                <w:bCs w:val="0"/>
                <w:color w:val="auto"/>
                <w:szCs w:val="28"/>
              </w:rPr>
              <w:t>量为</w:t>
            </w:r>
            <w:r>
              <w:rPr>
                <w:rFonts w:hint="eastAsia" w:ascii="Times New Roman" w:hAnsi="Times New Roman" w:cs="Times New Roman"/>
                <w:b w:val="0"/>
                <w:bCs w:val="0"/>
                <w:color w:val="auto"/>
                <w:szCs w:val="28"/>
                <w:lang w:val="en-US" w:eastAsia="zh-CN"/>
              </w:rPr>
              <w:t>0.16</w:t>
            </w:r>
            <w:r>
              <w:rPr>
                <w:rFonts w:hint="default" w:ascii="Times New Roman" w:hAnsi="Times New Roman" w:cs="Times New Roman"/>
                <w:b w:val="0"/>
                <w:bCs w:val="0"/>
                <w:color w:val="auto"/>
                <w:szCs w:val="28"/>
              </w:rPr>
              <w:t>t/a</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排放浓度为4.44mg/m</w:t>
            </w:r>
            <w:r>
              <w:rPr>
                <w:rFonts w:hint="eastAsia" w:ascii="Times New Roman" w:hAnsi="Times New Roman" w:cs="Times New Roman"/>
                <w:b w:val="0"/>
                <w:bCs w:val="0"/>
                <w:color w:val="auto"/>
                <w:szCs w:val="28"/>
                <w:vertAlign w:val="superscript"/>
                <w:lang w:val="en-US" w:eastAsia="zh-CN"/>
              </w:rPr>
              <w:t>3</w:t>
            </w:r>
            <w:r>
              <w:rPr>
                <w:rFonts w:hint="eastAsia" w:ascii="Times New Roman" w:hAnsi="Times New Roman" w:cs="Times New Roman"/>
                <w:b w:val="0"/>
                <w:bCs w:val="0"/>
                <w:color w:val="auto"/>
                <w:szCs w:val="28"/>
                <w:lang w:val="en-US" w:eastAsia="zh-CN"/>
              </w:rPr>
              <w:t>，排放速率为0.067kg/h</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VOCs无组织排放量0.029</w:t>
            </w:r>
            <w:r>
              <w:rPr>
                <w:rFonts w:hint="default" w:ascii="Times New Roman" w:hAnsi="Times New Roman" w:cs="Times New Roman"/>
                <w:b w:val="0"/>
                <w:bCs w:val="0"/>
                <w:color w:val="auto"/>
                <w:szCs w:val="28"/>
              </w:rPr>
              <w:t>t/a</w:t>
            </w:r>
            <w:r>
              <w:rPr>
                <w:rFonts w:hint="eastAsia" w:ascii="Times New Roman" w:hAnsi="Times New Roman" w:cs="Times New Roman"/>
                <w:b w:val="0"/>
                <w:bCs w:val="0"/>
                <w:szCs w:val="21"/>
                <w:highlight w:val="none"/>
                <w:vertAlign w:val="baseline"/>
                <w:lang w:eastAsia="zh-CN"/>
              </w:rPr>
              <w:t>，</w:t>
            </w:r>
            <w:r>
              <w:rPr>
                <w:rFonts w:hint="default" w:ascii="Times New Roman" w:hAnsi="Times New Roman" w:cs="Times New Roman"/>
                <w:b w:val="0"/>
                <w:bCs w:val="0"/>
                <w:color w:val="auto"/>
                <w:szCs w:val="28"/>
              </w:rPr>
              <w:t>有组织</w:t>
            </w:r>
            <w:r>
              <w:rPr>
                <w:rFonts w:hint="eastAsia" w:ascii="Times New Roman" w:hAnsi="Times New Roman" w:cs="Times New Roman"/>
                <w:b w:val="0"/>
                <w:bCs w:val="0"/>
                <w:color w:val="auto"/>
                <w:szCs w:val="28"/>
                <w:lang w:val="en-US" w:eastAsia="zh-CN"/>
              </w:rPr>
              <w:t>排放</w:t>
            </w:r>
            <w:r>
              <w:rPr>
                <w:rFonts w:hint="default" w:ascii="Times New Roman" w:hAnsi="Times New Roman" w:cs="Times New Roman"/>
                <w:b w:val="0"/>
                <w:bCs w:val="0"/>
                <w:color w:val="auto"/>
                <w:szCs w:val="28"/>
              </w:rPr>
              <w:t>量为</w:t>
            </w:r>
            <w:r>
              <w:rPr>
                <w:rFonts w:hint="eastAsia" w:ascii="Times New Roman" w:hAnsi="Times New Roman" w:cs="Times New Roman"/>
                <w:b w:val="0"/>
                <w:bCs w:val="0"/>
                <w:color w:val="auto"/>
                <w:szCs w:val="28"/>
                <w:lang w:val="en-US" w:eastAsia="zh-CN"/>
              </w:rPr>
              <w:t>0.212</w:t>
            </w:r>
            <w:r>
              <w:rPr>
                <w:rFonts w:hint="default" w:ascii="Times New Roman" w:hAnsi="Times New Roman" w:cs="Times New Roman"/>
                <w:b w:val="0"/>
                <w:bCs w:val="0"/>
                <w:color w:val="auto"/>
                <w:szCs w:val="28"/>
              </w:rPr>
              <w:t>t/a</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排放浓度为5.89mg/m</w:t>
            </w:r>
            <w:r>
              <w:rPr>
                <w:rFonts w:hint="eastAsia" w:ascii="Times New Roman" w:hAnsi="Times New Roman" w:cs="Times New Roman"/>
                <w:b w:val="0"/>
                <w:bCs w:val="0"/>
                <w:color w:val="auto"/>
                <w:szCs w:val="28"/>
                <w:vertAlign w:val="superscript"/>
                <w:lang w:val="en-US" w:eastAsia="zh-CN"/>
              </w:rPr>
              <w:t>3</w:t>
            </w:r>
            <w:r>
              <w:rPr>
                <w:rFonts w:hint="eastAsia" w:ascii="Times New Roman" w:hAnsi="Times New Roman" w:cs="Times New Roman"/>
                <w:b w:val="0"/>
                <w:bCs w:val="0"/>
                <w:color w:val="auto"/>
                <w:szCs w:val="28"/>
                <w:lang w:val="en-US" w:eastAsia="zh-CN"/>
              </w:rPr>
              <w:t>，排放速率为0.088kg/h</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二甲苯无组织排放量0.01</w:t>
            </w:r>
            <w:r>
              <w:rPr>
                <w:rFonts w:hint="default" w:ascii="Times New Roman" w:hAnsi="Times New Roman" w:cs="Times New Roman"/>
                <w:b w:val="0"/>
                <w:bCs w:val="0"/>
                <w:color w:val="auto"/>
                <w:szCs w:val="28"/>
              </w:rPr>
              <w:t>t/a</w:t>
            </w:r>
            <w:r>
              <w:rPr>
                <w:rFonts w:hint="eastAsia" w:ascii="Times New Roman" w:hAnsi="Times New Roman" w:cs="Times New Roman"/>
                <w:b w:val="0"/>
                <w:bCs w:val="0"/>
                <w:szCs w:val="21"/>
                <w:highlight w:val="none"/>
                <w:vertAlign w:val="baseline"/>
                <w:lang w:eastAsia="zh-CN"/>
              </w:rPr>
              <w:t>，</w:t>
            </w:r>
            <w:r>
              <w:rPr>
                <w:rFonts w:hint="default" w:ascii="Times New Roman" w:hAnsi="Times New Roman" w:cs="Times New Roman"/>
                <w:b w:val="0"/>
                <w:bCs w:val="0"/>
                <w:color w:val="auto"/>
                <w:szCs w:val="28"/>
              </w:rPr>
              <w:t>有组织</w:t>
            </w:r>
            <w:r>
              <w:rPr>
                <w:rFonts w:hint="eastAsia" w:ascii="Times New Roman" w:hAnsi="Times New Roman" w:cs="Times New Roman"/>
                <w:b w:val="0"/>
                <w:bCs w:val="0"/>
                <w:color w:val="auto"/>
                <w:szCs w:val="28"/>
                <w:lang w:val="en-US" w:eastAsia="zh-CN"/>
              </w:rPr>
              <w:t>排放</w:t>
            </w:r>
            <w:r>
              <w:rPr>
                <w:rFonts w:hint="default" w:ascii="Times New Roman" w:hAnsi="Times New Roman" w:cs="Times New Roman"/>
                <w:b w:val="0"/>
                <w:bCs w:val="0"/>
                <w:color w:val="auto"/>
                <w:szCs w:val="28"/>
              </w:rPr>
              <w:t>量为</w:t>
            </w:r>
            <w:r>
              <w:rPr>
                <w:rFonts w:hint="eastAsia" w:ascii="Times New Roman" w:hAnsi="Times New Roman" w:cs="Times New Roman"/>
                <w:b w:val="0"/>
                <w:bCs w:val="0"/>
                <w:color w:val="auto"/>
                <w:szCs w:val="28"/>
                <w:lang w:val="en-US" w:eastAsia="zh-CN"/>
              </w:rPr>
              <w:t>0.074</w:t>
            </w:r>
            <w:r>
              <w:rPr>
                <w:rFonts w:hint="default" w:ascii="Times New Roman" w:hAnsi="Times New Roman" w:cs="Times New Roman"/>
                <w:b w:val="0"/>
                <w:bCs w:val="0"/>
                <w:color w:val="auto"/>
                <w:szCs w:val="28"/>
              </w:rPr>
              <w:t>t/a</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排放浓度为2.06mg/m</w:t>
            </w:r>
            <w:r>
              <w:rPr>
                <w:rFonts w:hint="eastAsia" w:ascii="Times New Roman" w:hAnsi="Times New Roman" w:cs="Times New Roman"/>
                <w:b w:val="0"/>
                <w:bCs w:val="0"/>
                <w:color w:val="auto"/>
                <w:szCs w:val="28"/>
                <w:vertAlign w:val="superscript"/>
                <w:lang w:val="en-US" w:eastAsia="zh-CN"/>
              </w:rPr>
              <w:t>3</w:t>
            </w:r>
            <w:r>
              <w:rPr>
                <w:rFonts w:hint="eastAsia" w:ascii="Times New Roman" w:hAnsi="Times New Roman" w:cs="Times New Roman"/>
                <w:b w:val="0"/>
                <w:bCs w:val="0"/>
                <w:color w:val="auto"/>
                <w:szCs w:val="28"/>
                <w:lang w:val="en-US" w:eastAsia="zh-CN"/>
              </w:rPr>
              <w:t>，排放速率为0.031kg/h。</w:t>
            </w:r>
          </w:p>
          <w:p w14:paraId="5B51AE48">
            <w:pPr>
              <w:pStyle w:val="20"/>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200"/>
              <w:textAlignment w:val="auto"/>
              <w:rPr>
                <w:rFonts w:hint="eastAsia" w:cs="Times New Roman"/>
                <w:b w:val="0"/>
                <w:bCs w:val="0"/>
                <w:color w:val="auto"/>
                <w:highlight w:val="none"/>
                <w:lang w:val="en-US" w:eastAsia="zh-CN"/>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（4）浇注固化</w:t>
            </w:r>
            <w:r>
              <w:rPr>
                <w:rFonts w:hint="eastAsia" w:cs="Times New Roman"/>
                <w:b w:val="0"/>
                <w:bCs w:val="0"/>
                <w:color w:val="auto"/>
                <w:highlight w:val="none"/>
                <w:lang w:val="en-US" w:eastAsia="zh-CN"/>
              </w:rPr>
              <w:t>废气</w:t>
            </w:r>
          </w:p>
          <w:p w14:paraId="0356AC46">
            <w:pPr>
              <w:pStyle w:val="20"/>
              <w:keepNext w:val="0"/>
              <w:keepLines w:val="0"/>
              <w:pageBreakBefore w:val="0"/>
              <w:widowControl w:val="0"/>
              <w:shd w:val="clea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根据企业提供的资料</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计算得出</w:t>
            </w:r>
            <w:r>
              <w:rPr>
                <w:rFonts w:hint="eastAsia" w:ascii="Times New Roman" w:hAnsi="Times New Roman" w:cs="Times New Roman"/>
                <w:sz w:val="24"/>
                <w:szCs w:val="24"/>
                <w:highlight w:val="none"/>
                <w:lang w:val="en-US" w:eastAsia="zh-CN"/>
              </w:rPr>
              <w:t>封装料年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使用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量为</w:t>
            </w:r>
            <w:r>
              <w:rPr>
                <w:rFonts w:hint="eastAsia" w:ascii="Times New Roman" w:hAnsi="Times New Roman" w:cs="Times New Roman"/>
                <w:sz w:val="24"/>
                <w:szCs w:val="24"/>
                <w:highlight w:val="none"/>
                <w:lang w:val="en-US" w:eastAsia="zh-CN"/>
              </w:rPr>
              <w:t>3.896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t/a（封装料A1.948t/a，封装料B1.948t/a），封装料A、B混合后VOCs含量占比为25%。本次按最不利因素考虑，</w:t>
            </w:r>
            <w:r>
              <w:rPr>
                <w:rFonts w:hint="eastAsia" w:ascii="Times New Roman" w:hAnsi="Times New Roman" w:cs="Times New Roman"/>
                <w:b w:val="0"/>
                <w:bCs w:val="0"/>
                <w:color w:val="auto"/>
                <w:highlight w:val="none"/>
                <w:lang w:val="en-US" w:eastAsia="zh-CN"/>
              </w:rPr>
              <w:t>VOCs在固化过程中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全部挥发，则挥发性有机物产生量为0.974t/a</w:t>
            </w:r>
            <w:r>
              <w:rPr>
                <w:rFonts w:hint="eastAsia" w:ascii="Times New Roman" w:hAnsi="Times New Roman" w:cs="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固化废气</w:t>
            </w:r>
            <w:r>
              <w:rPr>
                <w:rFonts w:hint="eastAsia" w:ascii="Times New Roman" w:hAnsi="Times New Roman" w:cs="Times New Roman"/>
                <w:color w:val="auto"/>
                <w:kern w:val="2"/>
                <w:sz w:val="24"/>
                <w:szCs w:val="24"/>
                <w:lang w:val="en-US" w:eastAsia="zh-CN" w:bidi="ar-SA"/>
              </w:rPr>
              <w:t>采用“过滤棉+吸附脱附催化燃烧设施”</w:t>
            </w:r>
            <w:r>
              <w:rPr>
                <w:rFonts w:hint="default" w:ascii="Times New Roman" w:hAnsi="Times New Roman" w:eastAsia="宋体" w:cs="Times New Roman"/>
                <w:color w:val="auto"/>
                <w:kern w:val="2"/>
                <w:sz w:val="24"/>
                <w:szCs w:val="24"/>
                <w:lang w:val="en-US" w:eastAsia="zh-CN" w:bidi="ar-SA"/>
              </w:rPr>
              <w:t>处理后经</w:t>
            </w:r>
            <w:r>
              <w:rPr>
                <w:rFonts w:hint="default" w:ascii="Times New Roman" w:hAnsi="Times New Roman" w:cs="Times New Roman"/>
                <w:color w:val="auto"/>
                <w:kern w:val="2"/>
                <w:sz w:val="24"/>
                <w:szCs w:val="24"/>
                <w:lang w:val="en-US" w:eastAsia="zh-CN" w:bidi="ar-SA"/>
              </w:rPr>
              <w:t>2</w:t>
            </w:r>
            <w:r>
              <w:rPr>
                <w:rFonts w:hint="eastAsia" w:ascii="Times New Roman" w:hAnsi="Times New Roman" w:cs="Times New Roman"/>
                <w:color w:val="auto"/>
                <w:kern w:val="2"/>
                <w:sz w:val="24"/>
                <w:szCs w:val="24"/>
                <w:lang w:val="en-US" w:eastAsia="zh-CN" w:bidi="ar-SA"/>
              </w:rPr>
              <w:t>4</w:t>
            </w:r>
            <w:r>
              <w:rPr>
                <w:rFonts w:hint="default" w:ascii="Times New Roman" w:hAnsi="Times New Roman" w:cs="Times New Roman"/>
                <w:color w:val="auto"/>
                <w:kern w:val="2"/>
                <w:sz w:val="24"/>
                <w:szCs w:val="24"/>
                <w:lang w:val="en-US" w:eastAsia="zh-CN" w:bidi="ar-SA"/>
              </w:rPr>
              <w:t>m高</w:t>
            </w:r>
            <w:r>
              <w:rPr>
                <w:rFonts w:hint="default" w:ascii="Times New Roman" w:hAnsi="Times New Roman" w:eastAsia="宋体" w:cs="Times New Roman"/>
                <w:color w:val="auto"/>
                <w:kern w:val="2"/>
                <w:sz w:val="24"/>
                <w:szCs w:val="24"/>
                <w:lang w:val="en-US" w:eastAsia="zh-CN" w:bidi="ar-SA"/>
              </w:rPr>
              <w:t>排气筒（</w:t>
            </w:r>
            <w:r>
              <w:rPr>
                <w:rFonts w:hint="default" w:ascii="Times New Roman" w:hAnsi="Times New Roman" w:cs="Times New Roman"/>
                <w:color w:val="auto"/>
                <w:kern w:val="2"/>
                <w:sz w:val="24"/>
                <w:szCs w:val="24"/>
                <w:lang w:val="en-US" w:eastAsia="zh-CN" w:bidi="ar-SA"/>
              </w:rPr>
              <w:t>DA001</w:t>
            </w:r>
            <w:r>
              <w:rPr>
                <w:rFonts w:hint="default" w:ascii="Times New Roman" w:hAnsi="Times New Roman" w:eastAsia="宋体" w:cs="Times New Roman"/>
                <w:color w:val="auto"/>
                <w:kern w:val="2"/>
                <w:sz w:val="24"/>
                <w:szCs w:val="24"/>
                <w:lang w:val="en-US" w:eastAsia="zh-CN" w:bidi="ar-SA"/>
              </w:rPr>
              <w:t>）高空排放</w:t>
            </w:r>
            <w:r>
              <w:rPr>
                <w:rFonts w:hint="default" w:ascii="Times New Roman" w:hAnsi="Times New Roman" w:cs="Times New Roman"/>
                <w:color w:val="auto"/>
                <w:kern w:val="2"/>
                <w:sz w:val="24"/>
                <w:szCs w:val="24"/>
                <w:lang w:val="en-US" w:eastAsia="zh-CN" w:bidi="ar-SA"/>
              </w:rPr>
              <w:t>，废气收集效率为98%，非甲烷总烃的去除效率为85%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计算可知浇注固化废气中</w:t>
            </w:r>
            <w:r>
              <w:rPr>
                <w:rFonts w:hint="eastAsia" w:ascii="Times New Roman" w:hAnsi="Times New Roman" w:cs="Times New Roman"/>
                <w:b w:val="0"/>
                <w:bCs w:val="0"/>
                <w:color w:val="auto"/>
                <w:szCs w:val="28"/>
                <w:lang w:val="en-US" w:eastAsia="zh-CN"/>
              </w:rPr>
              <w:t>VOCs无组织排放量0.019</w:t>
            </w:r>
            <w:r>
              <w:rPr>
                <w:rFonts w:hint="default" w:ascii="Times New Roman" w:hAnsi="Times New Roman" w:cs="Times New Roman"/>
                <w:b w:val="0"/>
                <w:bCs w:val="0"/>
                <w:color w:val="auto"/>
                <w:szCs w:val="28"/>
              </w:rPr>
              <w:t>t/a</w:t>
            </w:r>
            <w:r>
              <w:rPr>
                <w:rFonts w:hint="eastAsia" w:ascii="Times New Roman" w:hAnsi="Times New Roman" w:cs="Times New Roman"/>
                <w:b w:val="0"/>
                <w:bCs w:val="0"/>
                <w:szCs w:val="21"/>
                <w:highlight w:val="none"/>
                <w:vertAlign w:val="baseline"/>
                <w:lang w:eastAsia="zh-CN"/>
              </w:rPr>
              <w:t>，</w:t>
            </w:r>
            <w:r>
              <w:rPr>
                <w:rFonts w:hint="default" w:ascii="Times New Roman" w:hAnsi="Times New Roman" w:cs="Times New Roman"/>
                <w:b w:val="0"/>
                <w:bCs w:val="0"/>
                <w:color w:val="auto"/>
                <w:szCs w:val="28"/>
              </w:rPr>
              <w:t>有组织</w:t>
            </w:r>
            <w:r>
              <w:rPr>
                <w:rFonts w:hint="eastAsia" w:ascii="Times New Roman" w:hAnsi="Times New Roman" w:cs="Times New Roman"/>
                <w:b w:val="0"/>
                <w:bCs w:val="0"/>
                <w:color w:val="auto"/>
                <w:szCs w:val="28"/>
                <w:lang w:val="en-US" w:eastAsia="zh-CN"/>
              </w:rPr>
              <w:t>排放</w:t>
            </w:r>
            <w:r>
              <w:rPr>
                <w:rFonts w:hint="default" w:ascii="Times New Roman" w:hAnsi="Times New Roman" w:cs="Times New Roman"/>
                <w:b w:val="0"/>
                <w:bCs w:val="0"/>
                <w:color w:val="auto"/>
                <w:szCs w:val="28"/>
              </w:rPr>
              <w:t>量为</w:t>
            </w:r>
            <w:r>
              <w:rPr>
                <w:rFonts w:hint="eastAsia" w:ascii="Times New Roman" w:hAnsi="Times New Roman" w:cs="Times New Roman"/>
                <w:b w:val="0"/>
                <w:bCs w:val="0"/>
                <w:color w:val="auto"/>
                <w:szCs w:val="28"/>
                <w:lang w:val="en-US" w:eastAsia="zh-CN"/>
              </w:rPr>
              <w:t>0.143</w:t>
            </w:r>
            <w:r>
              <w:rPr>
                <w:rFonts w:hint="default" w:ascii="Times New Roman" w:hAnsi="Times New Roman" w:cs="Times New Roman"/>
                <w:b w:val="0"/>
                <w:bCs w:val="0"/>
                <w:color w:val="auto"/>
                <w:szCs w:val="28"/>
              </w:rPr>
              <w:t>t/a</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排放浓度为3.98mg/m</w:t>
            </w:r>
            <w:r>
              <w:rPr>
                <w:rFonts w:hint="eastAsia" w:ascii="Times New Roman" w:hAnsi="Times New Roman" w:cs="Times New Roman"/>
                <w:b w:val="0"/>
                <w:bCs w:val="0"/>
                <w:color w:val="auto"/>
                <w:szCs w:val="28"/>
                <w:vertAlign w:val="superscript"/>
                <w:lang w:val="en-US" w:eastAsia="zh-CN"/>
              </w:rPr>
              <w:t>3</w:t>
            </w:r>
            <w:r>
              <w:rPr>
                <w:rFonts w:hint="eastAsia" w:ascii="Times New Roman" w:hAnsi="Times New Roman" w:cs="Times New Roman"/>
                <w:b w:val="0"/>
                <w:bCs w:val="0"/>
                <w:color w:val="auto"/>
                <w:szCs w:val="28"/>
                <w:lang w:val="en-US" w:eastAsia="zh-CN"/>
              </w:rPr>
              <w:t>，排放速率为0.06kg/h。</w:t>
            </w:r>
          </w:p>
          <w:p w14:paraId="7C59D85B">
            <w:pPr>
              <w:pStyle w:val="20"/>
              <w:keepNext w:val="0"/>
              <w:keepLines w:val="0"/>
              <w:pageBreakBefore w:val="0"/>
              <w:widowControl w:val="0"/>
              <w:numPr>
                <w:ilvl w:val="0"/>
                <w:numId w:val="0"/>
              </w:numPr>
              <w:shd w:val="clea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Times New Roman"/>
                <w:highlight w:val="none"/>
                <w:lang w:val="en-US" w:eastAsia="zh-CN"/>
              </w:rPr>
            </w:pPr>
            <w:r>
              <w:rPr>
                <w:rFonts w:hint="eastAsia" w:ascii="Times New Roman" w:hAnsi="Times New Roman" w:cs="Times New Roman"/>
                <w:b w:val="0"/>
                <w:bCs w:val="0"/>
                <w:sz w:val="24"/>
                <w:lang w:val="en-US" w:eastAsia="zh-CN"/>
              </w:rPr>
              <w:t>（5）</w:t>
            </w:r>
            <w:r>
              <w:rPr>
                <w:rFonts w:hint="default" w:ascii="Times New Roman" w:hAnsi="Times New Roman" w:cs="Times New Roman"/>
                <w:b w:val="0"/>
                <w:bCs w:val="0"/>
                <w:sz w:val="24"/>
                <w:lang w:val="en-US" w:eastAsia="zh-CN"/>
              </w:rPr>
              <w:t>喷塑废气</w:t>
            </w:r>
          </w:p>
          <w:p w14:paraId="06F3CACC">
            <w:pPr>
              <w:shd w:val="clear"/>
              <w:autoSpaceDE w:val="0"/>
              <w:autoSpaceDN w:val="0"/>
              <w:adjustRightInd w:val="0"/>
              <w:snapToGrid w:val="0"/>
              <w:spacing w:line="360" w:lineRule="auto"/>
              <w:ind w:firstLine="480" w:firstLineChars="200"/>
              <w:jc w:val="left"/>
              <w:rPr>
                <w:rFonts w:hint="eastAsia" w:cs="Times New Roman"/>
                <w:color w:val="000000" w:themeColor="text1"/>
                <w:sz w:val="24"/>
                <w:szCs w:val="24"/>
                <w:lang w:val="en-GB" w:eastAsia="zh-CN"/>
                <w14:textFill>
                  <w14:solidFill>
                    <w14:schemeClr w14:val="tx1"/>
                  </w14:solidFill>
                </w14:textFill>
              </w:rPr>
            </w:pPr>
            <w:r>
              <w:rPr>
                <w:rFonts w:hint="eastAsia" w:cs="Times New Roman"/>
                <w:b w:val="0"/>
                <w:bCs w:val="0"/>
                <w:color w:val="auto"/>
                <w:lang w:val="en-US" w:eastAsia="zh-CN"/>
              </w:rPr>
              <w:t>根据</w:t>
            </w:r>
            <w:r>
              <w:rPr>
                <w:rFonts w:hint="default" w:ascii="Times New Roman" w:hAnsi="Times New Roman" w:cs="Times New Roman" w:eastAsiaTheme="minorEastAsia"/>
                <w:lang w:val="en-GB" w:eastAsia="zh-CN"/>
              </w:rPr>
              <w:t>《排放源统计调查产排污核算方法和系数手册》（生态环境部办公厅2</w:t>
            </w:r>
            <w:r>
              <w:rPr>
                <w:rFonts w:hint="default" w:ascii="Times New Roman" w:hAnsi="Times New Roman" w:cs="Times New Roman"/>
                <w:color w:val="000000" w:themeColor="text1"/>
                <w:sz w:val="24"/>
                <w:szCs w:val="24"/>
                <w:lang w:val="en-GB"/>
                <w14:textFill>
                  <w14:solidFill>
                    <w14:schemeClr w14:val="tx1"/>
                  </w14:solidFill>
                </w14:textFill>
              </w:rPr>
              <w:t>021 年6月11日印发）中《机械行业系数手册》0</w:t>
            </w:r>
            <w:r>
              <w:rPr>
                <w:rFonts w:hint="default"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lang w:val="en-GB"/>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预处理</w:t>
            </w:r>
            <w:r>
              <w:rPr>
                <w:rFonts w:hint="default" w:ascii="Times New Roman" w:hAnsi="Times New Roman" w:cs="Times New Roman"/>
                <w:color w:val="000000" w:themeColor="text1"/>
                <w:sz w:val="24"/>
                <w:szCs w:val="24"/>
                <w:lang w:val="en-GB"/>
                <w14:textFill>
                  <w14:solidFill>
                    <w14:schemeClr w14:val="tx1"/>
                  </w14:solidFill>
                </w14:textFill>
              </w:rPr>
              <w:t>工序</w:t>
            </w:r>
            <w:r>
              <w:rPr>
                <w:rFonts w:hint="default" w:ascii="Times New Roman" w:hAnsi="Times New Roman" w:cs="Times New Roman"/>
                <w:color w:val="000000" w:themeColor="text1"/>
                <w:sz w:val="24"/>
                <w:szCs w:val="24"/>
                <w:lang w:val="en-US" w:eastAsia="zh-CN"/>
                <w14:textFill>
                  <w14:solidFill>
                    <w14:schemeClr w14:val="tx1"/>
                  </w14:solidFill>
                </w14:textFill>
              </w:rPr>
              <w:t>可知</w:t>
            </w:r>
            <w:r>
              <w:rPr>
                <w:rFonts w:hint="default" w:ascii="Times New Roman" w:hAnsi="Times New Roman" w:cs="Times New Roman"/>
                <w:color w:val="000000" w:themeColor="text1"/>
                <w:sz w:val="24"/>
                <w:szCs w:val="24"/>
                <w:lang w:val="en-GB"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喷塑颗粒物</w:t>
            </w:r>
            <w:r>
              <w:rPr>
                <w:rFonts w:hint="default" w:ascii="Times New Roman" w:hAnsi="Times New Roman" w:cs="Times New Roman"/>
                <w:color w:val="000000" w:themeColor="text1"/>
                <w:sz w:val="24"/>
                <w:szCs w:val="24"/>
                <w:lang w:val="en-GB"/>
                <w14:textFill>
                  <w14:solidFill>
                    <w14:schemeClr w14:val="tx1"/>
                  </w14:solidFill>
                </w14:textFill>
              </w:rPr>
              <w:t>产污系数</w:t>
            </w:r>
            <w:r>
              <w:rPr>
                <w:rFonts w:hint="default" w:ascii="Times New Roman" w:hAnsi="Times New Roman" w:cs="Times New Roman"/>
                <w:color w:val="000000" w:themeColor="text1"/>
                <w:sz w:val="24"/>
                <w:szCs w:val="24"/>
                <w:lang w:val="en-US" w:eastAsia="zh-CN"/>
                <w14:textFill>
                  <w14:solidFill>
                    <w14:schemeClr w14:val="tx1"/>
                  </w14:solidFill>
                </w14:textFill>
              </w:rPr>
              <w:t>为</w:t>
            </w:r>
            <w:r>
              <w:rPr>
                <w:rFonts w:hint="eastAsia" w:ascii="Times New Roman" w:hAnsi="Times New Roman" w:cs="Times New Roman"/>
                <w:color w:val="000000" w:themeColor="text1"/>
                <w:sz w:val="24"/>
                <w:szCs w:val="24"/>
                <w:lang w:val="en-US" w:eastAsia="zh-CN"/>
                <w14:textFill>
                  <w14:solidFill>
                    <w14:schemeClr w14:val="tx1"/>
                  </w14:solidFill>
                </w14:textFill>
              </w:rPr>
              <w:t>300</w:t>
            </w:r>
            <w:r>
              <w:rPr>
                <w:rFonts w:hint="default" w:ascii="Times New Roman" w:hAnsi="Times New Roman" w:cs="Times New Roman"/>
                <w:color w:val="000000" w:themeColor="text1"/>
                <w:sz w:val="24"/>
                <w:szCs w:val="24"/>
                <w:lang w:val="en-GB"/>
                <w14:textFill>
                  <w14:solidFill>
                    <w14:schemeClr w14:val="tx1"/>
                  </w14:solidFill>
                </w14:textFill>
              </w:rPr>
              <w:t>千克/吨原料</w:t>
            </w:r>
            <w:r>
              <w:rPr>
                <w:rFonts w:hint="default" w:ascii="Times New Roman" w:hAnsi="Times New Roman" w:cs="Times New Roman"/>
                <w:color w:val="000000" w:themeColor="text1"/>
                <w:sz w:val="24"/>
                <w:szCs w:val="24"/>
                <w:lang w:val="en-GB"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根据企业提供资料，</w:t>
            </w:r>
            <w:r>
              <w:rPr>
                <w:rFonts w:hint="default" w:ascii="Times New Roman" w:hAnsi="Times New Roman" w:cs="Times New Roman"/>
                <w:color w:val="000000" w:themeColor="text1"/>
                <w:sz w:val="24"/>
                <w:szCs w:val="24"/>
                <w:lang w:val="en-US" w:eastAsia="zh-CN"/>
                <w14:textFill>
                  <w14:solidFill>
                    <w14:schemeClr w14:val="tx1"/>
                  </w14:solidFill>
                </w14:textFill>
              </w:rPr>
              <w:t>本项目</w:t>
            </w:r>
            <w:r>
              <w:rPr>
                <w:rFonts w:hint="eastAsia" w:ascii="Times New Roman" w:hAnsi="Times New Roman" w:cs="Times New Roman"/>
                <w:color w:val="000000" w:themeColor="text1"/>
                <w:sz w:val="24"/>
                <w:szCs w:val="24"/>
                <w:lang w:val="en-US" w:eastAsia="zh-CN"/>
                <w14:textFill>
                  <w14:solidFill>
                    <w14:schemeClr w14:val="tx1"/>
                  </w14:solidFill>
                </w14:textFill>
              </w:rPr>
              <w:t>粉末涂料年使用量</w:t>
            </w:r>
            <w:r>
              <w:rPr>
                <w:rFonts w:hint="eastAsia" w:cs="Times New Roman"/>
                <w:color w:val="000000" w:themeColor="text1"/>
                <w:sz w:val="24"/>
                <w:szCs w:val="24"/>
                <w:lang w:val="en-US" w:eastAsia="zh-CN"/>
                <w14:textFill>
                  <w14:solidFill>
                    <w14:schemeClr w14:val="tx1"/>
                  </w14:solidFill>
                </w14:textFill>
              </w:rPr>
              <w:t>为</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t，则</w:t>
            </w:r>
            <w:r>
              <w:rPr>
                <w:rFonts w:hint="eastAsia" w:ascii="Times New Roman" w:hAnsi="Times New Roman" w:cs="Times New Roman"/>
                <w:color w:val="000000" w:themeColor="text1"/>
                <w:sz w:val="24"/>
                <w:szCs w:val="24"/>
                <w:lang w:val="en-US" w:eastAsia="zh-CN"/>
                <w14:textFill>
                  <w14:solidFill>
                    <w14:schemeClr w14:val="tx1"/>
                  </w14:solidFill>
                </w14:textFill>
              </w:rPr>
              <w:t>喷塑</w:t>
            </w:r>
            <w:r>
              <w:rPr>
                <w:rFonts w:hint="eastAsia" w:ascii="Times New Roman" w:hAnsi="Times New Roman" w:cs="Times New Roman"/>
                <w:b w:val="0"/>
                <w:bCs w:val="0"/>
                <w:sz w:val="24"/>
                <w:lang w:val="en-US" w:eastAsia="zh-CN"/>
              </w:rPr>
              <w:t>颗粒物</w:t>
            </w:r>
            <w:r>
              <w:rPr>
                <w:rFonts w:hint="default" w:ascii="Times New Roman" w:hAnsi="Times New Roman" w:eastAsia="宋体" w:cs="Times New Roman"/>
                <w:b w:val="0"/>
                <w:bCs w:val="0"/>
                <w:sz w:val="24"/>
                <w:lang w:val="en-US" w:eastAsia="zh-CN"/>
              </w:rPr>
              <w:t>产生量</w:t>
            </w:r>
            <w:r>
              <w:rPr>
                <w:rFonts w:hint="default" w:ascii="Times New Roman" w:hAnsi="Times New Roman" w:cs="Times New Roman"/>
                <w:color w:val="000000" w:themeColor="text1"/>
                <w:sz w:val="24"/>
                <w:szCs w:val="24"/>
                <w:lang w:val="en-GB"/>
                <w14:textFill>
                  <w14:solidFill>
                    <w14:schemeClr w14:val="tx1"/>
                  </w14:solidFill>
                </w14:textFill>
              </w:rPr>
              <w:t>为</w:t>
            </w:r>
            <w:r>
              <w:rPr>
                <w:rFonts w:hint="eastAsia" w:ascii="Times New Roman" w:hAnsi="Times New Roman" w:cs="Times New Roman"/>
                <w:color w:val="000000" w:themeColor="text1"/>
                <w:sz w:val="24"/>
                <w:szCs w:val="24"/>
                <w:lang w:val="en-US" w:eastAsia="zh-CN"/>
                <w14:textFill>
                  <w14:solidFill>
                    <w14:schemeClr w14:val="tx1"/>
                  </w14:solidFill>
                </w14:textFill>
              </w:rPr>
              <w:t>0.3</w:t>
            </w:r>
            <w:r>
              <w:rPr>
                <w:rFonts w:hint="default" w:ascii="Times New Roman" w:hAnsi="Times New Roman" w:cs="Times New Roman"/>
                <w:color w:val="000000" w:themeColor="text1"/>
                <w:sz w:val="24"/>
                <w:szCs w:val="24"/>
                <w:lang w:val="en-GB"/>
                <w14:textFill>
                  <w14:solidFill>
                    <w14:schemeClr w14:val="tx1"/>
                  </w14:solidFill>
                </w14:textFill>
              </w:rPr>
              <w:t>t/a</w:t>
            </w:r>
            <w:r>
              <w:rPr>
                <w:rFonts w:hint="eastAsia" w:cs="Times New Roman"/>
                <w:color w:val="000000" w:themeColor="text1"/>
                <w:sz w:val="24"/>
                <w:szCs w:val="24"/>
                <w:lang w:val="en-GB" w:eastAsia="zh-CN"/>
                <w14:textFill>
                  <w14:solidFill>
                    <w14:schemeClr w14:val="tx1"/>
                  </w14:solidFill>
                </w14:textFill>
              </w:rPr>
              <w:t>。</w:t>
            </w:r>
          </w:p>
          <w:p w14:paraId="374FB6BA">
            <w:pPr>
              <w:shd w:val="clear"/>
              <w:autoSpaceDE w:val="0"/>
              <w:autoSpaceDN w:val="0"/>
              <w:adjustRightInd w:val="0"/>
              <w:snapToGrid w:val="0"/>
              <w:spacing w:line="360" w:lineRule="auto"/>
              <w:ind w:firstLine="480" w:firstLineChars="200"/>
              <w:jc w:val="left"/>
              <w:rPr>
                <w:rFonts w:hint="eastAsia" w:ascii="Times New Roman" w:hAnsi="Times New Roman" w:cs="Times New Roman"/>
                <w:color w:val="000000" w:themeColor="text1"/>
                <w:sz w:val="24"/>
                <w:szCs w:val="24"/>
                <w:highlight w:val="none"/>
                <w:lang w:val="en-GB" w:eastAsia="zh-CN"/>
                <w14:textFill>
                  <w14:solidFill>
                    <w14:schemeClr w14:val="tx1"/>
                  </w14:solidFill>
                </w14:textFill>
              </w:rPr>
            </w:pPr>
            <w:r>
              <w:rPr>
                <w:rFonts w:hint="default" w:ascii="Times New Roman" w:hAnsi="Times New Roman" w:cs="Times New Roman"/>
                <w:b w:val="0"/>
                <w:bCs w:val="0"/>
                <w:color w:val="auto"/>
              </w:rPr>
              <w:t>建设单位</w:t>
            </w:r>
            <w:r>
              <w:rPr>
                <w:rFonts w:hint="eastAsia" w:ascii="Times New Roman" w:hAnsi="Times New Roman" w:cs="Times New Roman"/>
                <w:b w:val="0"/>
                <w:bCs w:val="0"/>
                <w:color w:val="auto"/>
                <w:lang w:val="en-US" w:eastAsia="zh-CN"/>
              </w:rPr>
              <w:t>新建</w:t>
            </w:r>
            <w:r>
              <w:rPr>
                <w:rFonts w:hint="default" w:ascii="Times New Roman" w:hAnsi="Times New Roman" w:cs="Times New Roman"/>
                <w:b w:val="0"/>
                <w:bCs w:val="0"/>
                <w:color w:val="auto"/>
              </w:rPr>
              <w:t>1个密闭</w:t>
            </w:r>
            <w:r>
              <w:rPr>
                <w:rFonts w:hint="eastAsia" w:ascii="Times New Roman" w:hAnsi="Times New Roman" w:cs="Times New Roman"/>
                <w:b w:val="0"/>
                <w:bCs w:val="0"/>
                <w:color w:val="auto"/>
                <w:lang w:val="en-US" w:eastAsia="zh-CN"/>
              </w:rPr>
              <w:t>喷塑</w:t>
            </w:r>
            <w:r>
              <w:rPr>
                <w:rFonts w:hint="default" w:ascii="Times New Roman" w:hAnsi="Times New Roman" w:cs="Times New Roman"/>
                <w:b w:val="0"/>
                <w:bCs w:val="0"/>
                <w:color w:val="auto"/>
              </w:rPr>
              <w:t>房（</w:t>
            </w:r>
            <w:r>
              <w:rPr>
                <w:rFonts w:hint="eastAsia" w:ascii="Times New Roman" w:hAnsi="Times New Roman" w:cs="Times New Roman"/>
                <w:b w:val="0"/>
                <w:bCs w:val="0"/>
                <w:color w:val="auto"/>
                <w:lang w:val="en-US" w:eastAsia="zh-CN"/>
              </w:rPr>
              <w:t>6</w:t>
            </w:r>
            <w:r>
              <w:rPr>
                <w:rFonts w:hint="default" w:ascii="Times New Roman" w:hAnsi="Times New Roman" w:cs="Times New Roman"/>
                <w:b w:val="0"/>
                <w:bCs w:val="0"/>
                <w:color w:val="auto"/>
              </w:rPr>
              <w:t>m×</w:t>
            </w:r>
            <w:r>
              <w:rPr>
                <w:rFonts w:hint="eastAsia" w:ascii="Times New Roman" w:hAnsi="Times New Roman" w:cs="Times New Roman"/>
                <w:b w:val="0"/>
                <w:bCs w:val="0"/>
                <w:color w:val="auto"/>
                <w:lang w:val="en-US" w:eastAsia="zh-CN"/>
              </w:rPr>
              <w:t>4</w:t>
            </w:r>
            <w:r>
              <w:rPr>
                <w:rFonts w:hint="default" w:ascii="Times New Roman" w:hAnsi="Times New Roman" w:cs="Times New Roman"/>
                <w:b w:val="0"/>
                <w:bCs w:val="0"/>
                <w:color w:val="auto"/>
              </w:rPr>
              <w:t>m×</w:t>
            </w:r>
            <w:r>
              <w:rPr>
                <w:rFonts w:hint="eastAsia" w:ascii="Times New Roman" w:hAnsi="Times New Roman" w:cs="Times New Roman"/>
                <w:b w:val="0"/>
                <w:bCs w:val="0"/>
                <w:color w:val="auto"/>
                <w:lang w:val="en-US" w:eastAsia="zh-CN"/>
              </w:rPr>
              <w:t>5</w:t>
            </w:r>
            <w:r>
              <w:rPr>
                <w:rFonts w:hint="default" w:ascii="Times New Roman" w:hAnsi="Times New Roman" w:cs="Times New Roman"/>
                <w:b w:val="0"/>
                <w:bCs w:val="0"/>
                <w:color w:val="auto"/>
              </w:rPr>
              <w:t>m）</w:t>
            </w:r>
            <w:r>
              <w:rPr>
                <w:rFonts w:hint="eastAsia" w:cs="Times New Roman"/>
                <w:b w:val="0"/>
                <w:bCs w:val="0"/>
                <w:color w:val="auto"/>
                <w:lang w:eastAsia="zh-CN"/>
              </w:rPr>
              <w:t>，</w:t>
            </w:r>
            <w:r>
              <w:rPr>
                <w:rFonts w:hint="eastAsia" w:cs="Times New Roman"/>
                <w:b w:val="0"/>
                <w:bCs w:val="0"/>
                <w:color w:val="auto"/>
                <w:lang w:val="en-US" w:eastAsia="zh-CN"/>
              </w:rPr>
              <w:t>喷塑</w:t>
            </w:r>
            <w:r>
              <w:rPr>
                <w:rFonts w:hint="default" w:ascii="Times New Roman" w:hAnsi="Times New Roman" w:cs="Times New Roman"/>
                <w:b w:val="0"/>
                <w:bCs w:val="0"/>
                <w:color w:val="auto"/>
              </w:rPr>
              <w:t>房采用负压抽吸的方式收集废气</w:t>
            </w:r>
            <w:r>
              <w:rPr>
                <w:rFonts w:hint="eastAsia" w:ascii="Times New Roman" w:hAnsi="Times New Roman" w:cs="Times New Roman"/>
                <w:b w:val="0"/>
                <w:bCs w:val="0"/>
                <w:color w:val="auto"/>
                <w:lang w:eastAsia="zh-CN"/>
              </w:rPr>
              <w:t>，</w:t>
            </w:r>
            <w:r>
              <w:rPr>
                <w:rFonts w:hint="default" w:ascii="Times New Roman" w:hAnsi="Times New Roman" w:cs="Times New Roman"/>
                <w:b w:val="0"/>
                <w:bCs w:val="0"/>
                <w:color w:val="auto"/>
              </w:rPr>
              <w:t>换气次数为</w:t>
            </w:r>
            <w:r>
              <w:rPr>
                <w:rFonts w:hint="eastAsia" w:cs="Times New Roman"/>
                <w:b w:val="0"/>
                <w:bCs w:val="0"/>
                <w:color w:val="auto"/>
                <w:lang w:val="en-US" w:eastAsia="zh-CN"/>
              </w:rPr>
              <w:t>2</w:t>
            </w:r>
            <w:r>
              <w:rPr>
                <w:rFonts w:hint="default" w:ascii="Times New Roman" w:hAnsi="Times New Roman" w:cs="Times New Roman"/>
                <w:b w:val="0"/>
                <w:bCs w:val="0"/>
                <w:color w:val="auto"/>
              </w:rPr>
              <w:t>0次/h，</w:t>
            </w:r>
            <w:r>
              <w:rPr>
                <w:rFonts w:hint="eastAsia" w:cs="Times New Roman"/>
                <w:b w:val="0"/>
                <w:bCs w:val="0"/>
                <w:color w:val="auto"/>
                <w:lang w:val="en-US" w:eastAsia="zh-CN"/>
              </w:rPr>
              <w:t>喷塑</w:t>
            </w:r>
            <w:r>
              <w:rPr>
                <w:rFonts w:hint="default" w:ascii="Times New Roman" w:hAnsi="Times New Roman" w:cs="Times New Roman"/>
                <w:b w:val="0"/>
                <w:bCs w:val="0"/>
                <w:color w:val="auto"/>
              </w:rPr>
              <w:t>房所需风量</w:t>
            </w:r>
            <w:r>
              <w:rPr>
                <w:rFonts w:hint="eastAsia" w:cs="Times New Roman"/>
                <w:b w:val="0"/>
                <w:bCs w:val="0"/>
                <w:color w:val="auto"/>
                <w:lang w:val="en-US" w:eastAsia="zh-CN"/>
              </w:rPr>
              <w:t>2</w:t>
            </w:r>
            <w:r>
              <w:rPr>
                <w:rFonts w:hint="eastAsia" w:ascii="Times New Roman" w:hAnsi="Times New Roman" w:cs="Times New Roman"/>
                <w:b w:val="0"/>
                <w:bCs w:val="0"/>
                <w:color w:val="auto"/>
                <w:lang w:val="en-US" w:eastAsia="zh-CN"/>
              </w:rPr>
              <w:t>40</w:t>
            </w:r>
            <w:r>
              <w:rPr>
                <w:rFonts w:hint="default" w:ascii="Times New Roman" w:hAnsi="Times New Roman" w:cs="Times New Roman"/>
                <w:b w:val="0"/>
                <w:bCs w:val="0"/>
                <w:color w:val="auto"/>
              </w:rPr>
              <w:t>0m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/h。项目</w:t>
            </w:r>
            <w:r>
              <w:rPr>
                <w:rFonts w:hint="eastAsia" w:cs="Times New Roman"/>
                <w:b w:val="0"/>
                <w:bCs w:val="0"/>
                <w:color w:val="auto"/>
                <w:highlight w:val="none"/>
                <w:lang w:val="en-US" w:eastAsia="zh-CN"/>
              </w:rPr>
              <w:t>喷塑</w:t>
            </w:r>
            <w:r>
              <w:rPr>
                <w:rFonts w:hint="eastAsia" w:ascii="Times New Roman" w:hAnsi="Times New Roman" w:cs="Times New Roman"/>
                <w:b w:val="0"/>
                <w:bCs w:val="0"/>
                <w:color w:val="auto"/>
                <w:highlight w:val="none"/>
                <w:lang w:val="en-US" w:eastAsia="zh-CN"/>
              </w:rPr>
              <w:t>房</w:t>
            </w:r>
            <w:r>
              <w:rPr>
                <w:rFonts w:hint="default" w:ascii="Times New Roman" w:hAnsi="Times New Roman" w:cs="Times New Roman"/>
                <w:b w:val="0"/>
                <w:bCs w:val="0"/>
                <w:color w:val="auto"/>
                <w:highlight w:val="none"/>
              </w:rPr>
              <w:t>每天工作8h，每年工作300天。</w:t>
            </w:r>
            <w:r>
              <w:rPr>
                <w:rFonts w:hint="eastAsia" w:cs="Times New Roman"/>
                <w:color w:val="000000" w:themeColor="text1"/>
                <w:sz w:val="24"/>
                <w:szCs w:val="24"/>
                <w:lang w:val="en-US" w:eastAsia="zh-CN"/>
                <w14:textFill>
                  <w14:solidFill>
                    <w14:schemeClr w14:val="tx1"/>
                  </w14:solidFill>
                </w14:textFill>
              </w:rPr>
              <w:t>喷塑废气经滤筒除尘器收集</w:t>
            </w:r>
            <w:r>
              <w:rPr>
                <w:rFonts w:hint="eastAsia" w:ascii="Times New Roman" w:hAnsi="Times New Roman" w:cs="Times New Roman"/>
                <w:color w:val="000000" w:themeColor="text1"/>
                <w:sz w:val="24"/>
                <w:szCs w:val="24"/>
                <w:lang w:val="en-US" w:eastAsia="zh-CN"/>
                <w14:textFill>
                  <w14:solidFill>
                    <w14:schemeClr w14:val="tx1"/>
                  </w14:solidFill>
                </w14:textFill>
              </w:rPr>
              <w:t>回用</w:t>
            </w:r>
            <w:r>
              <w:rPr>
                <w:rFonts w:hint="eastAsia" w:cs="Times New Roman"/>
                <w:color w:val="000000" w:themeColor="text1"/>
                <w:sz w:val="24"/>
                <w:szCs w:val="24"/>
                <w:lang w:val="en-US" w:eastAsia="zh-CN"/>
                <w14:textFill>
                  <w14:solidFill>
                    <w14:schemeClr w14:val="tx1"/>
                  </w14:solidFill>
                </w14:textFill>
              </w:rPr>
              <w:t>，处理后废气经24米高排气筒</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DA00</w:t>
            </w:r>
            <w:r>
              <w:rPr>
                <w:rFonts w:hint="eastAsia" w:ascii="Times New Roman" w:hAnsi="Times New Roman"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w:t>
            </w:r>
            <w:r>
              <w:rPr>
                <w:rFonts w:hint="eastAsia" w:cs="Times New Roman"/>
                <w:color w:val="000000" w:themeColor="text1"/>
                <w:sz w:val="24"/>
                <w:szCs w:val="24"/>
                <w:lang w:val="en-US" w:eastAsia="zh-CN"/>
                <w14:textFill>
                  <w14:solidFill>
                    <w14:schemeClr w14:val="tx1"/>
                  </w14:solidFill>
                </w14:textFill>
              </w:rPr>
              <w:t>排放。收集效率取98%，处理效率取85%，</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计算可知</w:t>
            </w:r>
            <w:r>
              <w:rPr>
                <w:rFonts w:hint="eastAsia" w:ascii="Times New Roman" w:hAnsi="Times New Roman" w:cs="Times New Roman"/>
                <w:b w:val="0"/>
                <w:bCs w:val="0"/>
                <w:color w:val="auto"/>
                <w:szCs w:val="28"/>
                <w:lang w:val="en-US" w:eastAsia="zh-CN"/>
              </w:rPr>
              <w:t>无组织排放量0.0</w:t>
            </w:r>
            <w:r>
              <w:rPr>
                <w:rFonts w:hint="eastAsia" w:cs="Times New Roman"/>
                <w:b w:val="0"/>
                <w:bCs w:val="0"/>
                <w:color w:val="auto"/>
                <w:szCs w:val="28"/>
                <w:lang w:val="en-US" w:eastAsia="zh-CN"/>
              </w:rPr>
              <w:t>06</w:t>
            </w:r>
            <w:r>
              <w:rPr>
                <w:rFonts w:hint="default" w:ascii="Times New Roman" w:hAnsi="Times New Roman" w:cs="Times New Roman"/>
                <w:b w:val="0"/>
                <w:bCs w:val="0"/>
                <w:color w:val="auto"/>
                <w:szCs w:val="28"/>
              </w:rPr>
              <w:t>t/a</w:t>
            </w:r>
            <w:r>
              <w:rPr>
                <w:rFonts w:hint="eastAsia" w:ascii="Times New Roman" w:hAnsi="Times New Roman" w:cs="Times New Roman"/>
                <w:b w:val="0"/>
                <w:bCs w:val="0"/>
                <w:szCs w:val="21"/>
                <w:highlight w:val="none"/>
                <w:vertAlign w:val="baseline"/>
                <w:lang w:eastAsia="zh-CN"/>
              </w:rPr>
              <w:t>，</w:t>
            </w:r>
            <w:r>
              <w:rPr>
                <w:rFonts w:hint="default" w:ascii="Times New Roman" w:hAnsi="Times New Roman" w:cs="Times New Roman"/>
                <w:b w:val="0"/>
                <w:bCs w:val="0"/>
                <w:color w:val="auto"/>
                <w:szCs w:val="28"/>
              </w:rPr>
              <w:t>有组织</w:t>
            </w:r>
            <w:r>
              <w:rPr>
                <w:rFonts w:hint="eastAsia" w:ascii="Times New Roman" w:hAnsi="Times New Roman" w:cs="Times New Roman"/>
                <w:b w:val="0"/>
                <w:bCs w:val="0"/>
                <w:color w:val="auto"/>
                <w:szCs w:val="28"/>
                <w:lang w:val="en-US" w:eastAsia="zh-CN"/>
              </w:rPr>
              <w:t>排放</w:t>
            </w:r>
            <w:r>
              <w:rPr>
                <w:rFonts w:hint="default" w:ascii="Times New Roman" w:hAnsi="Times New Roman" w:cs="Times New Roman"/>
                <w:b w:val="0"/>
                <w:bCs w:val="0"/>
                <w:color w:val="auto"/>
                <w:szCs w:val="28"/>
              </w:rPr>
              <w:t>量为</w:t>
            </w:r>
            <w:r>
              <w:rPr>
                <w:rFonts w:hint="eastAsia" w:ascii="Times New Roman" w:hAnsi="Times New Roman" w:cs="Times New Roman"/>
                <w:b w:val="0"/>
                <w:bCs w:val="0"/>
                <w:color w:val="auto"/>
                <w:szCs w:val="28"/>
                <w:lang w:val="en-US" w:eastAsia="zh-CN"/>
              </w:rPr>
              <w:t>0.0</w:t>
            </w:r>
            <w:r>
              <w:rPr>
                <w:rFonts w:hint="eastAsia" w:cs="Times New Roman"/>
                <w:b w:val="0"/>
                <w:bCs w:val="0"/>
                <w:color w:val="auto"/>
                <w:szCs w:val="28"/>
                <w:lang w:val="en-US" w:eastAsia="zh-CN"/>
              </w:rPr>
              <w:t>44</w:t>
            </w:r>
            <w:r>
              <w:rPr>
                <w:rFonts w:hint="default" w:ascii="Times New Roman" w:hAnsi="Times New Roman" w:cs="Times New Roman"/>
                <w:b w:val="0"/>
                <w:bCs w:val="0"/>
                <w:color w:val="auto"/>
                <w:szCs w:val="28"/>
              </w:rPr>
              <w:t>t/a</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排放浓度为</w:t>
            </w:r>
            <w:r>
              <w:rPr>
                <w:rFonts w:hint="eastAsia" w:cs="Times New Roman"/>
                <w:b w:val="0"/>
                <w:bCs w:val="0"/>
                <w:color w:val="auto"/>
                <w:szCs w:val="28"/>
                <w:lang w:val="en-US" w:eastAsia="zh-CN"/>
              </w:rPr>
              <w:t>7.66</w:t>
            </w:r>
            <w:r>
              <w:rPr>
                <w:rFonts w:hint="eastAsia" w:ascii="Times New Roman" w:hAnsi="Times New Roman" w:cs="Times New Roman"/>
                <w:b w:val="0"/>
                <w:bCs w:val="0"/>
                <w:color w:val="auto"/>
                <w:szCs w:val="28"/>
                <w:lang w:val="en-US" w:eastAsia="zh-CN"/>
              </w:rPr>
              <w:t>mg/m</w:t>
            </w:r>
            <w:r>
              <w:rPr>
                <w:rFonts w:hint="eastAsia" w:ascii="Times New Roman" w:hAnsi="Times New Roman" w:cs="Times New Roman"/>
                <w:b w:val="0"/>
                <w:bCs w:val="0"/>
                <w:color w:val="auto"/>
                <w:szCs w:val="28"/>
                <w:vertAlign w:val="superscript"/>
                <w:lang w:val="en-US" w:eastAsia="zh-CN"/>
              </w:rPr>
              <w:t>3</w:t>
            </w:r>
            <w:r>
              <w:rPr>
                <w:rFonts w:hint="eastAsia" w:ascii="Times New Roman" w:hAnsi="Times New Roman" w:cs="Times New Roman"/>
                <w:b w:val="0"/>
                <w:bCs w:val="0"/>
                <w:color w:val="auto"/>
                <w:szCs w:val="28"/>
                <w:lang w:val="en-US" w:eastAsia="zh-CN"/>
              </w:rPr>
              <w:t>，排放速率为0.0</w:t>
            </w:r>
            <w:r>
              <w:rPr>
                <w:rFonts w:hint="eastAsia" w:cs="Times New Roman"/>
                <w:b w:val="0"/>
                <w:bCs w:val="0"/>
                <w:color w:val="auto"/>
                <w:szCs w:val="28"/>
                <w:lang w:val="en-US" w:eastAsia="zh-CN"/>
              </w:rPr>
              <w:t>18</w:t>
            </w:r>
            <w:r>
              <w:rPr>
                <w:rFonts w:hint="eastAsia" w:ascii="Times New Roman" w:hAnsi="Times New Roman" w:cs="Times New Roman"/>
                <w:b w:val="0"/>
                <w:bCs w:val="0"/>
                <w:color w:val="auto"/>
                <w:szCs w:val="28"/>
                <w:lang w:val="en-US" w:eastAsia="zh-CN"/>
              </w:rPr>
              <w:t>kg/h</w:t>
            </w:r>
            <w:r>
              <w:rPr>
                <w:rFonts w:hint="eastAsia" w:ascii="Times New Roman" w:hAnsi="Times New Roman" w:cs="Times New Roman"/>
                <w:color w:val="000000" w:themeColor="text1"/>
                <w:sz w:val="24"/>
                <w:szCs w:val="24"/>
                <w:highlight w:val="none"/>
                <w:lang w:val="en-GB" w:eastAsia="zh-CN"/>
                <w14:textFill>
                  <w14:solidFill>
                    <w14:schemeClr w14:val="tx1"/>
                  </w14:solidFill>
                </w14:textFill>
              </w:rPr>
              <w:t>。</w:t>
            </w:r>
          </w:p>
          <w:p w14:paraId="094889C3">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cs="Times New Roman"/>
                <w:b w:val="0"/>
                <w:bCs w:val="0"/>
                <w:sz w:val="24"/>
                <w:lang w:val="en-US" w:eastAsia="zh-CN"/>
              </w:rPr>
            </w:pPr>
            <w:r>
              <w:rPr>
                <w:rFonts w:hint="eastAsia" w:cs="Times New Roman"/>
                <w:b w:val="0"/>
                <w:bCs w:val="0"/>
                <w:sz w:val="24"/>
                <w:lang w:val="en-US" w:eastAsia="zh-CN"/>
              </w:rPr>
              <w:t>（6）喷塑后烘干废气</w:t>
            </w:r>
          </w:p>
          <w:p w14:paraId="1362B509">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kern w:val="0"/>
                <w:sz w:val="24"/>
                <w:szCs w:val="24"/>
                <w:lang w:eastAsia="zh-CN"/>
              </w:rPr>
            </w:pP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根据《排放源统计调查产排污核算方法和系数手册》（生态环境</w:t>
            </w:r>
            <w:r>
              <w:rPr>
                <w:rFonts w:hint="default" w:ascii="Times New Roman" w:hAnsi="Times New Roman" w:cs="Times New Roman" w:eastAsiaTheme="minorEastAsia"/>
                <w:highlight w:val="none"/>
                <w:lang w:val="en-GB" w:eastAsia="zh-CN"/>
              </w:rPr>
              <w:t>部办公厅2</w:t>
            </w:r>
            <w:r>
              <w:rPr>
                <w:rFonts w:hint="default" w:ascii="Times New Roman" w:hAnsi="Times New Roman" w:cs="Times New Roman"/>
                <w:color w:val="000000" w:themeColor="text1"/>
                <w:sz w:val="24"/>
                <w:szCs w:val="24"/>
                <w:highlight w:val="none"/>
                <w:lang w:val="en-GB"/>
                <w14:textFill>
                  <w14:solidFill>
                    <w14:schemeClr w14:val="tx1"/>
                  </w14:solidFill>
                </w14:textFill>
              </w:rPr>
              <w:t>021 年6月11日印发）中《机械行业系数手册》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14</w:t>
            </w:r>
            <w:r>
              <w:rPr>
                <w:rFonts w:hint="default" w:ascii="Times New Roman" w:hAnsi="Times New Roman" w:cs="Times New Roman"/>
                <w:color w:val="000000" w:themeColor="text1"/>
                <w:sz w:val="24"/>
                <w:szCs w:val="24"/>
                <w:highlight w:val="none"/>
                <w:lang w:val="en-GB"/>
                <w14:textFill>
                  <w14:solidFill>
                    <w14:schemeClr w14:val="tx1"/>
                  </w14:solidFill>
                </w14:textFill>
              </w:rPr>
              <w:t xml:space="preserve">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涂装</w:t>
            </w:r>
            <w:r>
              <w:rPr>
                <w:rFonts w:hint="default" w:ascii="Times New Roman" w:hAnsi="Times New Roman" w:cs="Times New Roman"/>
                <w:color w:val="000000" w:themeColor="text1"/>
                <w:sz w:val="24"/>
                <w:szCs w:val="24"/>
                <w:highlight w:val="none"/>
                <w:lang w:val="en-GB"/>
                <w14:textFill>
                  <w14:solidFill>
                    <w14:schemeClr w14:val="tx1"/>
                  </w14:solidFill>
                </w14:textFill>
              </w:rPr>
              <w:t>工序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喷塑烘干</w:t>
            </w:r>
            <w:r>
              <w:rPr>
                <w:rFonts w:hint="eastAsia" w:cs="Times New Roman"/>
                <w:color w:val="000000" w:themeColor="text1"/>
                <w:sz w:val="24"/>
                <w:szCs w:val="24"/>
                <w:lang w:val="en-US" w:eastAsia="zh-CN"/>
                <w14:textFill>
                  <w14:solidFill>
                    <w14:schemeClr w14:val="tx1"/>
                  </w14:solidFill>
                </w14:textFill>
              </w:rPr>
              <w:t>挥发性有机物</w:t>
            </w:r>
            <w:r>
              <w:rPr>
                <w:rFonts w:hint="default" w:ascii="Times New Roman" w:hAnsi="Times New Roman" w:cs="Times New Roman"/>
                <w:color w:val="000000" w:themeColor="text1"/>
                <w:sz w:val="24"/>
                <w:szCs w:val="24"/>
                <w:highlight w:val="none"/>
                <w:lang w:val="en-GB"/>
                <w14:textFill>
                  <w14:solidFill>
                    <w14:schemeClr w14:val="tx1"/>
                  </w14:solidFill>
                </w14:textFill>
              </w:rPr>
              <w:t>产污系数</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cs="Times New Roman"/>
                <w:color w:val="000000" w:themeColor="text1"/>
                <w:sz w:val="24"/>
                <w:szCs w:val="24"/>
                <w:highlight w:val="none"/>
                <w:lang w:val="en-GB"/>
                <w14:textFill>
                  <w14:solidFill>
                    <w14:schemeClr w14:val="tx1"/>
                  </w14:solidFill>
                </w14:textFill>
              </w:rPr>
              <w:t>千克/吨原料</w:t>
            </w:r>
            <w:r>
              <w:rPr>
                <w:rFonts w:hint="default" w:ascii="Times New Roman" w:hAnsi="Times New Roman" w:cs="Times New Roman"/>
                <w:color w:val="000000" w:themeColor="text1"/>
                <w:sz w:val="24"/>
                <w:szCs w:val="24"/>
                <w:highlight w:val="none"/>
                <w:lang w:val="en-GB"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根据企业提供资料，</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喷塑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工序使用的</w:t>
            </w:r>
            <w:r>
              <w:rPr>
                <w:rFonts w:hint="eastAsia" w:cs="Times New Roman"/>
                <w:color w:val="000000" w:themeColor="text1"/>
                <w:sz w:val="24"/>
                <w:szCs w:val="24"/>
                <w:highlight w:val="none"/>
                <w:lang w:val="en-US" w:eastAsia="zh-CN"/>
                <w14:textFill>
                  <w14:solidFill>
                    <w14:schemeClr w14:val="tx1"/>
                  </w14:solidFill>
                </w14:textFill>
              </w:rPr>
              <w:t>塑粉</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年使用量为</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GB"/>
                <w14:textFill>
                  <w14:solidFill>
                    <w14:schemeClr w14:val="tx1"/>
                  </w14:solidFill>
                </w14:textFill>
              </w:rPr>
              <w:t>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，则喷</w:t>
            </w:r>
            <w:r>
              <w:rPr>
                <w:rFonts w:hint="eastAsia" w:cs="Times New Roman"/>
                <w:color w:val="000000" w:themeColor="text1"/>
                <w:sz w:val="24"/>
                <w:szCs w:val="24"/>
                <w:highlight w:val="none"/>
                <w:lang w:val="en-US" w:eastAsia="zh-CN"/>
                <w14:textFill>
                  <w14:solidFill>
                    <w14:schemeClr w14:val="tx1"/>
                  </w14:solidFill>
                </w14:textFill>
              </w:rPr>
              <w:t>塑</w:t>
            </w:r>
            <w:r>
              <w:rPr>
                <w:rFonts w:hint="default" w:ascii="Times New Roman" w:hAnsi="Times New Roman" w:eastAsia="宋体" w:cs="Times New Roman"/>
                <w:b w:val="0"/>
                <w:bCs w:val="0"/>
                <w:sz w:val="24"/>
                <w:highlight w:val="none"/>
                <w:lang w:val="en-US" w:eastAsia="zh-CN"/>
              </w:rPr>
              <w:t>产生</w:t>
            </w:r>
            <w:r>
              <w:rPr>
                <w:rFonts w:hint="eastAsia" w:ascii="Times New Roman" w:hAnsi="Times New Roman" w:cs="Times New Roman"/>
                <w:b w:val="0"/>
                <w:bCs w:val="0"/>
                <w:sz w:val="24"/>
                <w:highlight w:val="none"/>
                <w:lang w:val="en-US" w:eastAsia="zh-CN"/>
              </w:rPr>
              <w:t>的</w:t>
            </w:r>
            <w:r>
              <w:rPr>
                <w:rFonts w:hint="eastAsia" w:ascii="Times New Roman" w:hAnsi="Times New Roman" w:cs="Times New Roman"/>
                <w:b w:val="0"/>
                <w:bCs w:val="0"/>
                <w:color w:val="auto"/>
                <w:highlight w:val="none"/>
                <w:lang w:val="en-US" w:eastAsia="zh-CN"/>
              </w:rPr>
              <w:t>VOCs</w:t>
            </w:r>
            <w:r>
              <w:rPr>
                <w:rFonts w:hint="default" w:ascii="Times New Roman" w:hAnsi="Times New Roman" w:cs="Times New Roman"/>
                <w:color w:val="000000" w:themeColor="text1"/>
                <w:sz w:val="24"/>
                <w:szCs w:val="24"/>
                <w:highlight w:val="none"/>
                <w:lang w:val="en-GB"/>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0.0012</w:t>
            </w:r>
            <w:r>
              <w:rPr>
                <w:rFonts w:hint="default" w:ascii="Times New Roman" w:hAnsi="Times New Roman" w:cs="Times New Roman"/>
                <w:color w:val="000000" w:themeColor="text1"/>
                <w:sz w:val="24"/>
                <w:szCs w:val="24"/>
                <w:highlight w:val="none"/>
                <w:lang w:val="en-GB"/>
                <w14:textFill>
                  <w14:solidFill>
                    <w14:schemeClr w14:val="tx1"/>
                  </w14:solidFill>
                </w14:textFill>
              </w:rPr>
              <w:t>t/a</w:t>
            </w:r>
            <w:r>
              <w:rPr>
                <w:rFonts w:hint="eastAsia" w:ascii="Times New Roman" w:hAnsi="Times New Roman" w:cs="Times New Roman"/>
                <w:color w:val="000000" w:themeColor="text1"/>
                <w:sz w:val="24"/>
                <w:szCs w:val="24"/>
                <w:highlight w:val="none"/>
                <w:lang w:val="en-GB"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烘干</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废气</w:t>
            </w:r>
            <w:r>
              <w:rPr>
                <w:rFonts w:hint="eastAsia" w:ascii="Times New Roman" w:hAnsi="Times New Roman" w:cs="Times New Roman"/>
                <w:color w:val="auto"/>
                <w:kern w:val="2"/>
                <w:sz w:val="24"/>
                <w:szCs w:val="24"/>
                <w:lang w:val="en-US" w:eastAsia="zh-CN" w:bidi="ar-SA"/>
              </w:rPr>
              <w:t>采用“过滤棉+吸附脱附催化燃烧设施”</w:t>
            </w:r>
            <w:r>
              <w:rPr>
                <w:rFonts w:hint="default" w:ascii="Times New Roman" w:hAnsi="Times New Roman" w:eastAsia="宋体" w:cs="Times New Roman"/>
                <w:color w:val="auto"/>
                <w:kern w:val="2"/>
                <w:sz w:val="24"/>
                <w:szCs w:val="24"/>
                <w:lang w:val="en-US" w:eastAsia="zh-CN" w:bidi="ar-SA"/>
              </w:rPr>
              <w:t>处理后经</w:t>
            </w:r>
            <w:r>
              <w:rPr>
                <w:rFonts w:hint="default" w:ascii="Times New Roman" w:hAnsi="Times New Roman" w:cs="Times New Roman"/>
                <w:color w:val="auto"/>
                <w:kern w:val="2"/>
                <w:sz w:val="24"/>
                <w:szCs w:val="24"/>
                <w:lang w:val="en-US" w:eastAsia="zh-CN" w:bidi="ar-SA"/>
              </w:rPr>
              <w:t>2</w:t>
            </w:r>
            <w:r>
              <w:rPr>
                <w:rFonts w:hint="eastAsia" w:ascii="Times New Roman" w:hAnsi="Times New Roman" w:cs="Times New Roman"/>
                <w:color w:val="auto"/>
                <w:kern w:val="2"/>
                <w:sz w:val="24"/>
                <w:szCs w:val="24"/>
                <w:lang w:val="en-US" w:eastAsia="zh-CN" w:bidi="ar-SA"/>
              </w:rPr>
              <w:t>4</w:t>
            </w:r>
            <w:r>
              <w:rPr>
                <w:rFonts w:hint="default" w:ascii="Times New Roman" w:hAnsi="Times New Roman" w:cs="Times New Roman"/>
                <w:color w:val="auto"/>
                <w:kern w:val="2"/>
                <w:sz w:val="24"/>
                <w:szCs w:val="24"/>
                <w:lang w:val="en-US" w:eastAsia="zh-CN" w:bidi="ar-SA"/>
              </w:rPr>
              <w:t>m高</w:t>
            </w:r>
            <w:r>
              <w:rPr>
                <w:rFonts w:hint="default" w:ascii="Times New Roman" w:hAnsi="Times New Roman" w:eastAsia="宋体" w:cs="Times New Roman"/>
                <w:color w:val="auto"/>
                <w:kern w:val="2"/>
                <w:sz w:val="24"/>
                <w:szCs w:val="24"/>
                <w:lang w:val="en-US" w:eastAsia="zh-CN" w:bidi="ar-SA"/>
              </w:rPr>
              <w:t>排气筒（</w:t>
            </w:r>
            <w:r>
              <w:rPr>
                <w:rFonts w:hint="default" w:ascii="Times New Roman" w:hAnsi="Times New Roman" w:cs="Times New Roman"/>
                <w:color w:val="auto"/>
                <w:kern w:val="2"/>
                <w:sz w:val="24"/>
                <w:szCs w:val="24"/>
                <w:lang w:val="en-US" w:eastAsia="zh-CN" w:bidi="ar-SA"/>
              </w:rPr>
              <w:t>DA001</w:t>
            </w:r>
            <w:r>
              <w:rPr>
                <w:rFonts w:hint="default" w:ascii="Times New Roman" w:hAnsi="Times New Roman" w:eastAsia="宋体" w:cs="Times New Roman"/>
                <w:color w:val="auto"/>
                <w:kern w:val="2"/>
                <w:sz w:val="24"/>
                <w:szCs w:val="24"/>
                <w:lang w:val="en-US" w:eastAsia="zh-CN" w:bidi="ar-SA"/>
              </w:rPr>
              <w:t>）高空排放</w:t>
            </w:r>
            <w:r>
              <w:rPr>
                <w:rFonts w:hint="default" w:ascii="Times New Roman" w:hAnsi="Times New Roman" w:cs="Times New Roman"/>
                <w:color w:val="auto"/>
                <w:kern w:val="2"/>
                <w:sz w:val="24"/>
                <w:szCs w:val="24"/>
                <w:lang w:val="en-US" w:eastAsia="zh-CN" w:bidi="ar-SA"/>
              </w:rPr>
              <w:t>，废气收集效率为98%，非甲烷总烃的去除效率为85%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计算可知</w:t>
            </w:r>
            <w:r>
              <w:rPr>
                <w:rFonts w:hint="eastAsia" w:cs="Times New Roman"/>
                <w:color w:val="000000" w:themeColor="text1"/>
                <w:sz w:val="24"/>
                <w:szCs w:val="24"/>
                <w:highlight w:val="none"/>
                <w:lang w:val="en-US" w:eastAsia="zh-CN"/>
                <w14:textFill>
                  <w14:solidFill>
                    <w14:schemeClr w14:val="tx1"/>
                  </w14:solidFill>
                </w14:textFill>
              </w:rPr>
              <w:t>烘干</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废气中</w:t>
            </w:r>
            <w:r>
              <w:rPr>
                <w:rFonts w:hint="eastAsia" w:ascii="Times New Roman" w:hAnsi="Times New Roman" w:cs="Times New Roman"/>
                <w:b w:val="0"/>
                <w:bCs w:val="0"/>
                <w:color w:val="auto"/>
                <w:szCs w:val="28"/>
                <w:lang w:val="en-US" w:eastAsia="zh-CN"/>
              </w:rPr>
              <w:t>VOCs无组织排放量</w:t>
            </w:r>
            <w:r>
              <w:rPr>
                <w:rFonts w:hint="eastAsia" w:cs="Times New Roman"/>
                <w:b w:val="0"/>
                <w:bCs w:val="0"/>
                <w:color w:val="auto"/>
                <w:szCs w:val="28"/>
                <w:lang w:val="en-US" w:eastAsia="zh-CN"/>
              </w:rPr>
              <w:t>0.00002</w:t>
            </w:r>
            <w:r>
              <w:rPr>
                <w:rFonts w:hint="default" w:ascii="Times New Roman" w:hAnsi="Times New Roman" w:cs="Times New Roman"/>
                <w:b w:val="0"/>
                <w:bCs w:val="0"/>
                <w:color w:val="auto"/>
                <w:szCs w:val="28"/>
              </w:rPr>
              <w:t>t/a</w:t>
            </w:r>
            <w:r>
              <w:rPr>
                <w:rFonts w:hint="eastAsia" w:ascii="Times New Roman" w:hAnsi="Times New Roman" w:cs="Times New Roman"/>
                <w:b w:val="0"/>
                <w:bCs w:val="0"/>
                <w:szCs w:val="21"/>
                <w:highlight w:val="none"/>
                <w:vertAlign w:val="baseline"/>
                <w:lang w:eastAsia="zh-CN"/>
              </w:rPr>
              <w:t>，</w:t>
            </w:r>
            <w:r>
              <w:rPr>
                <w:rFonts w:hint="default" w:ascii="Times New Roman" w:hAnsi="Times New Roman" w:cs="Times New Roman"/>
                <w:b w:val="0"/>
                <w:bCs w:val="0"/>
                <w:color w:val="auto"/>
                <w:szCs w:val="28"/>
              </w:rPr>
              <w:t>有组织</w:t>
            </w:r>
            <w:r>
              <w:rPr>
                <w:rFonts w:hint="eastAsia" w:ascii="Times New Roman" w:hAnsi="Times New Roman" w:cs="Times New Roman"/>
                <w:b w:val="0"/>
                <w:bCs w:val="0"/>
                <w:color w:val="auto"/>
                <w:szCs w:val="28"/>
                <w:lang w:val="en-US" w:eastAsia="zh-CN"/>
              </w:rPr>
              <w:t>排放</w:t>
            </w:r>
            <w:r>
              <w:rPr>
                <w:rFonts w:hint="default" w:ascii="Times New Roman" w:hAnsi="Times New Roman" w:cs="Times New Roman"/>
                <w:b w:val="0"/>
                <w:bCs w:val="0"/>
                <w:color w:val="auto"/>
                <w:szCs w:val="28"/>
              </w:rPr>
              <w:t>量为</w:t>
            </w:r>
            <w:r>
              <w:rPr>
                <w:rFonts w:hint="eastAsia" w:cs="Times New Roman"/>
                <w:b w:val="0"/>
                <w:bCs w:val="0"/>
                <w:color w:val="auto"/>
                <w:szCs w:val="28"/>
                <w:lang w:val="en-US" w:eastAsia="zh-CN"/>
              </w:rPr>
              <w:t>0.00018</w:t>
            </w:r>
            <w:r>
              <w:rPr>
                <w:rFonts w:hint="default" w:ascii="Times New Roman" w:hAnsi="Times New Roman" w:cs="Times New Roman"/>
                <w:b w:val="0"/>
                <w:bCs w:val="0"/>
                <w:color w:val="auto"/>
                <w:szCs w:val="28"/>
              </w:rPr>
              <w:t>t/a</w:t>
            </w:r>
            <w:r>
              <w:rPr>
                <w:rFonts w:hint="eastAsia" w:ascii="Times New Roman" w:hAnsi="Times New Roman" w:cs="Times New Roman"/>
                <w:b w:val="0"/>
                <w:bCs w:val="0"/>
                <w:color w:val="auto"/>
                <w:szCs w:val="28"/>
                <w:lang w:eastAsia="zh-CN"/>
              </w:rPr>
              <w:t>，</w:t>
            </w:r>
            <w:r>
              <w:rPr>
                <w:rFonts w:hint="eastAsia" w:ascii="Times New Roman" w:hAnsi="Times New Roman" w:cs="Times New Roman"/>
                <w:b w:val="0"/>
                <w:bCs w:val="0"/>
                <w:color w:val="auto"/>
                <w:szCs w:val="28"/>
                <w:lang w:val="en-US" w:eastAsia="zh-CN"/>
              </w:rPr>
              <w:t>排放浓度为</w:t>
            </w:r>
            <w:r>
              <w:rPr>
                <w:rFonts w:hint="eastAsia" w:cs="Times New Roman"/>
                <w:b w:val="0"/>
                <w:bCs w:val="0"/>
                <w:color w:val="auto"/>
                <w:szCs w:val="28"/>
                <w:lang w:val="en-US" w:eastAsia="zh-CN"/>
              </w:rPr>
              <w:t>0.005</w:t>
            </w:r>
            <w:r>
              <w:rPr>
                <w:rFonts w:hint="eastAsia" w:ascii="Times New Roman" w:hAnsi="Times New Roman" w:cs="Times New Roman"/>
                <w:b w:val="0"/>
                <w:bCs w:val="0"/>
                <w:color w:val="auto"/>
                <w:szCs w:val="28"/>
                <w:lang w:val="en-US" w:eastAsia="zh-CN"/>
              </w:rPr>
              <w:t>mg/m</w:t>
            </w:r>
            <w:r>
              <w:rPr>
                <w:rFonts w:hint="eastAsia" w:ascii="Times New Roman" w:hAnsi="Times New Roman" w:cs="Times New Roman"/>
                <w:b w:val="0"/>
                <w:bCs w:val="0"/>
                <w:color w:val="auto"/>
                <w:szCs w:val="28"/>
                <w:vertAlign w:val="superscript"/>
                <w:lang w:val="en-US" w:eastAsia="zh-CN"/>
              </w:rPr>
              <w:t>3</w:t>
            </w:r>
            <w:r>
              <w:rPr>
                <w:rFonts w:hint="eastAsia" w:ascii="Times New Roman" w:hAnsi="Times New Roman" w:cs="Times New Roman"/>
                <w:b w:val="0"/>
                <w:bCs w:val="0"/>
                <w:color w:val="auto"/>
                <w:szCs w:val="28"/>
                <w:lang w:val="en-US" w:eastAsia="zh-CN"/>
              </w:rPr>
              <w:t>，排放速率为</w:t>
            </w:r>
            <w:r>
              <w:rPr>
                <w:rFonts w:hint="eastAsia" w:cs="Times New Roman"/>
                <w:b w:val="0"/>
                <w:bCs w:val="0"/>
                <w:color w:val="auto"/>
                <w:szCs w:val="28"/>
                <w:lang w:val="en-US" w:eastAsia="zh-CN"/>
              </w:rPr>
              <w:t>0.00007</w:t>
            </w:r>
            <w:r>
              <w:rPr>
                <w:rFonts w:hint="eastAsia" w:ascii="Times New Roman" w:hAnsi="Times New Roman" w:cs="Times New Roman"/>
                <w:b w:val="0"/>
                <w:bCs w:val="0"/>
                <w:color w:val="auto"/>
                <w:szCs w:val="28"/>
                <w:lang w:val="en-US" w:eastAsia="zh-CN"/>
              </w:rPr>
              <w:t>kg/h</w:t>
            </w:r>
            <w:r>
              <w:rPr>
                <w:rFonts w:hint="eastAsia" w:cs="Times New Roman"/>
                <w:b w:val="0"/>
                <w:bCs w:val="0"/>
                <w:color w:val="auto"/>
                <w:szCs w:val="28"/>
                <w:highlight w:val="none"/>
                <w:lang w:eastAsia="zh-CN"/>
              </w:rPr>
              <w:t>。</w:t>
            </w:r>
          </w:p>
        </w:tc>
      </w:tr>
    </w:tbl>
    <w:p w14:paraId="7A6AB430">
      <w:pPr>
        <w:autoSpaceDE w:val="0"/>
        <w:autoSpaceDN w:val="0"/>
        <w:adjustRightInd w:val="0"/>
        <w:snapToGrid w:val="0"/>
        <w:spacing w:line="360" w:lineRule="auto"/>
        <w:jc w:val="left"/>
        <w:rPr>
          <w:rFonts w:hint="eastAsia"/>
          <w:b w:val="0"/>
          <w:bCs w:val="0"/>
          <w:sz w:val="24"/>
          <w:lang w:val="en-US" w:eastAsia="zh-CN"/>
        </w:rPr>
      </w:pPr>
    </w:p>
    <w:p w14:paraId="2686AF19">
      <w:pPr>
        <w:bidi w:val="0"/>
        <w:rPr>
          <w:rFonts w:hint="eastAsia" w:ascii="Times New Roman" w:hAnsi="Times New Roman" w:eastAsia="宋体" w:cs="Times New Roman"/>
          <w:kern w:val="2"/>
          <w:sz w:val="24"/>
          <w:szCs w:val="24"/>
          <w:lang w:val="en-US" w:eastAsia="zh-CN" w:bidi="ar-SA"/>
        </w:rPr>
      </w:pPr>
    </w:p>
    <w:p w14:paraId="14A4165B">
      <w:pPr>
        <w:bidi w:val="0"/>
        <w:rPr>
          <w:rFonts w:hint="eastAsia"/>
          <w:lang w:val="en-US" w:eastAsia="zh-CN"/>
        </w:rPr>
      </w:pPr>
    </w:p>
    <w:p w14:paraId="7DA9A316">
      <w:pPr>
        <w:bidi w:val="0"/>
        <w:rPr>
          <w:rFonts w:hint="eastAsia"/>
          <w:lang w:val="en-US" w:eastAsia="zh-CN"/>
        </w:rPr>
      </w:pPr>
    </w:p>
    <w:p w14:paraId="749CFDEA">
      <w:pPr>
        <w:bidi w:val="0"/>
        <w:rPr>
          <w:rFonts w:hint="eastAsia"/>
          <w:lang w:val="en-US" w:eastAsia="zh-CN"/>
        </w:rPr>
      </w:pPr>
    </w:p>
    <w:p w14:paraId="530DA3D9">
      <w:pPr>
        <w:bidi w:val="0"/>
        <w:rPr>
          <w:rFonts w:hint="eastAsia"/>
          <w:lang w:val="en-US" w:eastAsia="zh-CN"/>
        </w:rPr>
      </w:pPr>
    </w:p>
    <w:p w14:paraId="445033EF">
      <w:pPr>
        <w:tabs>
          <w:tab w:val="left" w:pos="616"/>
        </w:tabs>
        <w:bidi w:val="0"/>
        <w:jc w:val="left"/>
        <w:rPr>
          <w:rFonts w:hint="eastAsia"/>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lang w:val="en-US" w:eastAsia="zh-CN"/>
        </w:rPr>
        <w:tab/>
      </w:r>
    </w:p>
    <w:tbl>
      <w:tblPr>
        <w:tblStyle w:val="24"/>
        <w:tblW w:w="137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
      <w:tblGrid>
        <w:gridCol w:w="509"/>
        <w:gridCol w:w="13285"/>
      </w:tblGrid>
      <w:tr w14:paraId="70010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810" w:hRule="atLeast"/>
          <w:jc w:val="center"/>
        </w:trPr>
        <w:tc>
          <w:tcPr>
            <w:tcW w:w="509" w:type="dxa"/>
            <w:noWrap w:val="0"/>
            <w:tcMar>
              <w:left w:w="28" w:type="dxa"/>
              <w:right w:w="28" w:type="dxa"/>
            </w:tcMar>
            <w:vAlign w:val="center"/>
          </w:tcPr>
          <w:p w14:paraId="71F5C285">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highlight w:val="none"/>
              </w:rPr>
              <w:t>运营期环境影响和保护措</w:t>
            </w:r>
            <w:r>
              <w:rPr>
                <w:rFonts w:hint="eastAsia" w:ascii="宋体" w:hAnsi="宋体" w:cs="宋体"/>
                <w:kern w:val="0"/>
                <w:sz w:val="24"/>
                <w:szCs w:val="24"/>
              </w:rPr>
              <w:t>施</w:t>
            </w:r>
          </w:p>
        </w:tc>
        <w:tc>
          <w:tcPr>
            <w:tcW w:w="13285" w:type="dxa"/>
            <w:noWrap w:val="0"/>
            <w:vAlign w:val="top"/>
          </w:tcPr>
          <w:p w14:paraId="27E4211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color w:val="auto"/>
                <w:sz w:val="24"/>
                <w:lang w:val="en-US" w:eastAsia="zh-CN"/>
              </w:rPr>
            </w:pPr>
            <w:r>
              <w:rPr>
                <w:rFonts w:hint="eastAsia"/>
                <w:b/>
                <w:bCs/>
                <w:lang w:val="en-US" w:eastAsia="zh-CN"/>
              </w:rPr>
              <w:t>1.2</w:t>
            </w:r>
            <w:r>
              <w:rPr>
                <w:rFonts w:hint="eastAsia"/>
                <w:b/>
                <w:bCs/>
                <w:color w:val="auto"/>
                <w:sz w:val="24"/>
              </w:rPr>
              <w:t>废气污染物源</w:t>
            </w:r>
            <w:r>
              <w:rPr>
                <w:rFonts w:hint="eastAsia"/>
                <w:b/>
                <w:bCs/>
                <w:color w:val="auto"/>
                <w:sz w:val="24"/>
                <w:lang w:val="en-US" w:eastAsia="zh-CN"/>
              </w:rPr>
              <w:t>排放</w:t>
            </w:r>
          </w:p>
          <w:p w14:paraId="563A5E4D">
            <w:pPr>
              <w:jc w:val="center"/>
              <w:rPr>
                <w:rFonts w:hint="eastAsia"/>
                <w:b/>
                <w:bCs/>
                <w:color w:val="auto"/>
                <w:sz w:val="24"/>
                <w:lang w:val="en-US" w:eastAsia="zh-CN"/>
              </w:rPr>
            </w:pPr>
            <w:r>
              <w:rPr>
                <w:rFonts w:ascii="Times New Roman" w:hAnsi="Times New Roman"/>
                <w:b/>
                <w:sz w:val="22"/>
                <w:szCs w:val="22"/>
              </w:rPr>
              <w:t>表4-</w:t>
            </w:r>
            <w:r>
              <w:rPr>
                <w:rFonts w:hint="eastAsia"/>
                <w:b/>
                <w:sz w:val="22"/>
                <w:szCs w:val="22"/>
                <w:lang w:val="en-US" w:eastAsia="zh-CN"/>
              </w:rPr>
              <w:t>2</w:t>
            </w:r>
            <w:r>
              <w:rPr>
                <w:rFonts w:hint="eastAsia"/>
                <w:b/>
                <w:kern w:val="0"/>
                <w:sz w:val="22"/>
                <w:szCs w:val="22"/>
                <w:lang w:val="en-US" w:eastAsia="zh-CN"/>
              </w:rPr>
              <w:t>本</w:t>
            </w:r>
            <w:r>
              <w:rPr>
                <w:rFonts w:hint="eastAsia"/>
                <w:b/>
                <w:kern w:val="0"/>
                <w:sz w:val="22"/>
                <w:szCs w:val="22"/>
              </w:rPr>
              <w:t>项目</w:t>
            </w:r>
            <w:r>
              <w:rPr>
                <w:rFonts w:hint="eastAsia"/>
                <w:b/>
                <w:kern w:val="0"/>
                <w:sz w:val="22"/>
                <w:szCs w:val="22"/>
                <w:lang w:val="en-US" w:eastAsia="zh-CN"/>
              </w:rPr>
              <w:t>废气产排及达标情况一览</w:t>
            </w:r>
            <w:r>
              <w:rPr>
                <w:rFonts w:hint="eastAsia"/>
                <w:b/>
                <w:kern w:val="0"/>
                <w:sz w:val="22"/>
                <w:szCs w:val="22"/>
              </w:rPr>
              <w:t>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945"/>
              <w:gridCol w:w="885"/>
              <w:gridCol w:w="990"/>
              <w:gridCol w:w="960"/>
              <w:gridCol w:w="960"/>
              <w:gridCol w:w="911"/>
              <w:gridCol w:w="1024"/>
              <w:gridCol w:w="914"/>
              <w:gridCol w:w="994"/>
              <w:gridCol w:w="959"/>
              <w:gridCol w:w="913"/>
              <w:gridCol w:w="705"/>
              <w:gridCol w:w="826"/>
            </w:tblGrid>
            <w:tr w14:paraId="6CDC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7" w:type="pct"/>
                  <w:gridSpan w:val="4"/>
                  <w:vMerge w:val="restart"/>
                  <w:shd w:val="clear" w:color="auto" w:fill="auto"/>
                  <w:vAlign w:val="center"/>
                </w:tcPr>
                <w:p w14:paraId="52C620D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000000"/>
                      <w:kern w:val="2"/>
                      <w:sz w:val="21"/>
                      <w:szCs w:val="21"/>
                      <w:lang w:val="en-US" w:eastAsia="zh-CN" w:bidi="ar-SA"/>
                    </w:rPr>
                  </w:pPr>
                  <w:r>
                    <w:rPr>
                      <w:rFonts w:hint="default" w:ascii="Times New Roman" w:hAnsi="Times New Roman" w:cs="Times New Roman"/>
                      <w:b/>
                      <w:bCs w:val="0"/>
                      <w:color w:val="000000"/>
                      <w:sz w:val="21"/>
                      <w:szCs w:val="21"/>
                    </w:rPr>
                    <w:t>污染物产生情况</w:t>
                  </w:r>
                </w:p>
              </w:tc>
              <w:tc>
                <w:tcPr>
                  <w:tcW w:w="1084" w:type="pct"/>
                  <w:gridSpan w:val="3"/>
                  <w:vMerge w:val="restart"/>
                  <w:shd w:val="clear" w:color="auto" w:fill="auto"/>
                  <w:vAlign w:val="center"/>
                </w:tcPr>
                <w:p w14:paraId="3F4832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000000"/>
                      <w:kern w:val="2"/>
                      <w:sz w:val="21"/>
                      <w:szCs w:val="21"/>
                      <w:lang w:val="en-US" w:eastAsia="zh-CN" w:bidi="ar-SA"/>
                    </w:rPr>
                  </w:pPr>
                  <w:r>
                    <w:rPr>
                      <w:rFonts w:hint="default" w:ascii="Times New Roman" w:hAnsi="Times New Roman" w:cs="Times New Roman"/>
                      <w:b/>
                      <w:bCs w:val="0"/>
                      <w:color w:val="000000"/>
                      <w:sz w:val="21"/>
                      <w:szCs w:val="21"/>
                    </w:rPr>
                    <w:t>治理</w:t>
                  </w:r>
                  <w:r>
                    <w:rPr>
                      <w:rFonts w:hint="eastAsia" w:cs="Times New Roman"/>
                      <w:b/>
                      <w:bCs w:val="0"/>
                      <w:color w:val="000000"/>
                      <w:sz w:val="21"/>
                      <w:szCs w:val="21"/>
                      <w:lang w:val="en-US" w:eastAsia="zh-CN"/>
                    </w:rPr>
                    <w:t>设施</w:t>
                  </w:r>
                </w:p>
              </w:tc>
              <w:tc>
                <w:tcPr>
                  <w:tcW w:w="2427" w:type="pct"/>
                  <w:gridSpan w:val="7"/>
                  <w:shd w:val="clear" w:color="auto" w:fill="auto"/>
                  <w:vAlign w:val="center"/>
                </w:tcPr>
                <w:p w14:paraId="567A52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废气排放情况</w:t>
                  </w:r>
                </w:p>
              </w:tc>
            </w:tr>
            <w:tr w14:paraId="10B6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7" w:type="pct"/>
                  <w:gridSpan w:val="4"/>
                  <w:vMerge w:val="continue"/>
                  <w:shd w:val="clear" w:color="auto" w:fill="auto"/>
                  <w:vAlign w:val="center"/>
                </w:tcPr>
                <w:p w14:paraId="2D545D4A">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b/>
                      <w:bCs w:val="0"/>
                      <w:sz w:val="21"/>
                      <w:szCs w:val="21"/>
                    </w:rPr>
                  </w:pPr>
                </w:p>
              </w:tc>
              <w:tc>
                <w:tcPr>
                  <w:tcW w:w="1084" w:type="pct"/>
                  <w:gridSpan w:val="3"/>
                  <w:vMerge w:val="continue"/>
                  <w:shd w:val="clear" w:color="auto" w:fill="auto"/>
                  <w:vAlign w:val="center"/>
                </w:tcPr>
                <w:p w14:paraId="0CB504AA">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b/>
                      <w:bCs w:val="0"/>
                      <w:sz w:val="21"/>
                      <w:szCs w:val="21"/>
                    </w:rPr>
                  </w:pPr>
                </w:p>
              </w:tc>
              <w:tc>
                <w:tcPr>
                  <w:tcW w:w="742" w:type="pct"/>
                  <w:gridSpan w:val="2"/>
                  <w:shd w:val="clear" w:color="auto" w:fill="auto"/>
                  <w:vAlign w:val="center"/>
                </w:tcPr>
                <w:p w14:paraId="0AC93A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无组织排放</w:t>
                  </w:r>
                </w:p>
              </w:tc>
              <w:tc>
                <w:tcPr>
                  <w:tcW w:w="1684" w:type="pct"/>
                  <w:gridSpan w:val="5"/>
                  <w:shd w:val="clear" w:color="auto" w:fill="auto"/>
                  <w:vAlign w:val="center"/>
                </w:tcPr>
                <w:p w14:paraId="6C242F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有组织排放</w:t>
                  </w:r>
                </w:p>
              </w:tc>
            </w:tr>
            <w:tr w14:paraId="4068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shd w:val="clear" w:color="auto" w:fill="auto"/>
                  <w:vAlign w:val="center"/>
                </w:tcPr>
                <w:p w14:paraId="7471453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bCs w:val="0"/>
                      <w:kern w:val="2"/>
                      <w:sz w:val="21"/>
                      <w:szCs w:val="21"/>
                      <w:vertAlign w:val="baseline"/>
                      <w:lang w:val="en-US" w:eastAsia="zh-CN" w:bidi="ar-SA"/>
                    </w:rPr>
                  </w:pPr>
                  <w:r>
                    <w:rPr>
                      <w:rFonts w:hint="default" w:ascii="Times New Roman" w:hAnsi="Times New Roman" w:cs="Times New Roman"/>
                      <w:b/>
                      <w:bCs w:val="0"/>
                      <w:sz w:val="21"/>
                      <w:szCs w:val="21"/>
                      <w:vertAlign w:val="baseline"/>
                      <w:lang w:val="en-US" w:eastAsia="zh-CN"/>
                    </w:rPr>
                    <w:t>产污环节</w:t>
                  </w:r>
                </w:p>
              </w:tc>
              <w:tc>
                <w:tcPr>
                  <w:tcW w:w="362" w:type="pct"/>
                  <w:shd w:val="clear" w:color="auto" w:fill="auto"/>
                  <w:vAlign w:val="center"/>
                </w:tcPr>
                <w:p w14:paraId="57576CC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000000"/>
                      <w:kern w:val="2"/>
                      <w:sz w:val="21"/>
                      <w:szCs w:val="21"/>
                      <w:lang w:val="en-US" w:eastAsia="zh-CN" w:bidi="ar-SA"/>
                    </w:rPr>
                  </w:pPr>
                  <w:r>
                    <w:rPr>
                      <w:rFonts w:hint="default" w:ascii="Times New Roman" w:hAnsi="Times New Roman" w:cs="Times New Roman"/>
                      <w:b/>
                      <w:bCs w:val="0"/>
                      <w:color w:val="000000"/>
                      <w:sz w:val="21"/>
                      <w:szCs w:val="21"/>
                    </w:rPr>
                    <w:t>污染物种类</w:t>
                  </w:r>
                </w:p>
              </w:tc>
              <w:tc>
                <w:tcPr>
                  <w:tcW w:w="339" w:type="pct"/>
                  <w:shd w:val="clear" w:color="auto" w:fill="auto"/>
                  <w:vAlign w:val="center"/>
                </w:tcPr>
                <w:p w14:paraId="4469E14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000000"/>
                      <w:kern w:val="2"/>
                      <w:sz w:val="21"/>
                      <w:szCs w:val="21"/>
                      <w:lang w:val="en-US" w:eastAsia="zh-CN" w:bidi="ar-SA"/>
                    </w:rPr>
                  </w:pPr>
                  <w:r>
                    <w:rPr>
                      <w:rFonts w:hint="default" w:ascii="Times New Roman" w:hAnsi="Times New Roman" w:cs="Times New Roman"/>
                      <w:b/>
                      <w:bCs w:val="0"/>
                      <w:color w:val="000000"/>
                      <w:sz w:val="21"/>
                      <w:szCs w:val="21"/>
                    </w:rPr>
                    <w:t>产生量t/a</w:t>
                  </w:r>
                </w:p>
              </w:tc>
              <w:tc>
                <w:tcPr>
                  <w:tcW w:w="379" w:type="pct"/>
                  <w:shd w:val="clear" w:color="auto" w:fill="auto"/>
                  <w:vAlign w:val="center"/>
                </w:tcPr>
                <w:p w14:paraId="7FB11FF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000000"/>
                      <w:kern w:val="2"/>
                      <w:sz w:val="21"/>
                      <w:szCs w:val="21"/>
                      <w:lang w:val="en-US" w:eastAsia="zh-CN" w:bidi="ar-SA"/>
                    </w:rPr>
                  </w:pPr>
                  <w:r>
                    <w:rPr>
                      <w:rFonts w:hint="default" w:ascii="Times New Roman" w:hAnsi="Times New Roman" w:cs="Times New Roman"/>
                      <w:b/>
                      <w:bCs w:val="0"/>
                      <w:color w:val="000000"/>
                      <w:sz w:val="21"/>
                      <w:szCs w:val="21"/>
                    </w:rPr>
                    <w:t>产生浓度mg/m</w:t>
                  </w:r>
                  <w:r>
                    <w:rPr>
                      <w:rFonts w:hint="default" w:ascii="Times New Roman" w:hAnsi="Times New Roman" w:cs="Times New Roman"/>
                      <w:b/>
                      <w:bCs w:val="0"/>
                      <w:color w:val="000000"/>
                      <w:sz w:val="21"/>
                      <w:szCs w:val="21"/>
                      <w:vertAlign w:val="superscript"/>
                    </w:rPr>
                    <w:t>3</w:t>
                  </w:r>
                </w:p>
              </w:tc>
              <w:tc>
                <w:tcPr>
                  <w:tcW w:w="367" w:type="pct"/>
                  <w:vAlign w:val="center"/>
                </w:tcPr>
                <w:p w14:paraId="51C25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sz w:val="21"/>
                      <w:szCs w:val="21"/>
                      <w:vertAlign w:val="baseline"/>
                      <w:lang w:val="en-US" w:eastAsia="zh-CN"/>
                    </w:rPr>
                  </w:pPr>
                  <w:r>
                    <w:rPr>
                      <w:rFonts w:hint="eastAsia" w:cs="Times New Roman"/>
                      <w:b/>
                      <w:bCs w:val="0"/>
                      <w:color w:val="000000"/>
                      <w:kern w:val="2"/>
                      <w:sz w:val="21"/>
                      <w:szCs w:val="21"/>
                      <w:highlight w:val="none"/>
                      <w:lang w:val="en-US" w:eastAsia="zh-CN"/>
                    </w:rPr>
                    <w:t>设施名称</w:t>
                  </w:r>
                </w:p>
              </w:tc>
              <w:tc>
                <w:tcPr>
                  <w:tcW w:w="367" w:type="pct"/>
                  <w:vAlign w:val="center"/>
                </w:tcPr>
                <w:p w14:paraId="6C898B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收集效率%</w:t>
                  </w:r>
                </w:p>
              </w:tc>
              <w:tc>
                <w:tcPr>
                  <w:tcW w:w="349" w:type="pct"/>
                  <w:vAlign w:val="center"/>
                </w:tcPr>
                <w:p w14:paraId="63E721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去除效率%</w:t>
                  </w:r>
                </w:p>
              </w:tc>
              <w:tc>
                <w:tcPr>
                  <w:tcW w:w="392" w:type="pct"/>
                  <w:vAlign w:val="center"/>
                </w:tcPr>
                <w:p w14:paraId="32087B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排放速率</w:t>
                  </w:r>
                </w:p>
                <w:p w14:paraId="36957A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 xml:space="preserve"> kg/h</w:t>
                  </w:r>
                </w:p>
              </w:tc>
              <w:tc>
                <w:tcPr>
                  <w:tcW w:w="350" w:type="pct"/>
                  <w:vAlign w:val="center"/>
                </w:tcPr>
                <w:p w14:paraId="5DCD5D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排放量t/a</w:t>
                  </w:r>
                </w:p>
              </w:tc>
              <w:tc>
                <w:tcPr>
                  <w:tcW w:w="380" w:type="pct"/>
                  <w:vAlign w:val="center"/>
                </w:tcPr>
                <w:p w14:paraId="591DA5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bCs/>
                      <w:color w:val="000000"/>
                      <w:kern w:val="2"/>
                      <w:sz w:val="22"/>
                      <w:szCs w:val="22"/>
                      <w:highlight w:val="none"/>
                      <w:lang w:val="en-US" w:eastAsia="zh-CN"/>
                    </w:rPr>
                  </w:pPr>
                  <w:r>
                    <w:rPr>
                      <w:rFonts w:hint="eastAsia" w:cs="Times New Roman"/>
                      <w:b/>
                      <w:bCs/>
                      <w:color w:val="000000"/>
                      <w:kern w:val="2"/>
                      <w:sz w:val="22"/>
                      <w:szCs w:val="22"/>
                      <w:highlight w:val="none"/>
                      <w:lang w:val="en-US" w:eastAsia="zh-CN"/>
                    </w:rPr>
                    <w:t>排放速率</w:t>
                  </w:r>
                </w:p>
                <w:p w14:paraId="5DEEE7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 xml:space="preserve"> kg/h</w:t>
                  </w:r>
                </w:p>
              </w:tc>
              <w:tc>
                <w:tcPr>
                  <w:tcW w:w="367" w:type="pct"/>
                  <w:vAlign w:val="center"/>
                </w:tcPr>
                <w:p w14:paraId="4BD9BE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排放浓度mg/</w:t>
                  </w:r>
                  <w:r>
                    <w:rPr>
                      <w:rFonts w:hint="eastAsia"/>
                      <w:b/>
                      <w:bCs/>
                      <w:color w:val="000000"/>
                      <w:kern w:val="0"/>
                      <w:sz w:val="22"/>
                      <w:szCs w:val="22"/>
                      <w:lang w:val="en-US" w:eastAsia="zh-CN"/>
                    </w:rPr>
                    <w:t>m</w:t>
                  </w:r>
                  <w:r>
                    <w:rPr>
                      <w:rFonts w:hint="eastAsia"/>
                      <w:b/>
                      <w:bCs/>
                      <w:color w:val="000000"/>
                      <w:kern w:val="0"/>
                      <w:sz w:val="22"/>
                      <w:szCs w:val="22"/>
                      <w:vertAlign w:val="superscript"/>
                      <w:lang w:val="en-US" w:eastAsia="zh-CN"/>
                    </w:rPr>
                    <w:t>3</w:t>
                  </w:r>
                </w:p>
              </w:tc>
              <w:tc>
                <w:tcPr>
                  <w:tcW w:w="349" w:type="pct"/>
                  <w:vAlign w:val="center"/>
                </w:tcPr>
                <w:p w14:paraId="2C77F1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排放量t/a</w:t>
                  </w:r>
                </w:p>
              </w:tc>
              <w:tc>
                <w:tcPr>
                  <w:tcW w:w="270" w:type="pct"/>
                  <w:vAlign w:val="center"/>
                </w:tcPr>
                <w:p w14:paraId="6D1AFB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达标情况</w:t>
                  </w:r>
                </w:p>
              </w:tc>
              <w:tc>
                <w:tcPr>
                  <w:tcW w:w="316" w:type="pct"/>
                  <w:vAlign w:val="center"/>
                </w:tcPr>
                <w:p w14:paraId="5298E8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bCs/>
                      <w:color w:val="000000"/>
                      <w:kern w:val="2"/>
                      <w:sz w:val="22"/>
                      <w:szCs w:val="22"/>
                      <w:highlight w:val="none"/>
                      <w:lang w:val="en-US" w:eastAsia="zh-CN"/>
                    </w:rPr>
                    <w:t>排放口编号</w:t>
                  </w:r>
                </w:p>
              </w:tc>
            </w:tr>
            <w:tr w14:paraId="0259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Align w:val="center"/>
                </w:tcPr>
                <w:p w14:paraId="06301CAF">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焊接</w:t>
                  </w:r>
                </w:p>
              </w:tc>
              <w:tc>
                <w:tcPr>
                  <w:tcW w:w="362" w:type="pct"/>
                  <w:vAlign w:val="center"/>
                </w:tcPr>
                <w:p w14:paraId="143600E7">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颗粒物</w:t>
                  </w:r>
                </w:p>
              </w:tc>
              <w:tc>
                <w:tcPr>
                  <w:tcW w:w="339" w:type="pct"/>
                  <w:vAlign w:val="center"/>
                </w:tcPr>
                <w:p w14:paraId="3B03DD4F">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0.022</w:t>
                  </w:r>
                </w:p>
              </w:tc>
              <w:tc>
                <w:tcPr>
                  <w:tcW w:w="379" w:type="pct"/>
                  <w:vAlign w:val="center"/>
                </w:tcPr>
                <w:p w14:paraId="09B362D9">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4.17</w:t>
                  </w:r>
                </w:p>
              </w:tc>
              <w:tc>
                <w:tcPr>
                  <w:tcW w:w="367" w:type="pct"/>
                  <w:vMerge w:val="restart"/>
                  <w:vAlign w:val="center"/>
                </w:tcPr>
                <w:p w14:paraId="7B53A743">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布袋除尘</w:t>
                  </w:r>
                </w:p>
              </w:tc>
              <w:tc>
                <w:tcPr>
                  <w:tcW w:w="367" w:type="pct"/>
                  <w:vAlign w:val="center"/>
                </w:tcPr>
                <w:p w14:paraId="1283D286">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80</w:t>
                  </w:r>
                </w:p>
              </w:tc>
              <w:tc>
                <w:tcPr>
                  <w:tcW w:w="349" w:type="pct"/>
                  <w:vAlign w:val="center"/>
                </w:tcPr>
                <w:p w14:paraId="7CCA6E35">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95</w:t>
                  </w:r>
                </w:p>
              </w:tc>
              <w:tc>
                <w:tcPr>
                  <w:tcW w:w="392" w:type="pct"/>
                  <w:vAlign w:val="center"/>
                </w:tcPr>
                <w:p w14:paraId="06E08B39">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0.0022</w:t>
                  </w:r>
                </w:p>
              </w:tc>
              <w:tc>
                <w:tcPr>
                  <w:tcW w:w="350" w:type="pct"/>
                  <w:vAlign w:val="center"/>
                </w:tcPr>
                <w:p w14:paraId="61E23C32">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0.0043</w:t>
                  </w:r>
                </w:p>
              </w:tc>
              <w:tc>
                <w:tcPr>
                  <w:tcW w:w="380" w:type="pct"/>
                  <w:vAlign w:val="center"/>
                </w:tcPr>
                <w:p w14:paraId="16D8F0AA">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0.00</w:t>
                  </w:r>
                  <w:r>
                    <w:rPr>
                      <w:rFonts w:hint="eastAsia" w:cs="Times New Roman"/>
                      <w:b w:val="0"/>
                      <w:bCs/>
                      <w:sz w:val="21"/>
                      <w:szCs w:val="21"/>
                      <w:vertAlign w:val="baseline"/>
                      <w:lang w:val="en-US" w:eastAsia="zh-CN"/>
                    </w:rPr>
                    <w:t>036</w:t>
                  </w:r>
                </w:p>
              </w:tc>
              <w:tc>
                <w:tcPr>
                  <w:tcW w:w="367" w:type="pct"/>
                  <w:vAlign w:val="center"/>
                </w:tcPr>
                <w:p w14:paraId="4153959A">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0.185</w:t>
                  </w:r>
                </w:p>
              </w:tc>
              <w:tc>
                <w:tcPr>
                  <w:tcW w:w="349" w:type="pct"/>
                  <w:vAlign w:val="center"/>
                </w:tcPr>
                <w:p w14:paraId="0AA7B9D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0.00087</w:t>
                  </w:r>
                </w:p>
              </w:tc>
              <w:tc>
                <w:tcPr>
                  <w:tcW w:w="270" w:type="pct"/>
                  <w:vAlign w:val="center"/>
                </w:tcPr>
                <w:p w14:paraId="7CD08AD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restart"/>
                  <w:vAlign w:val="center"/>
                </w:tcPr>
                <w:p w14:paraId="03E25D9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DA00</w:t>
                  </w:r>
                  <w:r>
                    <w:rPr>
                      <w:rFonts w:hint="eastAsia" w:cs="Times New Roman"/>
                      <w:b w:val="0"/>
                      <w:bCs/>
                      <w:sz w:val="21"/>
                      <w:szCs w:val="21"/>
                      <w:vertAlign w:val="baseline"/>
                      <w:lang w:val="en-US" w:eastAsia="zh-CN"/>
                    </w:rPr>
                    <w:t>2</w:t>
                  </w:r>
                </w:p>
              </w:tc>
            </w:tr>
            <w:tr w14:paraId="2789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Align w:val="center"/>
                </w:tcPr>
                <w:p w14:paraId="0DBB7BE0">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highlight w:val="none"/>
                      <w:vertAlign w:val="baseline"/>
                      <w:lang w:val="en-US" w:eastAsia="zh-CN"/>
                    </w:rPr>
                    <w:t>喷砂</w:t>
                  </w:r>
                </w:p>
              </w:tc>
              <w:tc>
                <w:tcPr>
                  <w:tcW w:w="362" w:type="pct"/>
                  <w:vAlign w:val="center"/>
                </w:tcPr>
                <w:p w14:paraId="48ADBEA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颗粒物</w:t>
                  </w:r>
                </w:p>
              </w:tc>
              <w:tc>
                <w:tcPr>
                  <w:tcW w:w="339" w:type="pct"/>
                  <w:vAlign w:val="center"/>
                </w:tcPr>
                <w:p w14:paraId="14EE99A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default" w:ascii="Times New Roman" w:hAnsi="Times New Roman" w:eastAsia="Nirmala Text Semilight" w:cs="Times New Roman"/>
                      <w:i w:val="0"/>
                      <w:iCs w:val="0"/>
                      <w:color w:val="000000"/>
                      <w:kern w:val="0"/>
                      <w:sz w:val="21"/>
                      <w:szCs w:val="21"/>
                      <w:u w:val="none"/>
                      <w:lang w:val="en-US" w:eastAsia="zh-CN" w:bidi="ar"/>
                    </w:rPr>
                    <w:t>1.095</w:t>
                  </w:r>
                </w:p>
              </w:tc>
              <w:tc>
                <w:tcPr>
                  <w:tcW w:w="379" w:type="pct"/>
                  <w:vAlign w:val="center"/>
                </w:tcPr>
                <w:p w14:paraId="65B2A5E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default" w:ascii="Times New Roman" w:hAnsi="Times New Roman" w:eastAsia="Nirmala Text Semilight" w:cs="Times New Roman"/>
                      <w:i w:val="0"/>
                      <w:iCs w:val="0"/>
                      <w:color w:val="000000"/>
                      <w:kern w:val="0"/>
                      <w:sz w:val="21"/>
                      <w:szCs w:val="21"/>
                      <w:u w:val="none"/>
                      <w:lang w:val="en-US" w:eastAsia="zh-CN" w:bidi="ar"/>
                    </w:rPr>
                    <w:t>30.42</w:t>
                  </w:r>
                </w:p>
              </w:tc>
              <w:tc>
                <w:tcPr>
                  <w:tcW w:w="367" w:type="pct"/>
                  <w:vMerge w:val="continue"/>
                  <w:vAlign w:val="center"/>
                </w:tcPr>
                <w:p w14:paraId="3CA3B3E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7ED31C71">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7540C0FA">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95</w:t>
                  </w:r>
                </w:p>
              </w:tc>
              <w:tc>
                <w:tcPr>
                  <w:tcW w:w="392" w:type="pct"/>
                  <w:vAlign w:val="center"/>
                </w:tcPr>
                <w:p w14:paraId="51124AF6">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0.009</w:t>
                  </w:r>
                </w:p>
              </w:tc>
              <w:tc>
                <w:tcPr>
                  <w:tcW w:w="350" w:type="pct"/>
                  <w:vAlign w:val="center"/>
                </w:tcPr>
                <w:p w14:paraId="5A0779D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0.022</w:t>
                  </w:r>
                </w:p>
              </w:tc>
              <w:tc>
                <w:tcPr>
                  <w:tcW w:w="380" w:type="pct"/>
                  <w:vAlign w:val="center"/>
                </w:tcPr>
                <w:p w14:paraId="7371F4D0">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0.022</w:t>
                  </w:r>
                </w:p>
              </w:tc>
              <w:tc>
                <w:tcPr>
                  <w:tcW w:w="367" w:type="pct"/>
                  <w:vAlign w:val="center"/>
                </w:tcPr>
                <w:p w14:paraId="22D88359">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2.24</w:t>
                  </w:r>
                </w:p>
              </w:tc>
              <w:tc>
                <w:tcPr>
                  <w:tcW w:w="349" w:type="pct"/>
                  <w:vAlign w:val="center"/>
                </w:tcPr>
                <w:p w14:paraId="2F108A55">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0.054</w:t>
                  </w:r>
                </w:p>
              </w:tc>
              <w:tc>
                <w:tcPr>
                  <w:tcW w:w="270" w:type="pct"/>
                  <w:vAlign w:val="center"/>
                </w:tcPr>
                <w:p w14:paraId="056F0DC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0A8D62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7D0D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Align w:val="center"/>
                </w:tcPr>
                <w:p w14:paraId="55677DD8">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喷塑</w:t>
                  </w:r>
                </w:p>
              </w:tc>
              <w:tc>
                <w:tcPr>
                  <w:tcW w:w="362" w:type="pct"/>
                  <w:vAlign w:val="center"/>
                </w:tcPr>
                <w:p w14:paraId="306F5E0C">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eastAsia" w:cs="Times New Roman"/>
                      <w:b w:val="0"/>
                      <w:bCs/>
                      <w:sz w:val="21"/>
                      <w:szCs w:val="21"/>
                      <w:vertAlign w:val="baseline"/>
                      <w:lang w:val="en-US" w:eastAsia="zh-CN"/>
                    </w:rPr>
                    <w:t>颗粒物</w:t>
                  </w:r>
                </w:p>
              </w:tc>
              <w:tc>
                <w:tcPr>
                  <w:tcW w:w="339" w:type="pct"/>
                  <w:vAlign w:val="center"/>
                </w:tcPr>
                <w:p w14:paraId="67D2224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Nirmala Text Semilight" w:cs="Times New Roman"/>
                      <w:i w:val="0"/>
                      <w:iCs w:val="0"/>
                      <w:color w:val="000000"/>
                      <w:kern w:val="0"/>
                      <w:sz w:val="21"/>
                      <w:szCs w:val="21"/>
                      <w:u w:val="none"/>
                      <w:lang w:val="en-US" w:eastAsia="zh-CN" w:bidi="ar"/>
                    </w:rPr>
                  </w:pPr>
                  <w:r>
                    <w:rPr>
                      <w:rFonts w:hint="eastAsia" w:eastAsia="Nirmala Text Semilight" w:cs="Times New Roman"/>
                      <w:i w:val="0"/>
                      <w:iCs w:val="0"/>
                      <w:color w:val="000000"/>
                      <w:kern w:val="0"/>
                      <w:sz w:val="21"/>
                      <w:szCs w:val="21"/>
                      <w:u w:val="none"/>
                      <w:lang w:val="en-US" w:eastAsia="zh-CN" w:bidi="ar"/>
                    </w:rPr>
                    <w:t>0.3</w:t>
                  </w:r>
                </w:p>
              </w:tc>
              <w:tc>
                <w:tcPr>
                  <w:tcW w:w="379" w:type="pct"/>
                  <w:vAlign w:val="center"/>
                </w:tcPr>
                <w:p w14:paraId="3375FF8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Nirmala Text Semilight" w:cs="Times New Roman"/>
                      <w:i w:val="0"/>
                      <w:iCs w:val="0"/>
                      <w:color w:val="000000"/>
                      <w:kern w:val="0"/>
                      <w:sz w:val="21"/>
                      <w:szCs w:val="21"/>
                      <w:u w:val="none"/>
                      <w:lang w:val="en-US" w:eastAsia="zh-CN" w:bidi="ar"/>
                    </w:rPr>
                  </w:pPr>
                  <w:r>
                    <w:rPr>
                      <w:rFonts w:hint="eastAsia" w:eastAsia="Nirmala Text Semilight" w:cs="Times New Roman"/>
                      <w:i w:val="0"/>
                      <w:iCs w:val="0"/>
                      <w:color w:val="000000"/>
                      <w:kern w:val="0"/>
                      <w:sz w:val="21"/>
                      <w:szCs w:val="21"/>
                      <w:u w:val="none"/>
                      <w:lang w:val="en-US" w:eastAsia="zh-CN" w:bidi="ar"/>
                    </w:rPr>
                    <w:t>34.72</w:t>
                  </w:r>
                </w:p>
              </w:tc>
              <w:tc>
                <w:tcPr>
                  <w:tcW w:w="367" w:type="pct"/>
                  <w:vAlign w:val="center"/>
                </w:tcPr>
                <w:p w14:paraId="0061CD95">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滤筒除尘</w:t>
                  </w:r>
                </w:p>
              </w:tc>
              <w:tc>
                <w:tcPr>
                  <w:tcW w:w="367" w:type="pct"/>
                  <w:shd w:val="clear" w:color="auto" w:fill="auto"/>
                  <w:vAlign w:val="center"/>
                </w:tcPr>
                <w:p w14:paraId="7CA4690E">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cs="Times New Roman"/>
                      <w:b w:val="0"/>
                      <w:bCs/>
                      <w:sz w:val="21"/>
                      <w:szCs w:val="21"/>
                      <w:vertAlign w:val="baseline"/>
                      <w:lang w:val="en-US" w:eastAsia="zh-CN"/>
                    </w:rPr>
                    <w:t>98</w:t>
                  </w:r>
                </w:p>
              </w:tc>
              <w:tc>
                <w:tcPr>
                  <w:tcW w:w="349" w:type="pct"/>
                  <w:shd w:val="clear" w:color="auto" w:fill="auto"/>
                  <w:vAlign w:val="center"/>
                </w:tcPr>
                <w:p w14:paraId="6D7A3C9C">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85</w:t>
                  </w:r>
                </w:p>
              </w:tc>
              <w:tc>
                <w:tcPr>
                  <w:tcW w:w="392" w:type="pct"/>
                  <w:vAlign w:val="center"/>
                </w:tcPr>
                <w:p w14:paraId="23C8FC2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0.025</w:t>
                  </w:r>
                </w:p>
              </w:tc>
              <w:tc>
                <w:tcPr>
                  <w:tcW w:w="350" w:type="pct"/>
                  <w:vAlign w:val="center"/>
                </w:tcPr>
                <w:p w14:paraId="3F048DF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0.006</w:t>
                  </w:r>
                </w:p>
              </w:tc>
              <w:tc>
                <w:tcPr>
                  <w:tcW w:w="380" w:type="pct"/>
                  <w:vAlign w:val="center"/>
                </w:tcPr>
                <w:p w14:paraId="3E7F72E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0.018</w:t>
                  </w:r>
                </w:p>
              </w:tc>
              <w:tc>
                <w:tcPr>
                  <w:tcW w:w="367" w:type="pct"/>
                  <w:vAlign w:val="center"/>
                </w:tcPr>
                <w:p w14:paraId="1875717F">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7.66</w:t>
                  </w:r>
                </w:p>
              </w:tc>
              <w:tc>
                <w:tcPr>
                  <w:tcW w:w="349" w:type="pct"/>
                  <w:vAlign w:val="center"/>
                </w:tcPr>
                <w:p w14:paraId="31343D8E">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0.044</w:t>
                  </w:r>
                </w:p>
              </w:tc>
              <w:tc>
                <w:tcPr>
                  <w:tcW w:w="270" w:type="pct"/>
                  <w:vAlign w:val="center"/>
                </w:tcPr>
                <w:p w14:paraId="679AEF8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1797344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77EE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restart"/>
                  <w:vAlign w:val="center"/>
                </w:tcPr>
                <w:p w14:paraId="4D178772">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喷</w:t>
                  </w:r>
                  <w:r>
                    <w:rPr>
                      <w:rFonts w:hint="eastAsia" w:cs="Times New Roman"/>
                      <w:b w:val="0"/>
                      <w:bCs/>
                      <w:sz w:val="21"/>
                      <w:szCs w:val="21"/>
                      <w:vertAlign w:val="baseline"/>
                      <w:lang w:val="en-US" w:eastAsia="zh-CN"/>
                    </w:rPr>
                    <w:t>底漆（含喷枪清洗、调漆、晾干）</w:t>
                  </w:r>
                </w:p>
              </w:tc>
              <w:tc>
                <w:tcPr>
                  <w:tcW w:w="362" w:type="pct"/>
                  <w:vAlign w:val="center"/>
                </w:tcPr>
                <w:p w14:paraId="54447784">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颗粒物</w:t>
                  </w:r>
                </w:p>
              </w:tc>
              <w:tc>
                <w:tcPr>
                  <w:tcW w:w="339" w:type="pct"/>
                  <w:vAlign w:val="center"/>
                </w:tcPr>
                <w:p w14:paraId="6686388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0.0655</w:t>
                  </w:r>
                </w:p>
              </w:tc>
              <w:tc>
                <w:tcPr>
                  <w:tcW w:w="379" w:type="pct"/>
                  <w:vAlign w:val="center"/>
                </w:tcPr>
                <w:p w14:paraId="0CF19F3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12.375</w:t>
                  </w:r>
                </w:p>
              </w:tc>
              <w:tc>
                <w:tcPr>
                  <w:tcW w:w="367" w:type="pct"/>
                  <w:vMerge w:val="restart"/>
                  <w:vAlign w:val="center"/>
                </w:tcPr>
                <w:p w14:paraId="21068B1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密闭负压收集+</w:t>
                  </w:r>
                  <w:r>
                    <w:rPr>
                      <w:rFonts w:hint="eastAsia" w:cs="Times New Roman"/>
                      <w:b w:val="0"/>
                      <w:bCs/>
                      <w:sz w:val="21"/>
                      <w:szCs w:val="21"/>
                      <w:vertAlign w:val="baseline"/>
                      <w:lang w:val="en-US" w:eastAsia="zh-CN"/>
                    </w:rPr>
                    <w:t>过滤棉+吸附脱附催化燃烧</w:t>
                  </w:r>
                </w:p>
                <w:p w14:paraId="55851D3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2E9CE8E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6F4EAEC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3C87756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0.0037</w:t>
                  </w:r>
                </w:p>
              </w:tc>
              <w:tc>
                <w:tcPr>
                  <w:tcW w:w="350" w:type="pct"/>
                  <w:vAlign w:val="center"/>
                </w:tcPr>
                <w:p w14:paraId="7ECF830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0.009</w:t>
                  </w:r>
                </w:p>
              </w:tc>
              <w:tc>
                <w:tcPr>
                  <w:tcW w:w="380" w:type="pct"/>
                  <w:vAlign w:val="center"/>
                </w:tcPr>
                <w:p w14:paraId="123D98E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0.027</w:t>
                  </w:r>
                </w:p>
              </w:tc>
              <w:tc>
                <w:tcPr>
                  <w:tcW w:w="367" w:type="pct"/>
                  <w:vAlign w:val="center"/>
                </w:tcPr>
                <w:p w14:paraId="2EC2908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1.82</w:t>
                  </w:r>
                </w:p>
              </w:tc>
              <w:tc>
                <w:tcPr>
                  <w:tcW w:w="349" w:type="pct"/>
                  <w:vAlign w:val="center"/>
                </w:tcPr>
                <w:p w14:paraId="7719660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0.0655</w:t>
                  </w:r>
                </w:p>
              </w:tc>
              <w:tc>
                <w:tcPr>
                  <w:tcW w:w="270" w:type="pct"/>
                  <w:vAlign w:val="center"/>
                </w:tcPr>
                <w:p w14:paraId="1A18B84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restart"/>
                  <w:vAlign w:val="center"/>
                </w:tcPr>
                <w:p w14:paraId="661EC36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DA001</w:t>
                  </w:r>
                </w:p>
              </w:tc>
            </w:tr>
            <w:tr w14:paraId="31CC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75BF43F0">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2" w:type="pct"/>
                  <w:vAlign w:val="center"/>
                </w:tcPr>
                <w:p w14:paraId="70AFD7FF">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VOCs</w:t>
                  </w:r>
                </w:p>
              </w:tc>
              <w:tc>
                <w:tcPr>
                  <w:tcW w:w="339" w:type="pct"/>
                  <w:vAlign w:val="center"/>
                </w:tcPr>
                <w:p w14:paraId="705CBC5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0.495</w:t>
                  </w:r>
                </w:p>
              </w:tc>
              <w:tc>
                <w:tcPr>
                  <w:tcW w:w="379" w:type="pct"/>
                  <w:vAlign w:val="center"/>
                </w:tcPr>
                <w:p w14:paraId="097209B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13.75</w:t>
                  </w:r>
                </w:p>
              </w:tc>
              <w:tc>
                <w:tcPr>
                  <w:tcW w:w="367" w:type="pct"/>
                  <w:vMerge w:val="continue"/>
                  <w:vAlign w:val="center"/>
                </w:tcPr>
                <w:p w14:paraId="0FB72E2A">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29AF2FF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178408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6905685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0.004</w:t>
                  </w:r>
                </w:p>
              </w:tc>
              <w:tc>
                <w:tcPr>
                  <w:tcW w:w="350" w:type="pct"/>
                  <w:vAlign w:val="center"/>
                </w:tcPr>
                <w:p w14:paraId="3822C09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0.0099</w:t>
                  </w:r>
                </w:p>
              </w:tc>
              <w:tc>
                <w:tcPr>
                  <w:tcW w:w="380" w:type="pct"/>
                  <w:vAlign w:val="center"/>
                </w:tcPr>
                <w:p w14:paraId="40DB3CD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0.03</w:t>
                  </w:r>
                </w:p>
              </w:tc>
              <w:tc>
                <w:tcPr>
                  <w:tcW w:w="367" w:type="pct"/>
                  <w:vAlign w:val="center"/>
                </w:tcPr>
                <w:p w14:paraId="5B46472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2.02</w:t>
                  </w:r>
                </w:p>
              </w:tc>
              <w:tc>
                <w:tcPr>
                  <w:tcW w:w="349" w:type="pct"/>
                  <w:vAlign w:val="center"/>
                </w:tcPr>
                <w:p w14:paraId="75A73E3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0.0728</w:t>
                  </w:r>
                </w:p>
              </w:tc>
              <w:tc>
                <w:tcPr>
                  <w:tcW w:w="270" w:type="pct"/>
                  <w:vAlign w:val="center"/>
                </w:tcPr>
                <w:p w14:paraId="3A56D1D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7F8F108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0226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3D74B44E">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2" w:type="pct"/>
                  <w:vAlign w:val="center"/>
                </w:tcPr>
                <w:p w14:paraId="1D812151">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二甲苯</w:t>
                  </w:r>
                </w:p>
              </w:tc>
              <w:tc>
                <w:tcPr>
                  <w:tcW w:w="339" w:type="pct"/>
                  <w:vAlign w:val="center"/>
                </w:tcPr>
                <w:p w14:paraId="77F4F4BB">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0.216</w:t>
                  </w:r>
                </w:p>
              </w:tc>
              <w:tc>
                <w:tcPr>
                  <w:tcW w:w="379" w:type="pct"/>
                  <w:vAlign w:val="center"/>
                </w:tcPr>
                <w:p w14:paraId="6D30FBA0">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6</w:t>
                  </w:r>
                </w:p>
              </w:tc>
              <w:tc>
                <w:tcPr>
                  <w:tcW w:w="367" w:type="pct"/>
                  <w:vMerge w:val="continue"/>
                  <w:vAlign w:val="center"/>
                </w:tcPr>
                <w:p w14:paraId="24D82C01">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445350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3DB733C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4A394AB1">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0.0018</w:t>
                  </w:r>
                </w:p>
              </w:tc>
              <w:tc>
                <w:tcPr>
                  <w:tcW w:w="350" w:type="pct"/>
                  <w:vAlign w:val="center"/>
                </w:tcPr>
                <w:p w14:paraId="1873138D">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0.0043</w:t>
                  </w:r>
                </w:p>
              </w:tc>
              <w:tc>
                <w:tcPr>
                  <w:tcW w:w="380" w:type="pct"/>
                  <w:shd w:val="clear" w:color="auto" w:fill="auto"/>
                  <w:vAlign w:val="center"/>
                </w:tcPr>
                <w:p w14:paraId="0DAE550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0.013</w:t>
                  </w:r>
                </w:p>
              </w:tc>
              <w:tc>
                <w:tcPr>
                  <w:tcW w:w="367" w:type="pct"/>
                  <w:vAlign w:val="center"/>
                </w:tcPr>
                <w:p w14:paraId="5116E782">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0.882</w:t>
                  </w:r>
                </w:p>
              </w:tc>
              <w:tc>
                <w:tcPr>
                  <w:tcW w:w="349" w:type="pct"/>
                  <w:vAlign w:val="center"/>
                </w:tcPr>
                <w:p w14:paraId="133DAB7F">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0.0318</w:t>
                  </w:r>
                </w:p>
              </w:tc>
              <w:tc>
                <w:tcPr>
                  <w:tcW w:w="270" w:type="pct"/>
                  <w:vAlign w:val="center"/>
                </w:tcPr>
                <w:p w14:paraId="454762E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2E3168B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47BB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restart"/>
                  <w:vAlign w:val="center"/>
                </w:tcPr>
                <w:p w14:paraId="4AA87213">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喷炉体面漆（含调漆、晾干、喷枪清洗）</w:t>
                  </w:r>
                </w:p>
              </w:tc>
              <w:tc>
                <w:tcPr>
                  <w:tcW w:w="362" w:type="pct"/>
                  <w:shd w:val="clear" w:color="auto" w:fill="auto"/>
                  <w:vAlign w:val="center"/>
                </w:tcPr>
                <w:p w14:paraId="5B272B6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颗粒物</w:t>
                  </w:r>
                </w:p>
              </w:tc>
              <w:tc>
                <w:tcPr>
                  <w:tcW w:w="339" w:type="pct"/>
                  <w:vAlign w:val="center"/>
                </w:tcPr>
                <w:p w14:paraId="73CF6FB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0.4342</w:t>
                  </w:r>
                </w:p>
              </w:tc>
              <w:tc>
                <w:tcPr>
                  <w:tcW w:w="379" w:type="pct"/>
                  <w:vAlign w:val="center"/>
                </w:tcPr>
                <w:p w14:paraId="4988FA6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12.06</w:t>
                  </w:r>
                </w:p>
              </w:tc>
              <w:tc>
                <w:tcPr>
                  <w:tcW w:w="367" w:type="pct"/>
                  <w:vMerge w:val="continue"/>
                  <w:vAlign w:val="center"/>
                </w:tcPr>
                <w:p w14:paraId="2A9BE896">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7555530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2D5B3E5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49E32C7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0.0036</w:t>
                  </w:r>
                </w:p>
              </w:tc>
              <w:tc>
                <w:tcPr>
                  <w:tcW w:w="350" w:type="pct"/>
                  <w:vAlign w:val="center"/>
                </w:tcPr>
                <w:p w14:paraId="343EEE3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0.0087</w:t>
                  </w:r>
                </w:p>
              </w:tc>
              <w:tc>
                <w:tcPr>
                  <w:tcW w:w="380" w:type="pct"/>
                  <w:vAlign w:val="center"/>
                </w:tcPr>
                <w:p w14:paraId="0980303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0.027</w:t>
                  </w:r>
                </w:p>
              </w:tc>
              <w:tc>
                <w:tcPr>
                  <w:tcW w:w="367" w:type="pct"/>
                  <w:vAlign w:val="center"/>
                </w:tcPr>
                <w:p w14:paraId="136F99F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1.77</w:t>
                  </w:r>
                </w:p>
              </w:tc>
              <w:tc>
                <w:tcPr>
                  <w:tcW w:w="349" w:type="pct"/>
                  <w:shd w:val="clear" w:color="auto" w:fill="auto"/>
                  <w:vAlign w:val="center"/>
                </w:tcPr>
                <w:p w14:paraId="3309947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0.0638</w:t>
                  </w:r>
                </w:p>
              </w:tc>
              <w:tc>
                <w:tcPr>
                  <w:tcW w:w="270" w:type="pct"/>
                  <w:vAlign w:val="center"/>
                </w:tcPr>
                <w:p w14:paraId="6113316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4D92108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7885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5FF3B63A">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6FE05CE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VOCs</w:t>
                  </w:r>
                </w:p>
              </w:tc>
              <w:tc>
                <w:tcPr>
                  <w:tcW w:w="339" w:type="pct"/>
                  <w:vAlign w:val="center"/>
                </w:tcPr>
                <w:p w14:paraId="3E23F49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0.7428</w:t>
                  </w:r>
                </w:p>
              </w:tc>
              <w:tc>
                <w:tcPr>
                  <w:tcW w:w="379" w:type="pct"/>
                  <w:vAlign w:val="center"/>
                </w:tcPr>
                <w:p w14:paraId="6043886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20.6</w:t>
                  </w:r>
                </w:p>
              </w:tc>
              <w:tc>
                <w:tcPr>
                  <w:tcW w:w="367" w:type="pct"/>
                  <w:vMerge w:val="continue"/>
                  <w:vAlign w:val="center"/>
                </w:tcPr>
                <w:p w14:paraId="6157B0A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04B137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7F6A454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4B1966D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0.0062</w:t>
                  </w:r>
                </w:p>
              </w:tc>
              <w:tc>
                <w:tcPr>
                  <w:tcW w:w="350" w:type="pct"/>
                  <w:vAlign w:val="center"/>
                </w:tcPr>
                <w:p w14:paraId="3A9EA79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0.0149</w:t>
                  </w:r>
                </w:p>
              </w:tc>
              <w:tc>
                <w:tcPr>
                  <w:tcW w:w="380" w:type="pct"/>
                  <w:vAlign w:val="center"/>
                </w:tcPr>
                <w:p w14:paraId="03C5860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0.045</w:t>
                  </w:r>
                </w:p>
              </w:tc>
              <w:tc>
                <w:tcPr>
                  <w:tcW w:w="367" w:type="pct"/>
                  <w:vAlign w:val="center"/>
                </w:tcPr>
                <w:p w14:paraId="0D6CCCF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3.033</w:t>
                  </w:r>
                </w:p>
              </w:tc>
              <w:tc>
                <w:tcPr>
                  <w:tcW w:w="349" w:type="pct"/>
                  <w:shd w:val="clear" w:color="auto" w:fill="auto"/>
                  <w:vAlign w:val="center"/>
                </w:tcPr>
                <w:p w14:paraId="2BB38A1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0.1092</w:t>
                  </w:r>
                </w:p>
              </w:tc>
              <w:tc>
                <w:tcPr>
                  <w:tcW w:w="270" w:type="pct"/>
                  <w:vAlign w:val="center"/>
                </w:tcPr>
                <w:p w14:paraId="096971C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41E1E3D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47E0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5A7415E3">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7B1EC313">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二甲苯</w:t>
                  </w:r>
                </w:p>
              </w:tc>
              <w:tc>
                <w:tcPr>
                  <w:tcW w:w="339" w:type="pct"/>
                  <w:vAlign w:val="center"/>
                </w:tcPr>
                <w:p w14:paraId="5F409DE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0.156</w:t>
                  </w:r>
                </w:p>
              </w:tc>
              <w:tc>
                <w:tcPr>
                  <w:tcW w:w="379" w:type="pct"/>
                  <w:vAlign w:val="center"/>
                </w:tcPr>
                <w:p w14:paraId="73C1E77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4.33</w:t>
                  </w:r>
                </w:p>
              </w:tc>
              <w:tc>
                <w:tcPr>
                  <w:tcW w:w="367" w:type="pct"/>
                  <w:vMerge w:val="continue"/>
                  <w:vAlign w:val="center"/>
                </w:tcPr>
                <w:p w14:paraId="16EEAB5A">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1B73B61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3C3EE6B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16EF616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0.0013</w:t>
                  </w:r>
                </w:p>
              </w:tc>
              <w:tc>
                <w:tcPr>
                  <w:tcW w:w="350" w:type="pct"/>
                  <w:vAlign w:val="center"/>
                </w:tcPr>
                <w:p w14:paraId="066A055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0.0031</w:t>
                  </w:r>
                </w:p>
              </w:tc>
              <w:tc>
                <w:tcPr>
                  <w:tcW w:w="380" w:type="pct"/>
                  <w:vAlign w:val="center"/>
                </w:tcPr>
                <w:p w14:paraId="1C0D2DD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0.01</w:t>
                  </w:r>
                </w:p>
              </w:tc>
              <w:tc>
                <w:tcPr>
                  <w:tcW w:w="367" w:type="pct"/>
                  <w:vAlign w:val="center"/>
                </w:tcPr>
                <w:p w14:paraId="2751F4F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0.637</w:t>
                  </w:r>
                </w:p>
              </w:tc>
              <w:tc>
                <w:tcPr>
                  <w:tcW w:w="349" w:type="pct"/>
                  <w:shd w:val="clear" w:color="auto" w:fill="auto"/>
                  <w:vAlign w:val="center"/>
                </w:tcPr>
                <w:p w14:paraId="4057E9B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0.0229</w:t>
                  </w:r>
                </w:p>
              </w:tc>
              <w:tc>
                <w:tcPr>
                  <w:tcW w:w="270" w:type="pct"/>
                  <w:vAlign w:val="center"/>
                </w:tcPr>
                <w:p w14:paraId="29E1DC0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2F4A64F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4158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684089B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267B613A">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乙酸丁酯</w:t>
                  </w:r>
                </w:p>
              </w:tc>
              <w:tc>
                <w:tcPr>
                  <w:tcW w:w="339" w:type="pct"/>
                  <w:shd w:val="clear" w:color="auto" w:fill="auto"/>
                  <w:vAlign w:val="center"/>
                </w:tcPr>
                <w:p w14:paraId="43703B1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0.144</w:t>
                  </w:r>
                </w:p>
              </w:tc>
              <w:tc>
                <w:tcPr>
                  <w:tcW w:w="379" w:type="pct"/>
                  <w:shd w:val="clear" w:color="auto" w:fill="auto"/>
                  <w:vAlign w:val="center"/>
                </w:tcPr>
                <w:p w14:paraId="358DB9A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4</w:t>
                  </w:r>
                </w:p>
              </w:tc>
              <w:tc>
                <w:tcPr>
                  <w:tcW w:w="367" w:type="pct"/>
                  <w:vMerge w:val="continue"/>
                  <w:vAlign w:val="center"/>
                </w:tcPr>
                <w:p w14:paraId="24D1DF67">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0B60635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6620508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2FDA493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0.0012</w:t>
                  </w:r>
                </w:p>
              </w:tc>
              <w:tc>
                <w:tcPr>
                  <w:tcW w:w="350" w:type="pct"/>
                  <w:vAlign w:val="center"/>
                </w:tcPr>
                <w:p w14:paraId="6CB1083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0.0029</w:t>
                  </w:r>
                </w:p>
              </w:tc>
              <w:tc>
                <w:tcPr>
                  <w:tcW w:w="380" w:type="pct"/>
                  <w:vAlign w:val="center"/>
                </w:tcPr>
                <w:p w14:paraId="54C6003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0.009</w:t>
                  </w:r>
                </w:p>
              </w:tc>
              <w:tc>
                <w:tcPr>
                  <w:tcW w:w="367" w:type="pct"/>
                  <w:vAlign w:val="center"/>
                </w:tcPr>
                <w:p w14:paraId="44136D5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0.588</w:t>
                  </w:r>
                </w:p>
              </w:tc>
              <w:tc>
                <w:tcPr>
                  <w:tcW w:w="349" w:type="pct"/>
                  <w:shd w:val="clear" w:color="auto" w:fill="auto"/>
                  <w:vAlign w:val="center"/>
                </w:tcPr>
                <w:p w14:paraId="0CD00B9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0.0217</w:t>
                  </w:r>
                </w:p>
              </w:tc>
              <w:tc>
                <w:tcPr>
                  <w:tcW w:w="270" w:type="pct"/>
                  <w:vAlign w:val="center"/>
                </w:tcPr>
                <w:p w14:paraId="64CB0D4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605E27B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3431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restart"/>
                  <w:vAlign w:val="center"/>
                </w:tcPr>
                <w:p w14:paraId="141BF738">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eastAsia" w:cs="Times New Roman"/>
                      <w:b w:val="0"/>
                      <w:bCs/>
                      <w:sz w:val="21"/>
                      <w:szCs w:val="21"/>
                      <w:vertAlign w:val="baseline"/>
                      <w:lang w:val="en-US" w:eastAsia="zh-CN"/>
                    </w:rPr>
                    <w:t>喷柜体面漆（含调漆、晾干、喷枪清洗）</w:t>
                  </w:r>
                </w:p>
              </w:tc>
              <w:tc>
                <w:tcPr>
                  <w:tcW w:w="362" w:type="pct"/>
                  <w:shd w:val="clear" w:color="auto" w:fill="auto"/>
                  <w:vAlign w:val="center"/>
                </w:tcPr>
                <w:p w14:paraId="04251F6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颗粒物</w:t>
                  </w:r>
                </w:p>
              </w:tc>
              <w:tc>
                <w:tcPr>
                  <w:tcW w:w="339" w:type="pct"/>
                  <w:vAlign w:val="center"/>
                </w:tcPr>
                <w:p w14:paraId="2660FC6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0.2088</w:t>
                  </w:r>
                </w:p>
              </w:tc>
              <w:tc>
                <w:tcPr>
                  <w:tcW w:w="379" w:type="pct"/>
                  <w:vAlign w:val="center"/>
                </w:tcPr>
                <w:p w14:paraId="34F17E3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5.8</w:t>
                  </w:r>
                </w:p>
              </w:tc>
              <w:tc>
                <w:tcPr>
                  <w:tcW w:w="367" w:type="pct"/>
                  <w:vMerge w:val="continue"/>
                  <w:vAlign w:val="center"/>
                </w:tcPr>
                <w:p w14:paraId="0D4F6ED2">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4FDF022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5175634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5376663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0.0017</w:t>
                  </w:r>
                </w:p>
              </w:tc>
              <w:tc>
                <w:tcPr>
                  <w:tcW w:w="350" w:type="pct"/>
                  <w:vAlign w:val="center"/>
                </w:tcPr>
                <w:p w14:paraId="2E7F727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0.0042</w:t>
                  </w:r>
                </w:p>
              </w:tc>
              <w:tc>
                <w:tcPr>
                  <w:tcW w:w="380" w:type="pct"/>
                  <w:vAlign w:val="center"/>
                </w:tcPr>
                <w:p w14:paraId="18093DD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0.013</w:t>
                  </w:r>
                </w:p>
              </w:tc>
              <w:tc>
                <w:tcPr>
                  <w:tcW w:w="367" w:type="pct"/>
                  <w:vAlign w:val="center"/>
                </w:tcPr>
                <w:p w14:paraId="1BA328A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0.853</w:t>
                  </w:r>
                </w:p>
              </w:tc>
              <w:tc>
                <w:tcPr>
                  <w:tcW w:w="349" w:type="pct"/>
                  <w:shd w:val="clear" w:color="auto" w:fill="auto"/>
                  <w:vAlign w:val="center"/>
                </w:tcPr>
                <w:p w14:paraId="7C838BA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0.0306</w:t>
                  </w:r>
                </w:p>
              </w:tc>
              <w:tc>
                <w:tcPr>
                  <w:tcW w:w="270" w:type="pct"/>
                  <w:vAlign w:val="center"/>
                </w:tcPr>
                <w:p w14:paraId="665FC8D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7DE6D14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79C5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392E57E5">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0E7772A8">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VOCs</w:t>
                  </w:r>
                </w:p>
              </w:tc>
              <w:tc>
                <w:tcPr>
                  <w:tcW w:w="339" w:type="pct"/>
                  <w:vAlign w:val="center"/>
                </w:tcPr>
                <w:p w14:paraId="4CADA6A4">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0.204</w:t>
                  </w:r>
                </w:p>
              </w:tc>
              <w:tc>
                <w:tcPr>
                  <w:tcW w:w="379" w:type="pct"/>
                  <w:vAlign w:val="center"/>
                </w:tcPr>
                <w:p w14:paraId="6FE87D3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5.67</w:t>
                  </w:r>
                </w:p>
              </w:tc>
              <w:tc>
                <w:tcPr>
                  <w:tcW w:w="367" w:type="pct"/>
                  <w:vMerge w:val="continue"/>
                  <w:vAlign w:val="center"/>
                </w:tcPr>
                <w:p w14:paraId="55FC6CE9">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1B50F36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6A0385C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5B2CAF0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0.0017</w:t>
                  </w:r>
                </w:p>
              </w:tc>
              <w:tc>
                <w:tcPr>
                  <w:tcW w:w="350" w:type="pct"/>
                  <w:vAlign w:val="center"/>
                </w:tcPr>
                <w:p w14:paraId="46893FA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0.0041</w:t>
                  </w:r>
                </w:p>
              </w:tc>
              <w:tc>
                <w:tcPr>
                  <w:tcW w:w="380" w:type="pct"/>
                  <w:vAlign w:val="center"/>
                </w:tcPr>
                <w:p w14:paraId="239DB7A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0.0125</w:t>
                  </w:r>
                </w:p>
              </w:tc>
              <w:tc>
                <w:tcPr>
                  <w:tcW w:w="367" w:type="pct"/>
                  <w:vAlign w:val="center"/>
                </w:tcPr>
                <w:p w14:paraId="3FFD879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0.833</w:t>
                  </w:r>
                </w:p>
              </w:tc>
              <w:tc>
                <w:tcPr>
                  <w:tcW w:w="349" w:type="pct"/>
                  <w:shd w:val="clear" w:color="auto" w:fill="auto"/>
                  <w:vAlign w:val="center"/>
                </w:tcPr>
                <w:p w14:paraId="415746FB">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0.03</w:t>
                  </w:r>
                </w:p>
              </w:tc>
              <w:tc>
                <w:tcPr>
                  <w:tcW w:w="270" w:type="pct"/>
                  <w:vAlign w:val="center"/>
                </w:tcPr>
                <w:p w14:paraId="5B084BE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40ACF52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7B51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1C9287B5">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0DC283D3">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二甲苯</w:t>
                  </w:r>
                </w:p>
              </w:tc>
              <w:tc>
                <w:tcPr>
                  <w:tcW w:w="339" w:type="pct"/>
                  <w:vAlign w:val="center"/>
                </w:tcPr>
                <w:p w14:paraId="055C4C04">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0.133</w:t>
                  </w:r>
                </w:p>
              </w:tc>
              <w:tc>
                <w:tcPr>
                  <w:tcW w:w="379" w:type="pct"/>
                  <w:vAlign w:val="center"/>
                </w:tcPr>
                <w:p w14:paraId="6EC5F6F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3.69</w:t>
                  </w:r>
                </w:p>
              </w:tc>
              <w:tc>
                <w:tcPr>
                  <w:tcW w:w="367" w:type="pct"/>
                  <w:vMerge w:val="continue"/>
                  <w:vAlign w:val="center"/>
                </w:tcPr>
                <w:p w14:paraId="0B4E6C94">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6AC5772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2E13CAF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17A652B4">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0.0011</w:t>
                  </w:r>
                </w:p>
              </w:tc>
              <w:tc>
                <w:tcPr>
                  <w:tcW w:w="350" w:type="pct"/>
                  <w:vAlign w:val="center"/>
                </w:tcPr>
                <w:p w14:paraId="3FF7703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0.0027</w:t>
                  </w:r>
                </w:p>
              </w:tc>
              <w:tc>
                <w:tcPr>
                  <w:tcW w:w="380" w:type="pct"/>
                  <w:vAlign w:val="center"/>
                </w:tcPr>
                <w:p w14:paraId="33392C7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0.0081</w:t>
                  </w:r>
                </w:p>
              </w:tc>
              <w:tc>
                <w:tcPr>
                  <w:tcW w:w="367" w:type="pct"/>
                  <w:vAlign w:val="center"/>
                </w:tcPr>
                <w:p w14:paraId="1FB3994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0.54</w:t>
                  </w:r>
                </w:p>
              </w:tc>
              <w:tc>
                <w:tcPr>
                  <w:tcW w:w="349" w:type="pct"/>
                  <w:shd w:val="clear" w:color="auto" w:fill="auto"/>
                  <w:vAlign w:val="center"/>
                </w:tcPr>
                <w:p w14:paraId="28A874E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0.0196</w:t>
                  </w:r>
                </w:p>
              </w:tc>
              <w:tc>
                <w:tcPr>
                  <w:tcW w:w="270" w:type="pct"/>
                  <w:vAlign w:val="center"/>
                </w:tcPr>
                <w:p w14:paraId="01000F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245848F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2104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38B78979">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00A19A9C">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乙酸丁酯</w:t>
                  </w:r>
                </w:p>
              </w:tc>
              <w:tc>
                <w:tcPr>
                  <w:tcW w:w="339" w:type="pct"/>
                  <w:vAlign w:val="center"/>
                </w:tcPr>
                <w:p w14:paraId="0518E7A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0.035</w:t>
                  </w:r>
                </w:p>
              </w:tc>
              <w:tc>
                <w:tcPr>
                  <w:tcW w:w="379" w:type="pct"/>
                  <w:vAlign w:val="center"/>
                </w:tcPr>
                <w:p w14:paraId="4B4B61B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0.97</w:t>
                  </w:r>
                </w:p>
              </w:tc>
              <w:tc>
                <w:tcPr>
                  <w:tcW w:w="367" w:type="pct"/>
                  <w:vMerge w:val="continue"/>
                  <w:vAlign w:val="center"/>
                </w:tcPr>
                <w:p w14:paraId="37B10875">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5D458FE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07D71B8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077B65B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0.0003</w:t>
                  </w:r>
                </w:p>
              </w:tc>
              <w:tc>
                <w:tcPr>
                  <w:tcW w:w="350" w:type="pct"/>
                  <w:vAlign w:val="center"/>
                </w:tcPr>
                <w:p w14:paraId="7827CCB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0.0007</w:t>
                  </w:r>
                </w:p>
              </w:tc>
              <w:tc>
                <w:tcPr>
                  <w:tcW w:w="380" w:type="pct"/>
                  <w:vAlign w:val="center"/>
                </w:tcPr>
                <w:p w14:paraId="32F12A7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0.0021</w:t>
                  </w:r>
                </w:p>
              </w:tc>
              <w:tc>
                <w:tcPr>
                  <w:tcW w:w="367" w:type="pct"/>
                  <w:vAlign w:val="center"/>
                </w:tcPr>
                <w:p w14:paraId="209B320B">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0.143</w:t>
                  </w:r>
                </w:p>
              </w:tc>
              <w:tc>
                <w:tcPr>
                  <w:tcW w:w="349" w:type="pct"/>
                  <w:shd w:val="clear" w:color="auto" w:fill="auto"/>
                  <w:vAlign w:val="center"/>
                </w:tcPr>
                <w:p w14:paraId="5A9D5B24">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0.0051</w:t>
                  </w:r>
                </w:p>
              </w:tc>
              <w:tc>
                <w:tcPr>
                  <w:tcW w:w="270" w:type="pct"/>
                  <w:vAlign w:val="center"/>
                </w:tcPr>
                <w:p w14:paraId="25A2355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1AA2EF8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3661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Align w:val="center"/>
                </w:tcPr>
                <w:p w14:paraId="45FE667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浇注固化</w:t>
                  </w:r>
                </w:p>
              </w:tc>
              <w:tc>
                <w:tcPr>
                  <w:tcW w:w="362" w:type="pct"/>
                  <w:shd w:val="clear" w:color="auto" w:fill="auto"/>
                  <w:vAlign w:val="center"/>
                </w:tcPr>
                <w:p w14:paraId="4E6D2E0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cs="Times New Roman"/>
                      <w:b w:val="0"/>
                      <w:bCs/>
                      <w:sz w:val="21"/>
                      <w:szCs w:val="21"/>
                      <w:vertAlign w:val="baseline"/>
                      <w:lang w:val="en-US" w:eastAsia="zh-CN"/>
                    </w:rPr>
                    <w:t>VOCs</w:t>
                  </w:r>
                </w:p>
              </w:tc>
              <w:tc>
                <w:tcPr>
                  <w:tcW w:w="339" w:type="pct"/>
                  <w:vAlign w:val="center"/>
                </w:tcPr>
                <w:p w14:paraId="01BD1CC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0.974</w:t>
                  </w:r>
                </w:p>
              </w:tc>
              <w:tc>
                <w:tcPr>
                  <w:tcW w:w="379" w:type="pct"/>
                  <w:vAlign w:val="center"/>
                </w:tcPr>
                <w:p w14:paraId="2D1126F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27.06</w:t>
                  </w:r>
                </w:p>
              </w:tc>
              <w:tc>
                <w:tcPr>
                  <w:tcW w:w="367" w:type="pct"/>
                  <w:vMerge w:val="continue"/>
                  <w:vAlign w:val="center"/>
                </w:tcPr>
                <w:p w14:paraId="2E0F4E16">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vAlign w:val="center"/>
                </w:tcPr>
                <w:p w14:paraId="09BCBF6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98</w:t>
                  </w:r>
                </w:p>
              </w:tc>
              <w:tc>
                <w:tcPr>
                  <w:tcW w:w="349" w:type="pct"/>
                  <w:vAlign w:val="center"/>
                </w:tcPr>
                <w:p w14:paraId="56CCF3A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3D91CF7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0.008</w:t>
                  </w:r>
                </w:p>
              </w:tc>
              <w:tc>
                <w:tcPr>
                  <w:tcW w:w="350" w:type="pct"/>
                  <w:vAlign w:val="center"/>
                </w:tcPr>
                <w:p w14:paraId="26E3348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0.019</w:t>
                  </w:r>
                </w:p>
              </w:tc>
              <w:tc>
                <w:tcPr>
                  <w:tcW w:w="380" w:type="pct"/>
                  <w:vAlign w:val="center"/>
                </w:tcPr>
                <w:p w14:paraId="0B34B22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0.06</w:t>
                  </w:r>
                </w:p>
              </w:tc>
              <w:tc>
                <w:tcPr>
                  <w:tcW w:w="367" w:type="pct"/>
                  <w:vAlign w:val="center"/>
                </w:tcPr>
                <w:p w14:paraId="3AB54A2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3.98</w:t>
                  </w:r>
                </w:p>
              </w:tc>
              <w:tc>
                <w:tcPr>
                  <w:tcW w:w="349" w:type="pct"/>
                  <w:shd w:val="clear" w:color="auto" w:fill="auto"/>
                  <w:vAlign w:val="center"/>
                </w:tcPr>
                <w:p w14:paraId="16856CD4">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0.1432</w:t>
                  </w:r>
                </w:p>
              </w:tc>
              <w:tc>
                <w:tcPr>
                  <w:tcW w:w="270" w:type="pct"/>
                  <w:vAlign w:val="center"/>
                </w:tcPr>
                <w:p w14:paraId="16D85EB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0DB0385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5AB9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shd w:val="clear" w:color="auto" w:fill="auto"/>
                  <w:vAlign w:val="center"/>
                </w:tcPr>
                <w:p w14:paraId="3BBC6FF9">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喷塑</w:t>
                  </w:r>
                  <w:r>
                    <w:rPr>
                      <w:rFonts w:hint="default" w:ascii="Times New Roman" w:hAnsi="Times New Roman" w:cs="Times New Roman"/>
                      <w:b w:val="0"/>
                      <w:bCs/>
                      <w:sz w:val="21"/>
                      <w:szCs w:val="21"/>
                      <w:vertAlign w:val="baseline"/>
                      <w:lang w:val="en-US" w:eastAsia="zh-CN"/>
                    </w:rPr>
                    <w:t>后烘干</w:t>
                  </w:r>
                </w:p>
              </w:tc>
              <w:tc>
                <w:tcPr>
                  <w:tcW w:w="362" w:type="pct"/>
                  <w:shd w:val="clear" w:color="auto" w:fill="auto"/>
                  <w:vAlign w:val="center"/>
                </w:tcPr>
                <w:p w14:paraId="6C91D9B3">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cs="Times New Roman"/>
                      <w:b w:val="0"/>
                      <w:bCs/>
                      <w:sz w:val="21"/>
                      <w:szCs w:val="21"/>
                      <w:vertAlign w:val="baseline"/>
                      <w:lang w:val="en-US" w:eastAsia="zh-CN"/>
                    </w:rPr>
                    <w:t>VOCs</w:t>
                  </w:r>
                </w:p>
              </w:tc>
              <w:tc>
                <w:tcPr>
                  <w:tcW w:w="339" w:type="pct"/>
                  <w:vAlign w:val="center"/>
                </w:tcPr>
                <w:p w14:paraId="50ABE244">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0.0012</w:t>
                  </w:r>
                </w:p>
              </w:tc>
              <w:tc>
                <w:tcPr>
                  <w:tcW w:w="379" w:type="pct"/>
                  <w:vAlign w:val="center"/>
                </w:tcPr>
                <w:p w14:paraId="0B15C4A4">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0.1</w:t>
                  </w:r>
                </w:p>
              </w:tc>
              <w:tc>
                <w:tcPr>
                  <w:tcW w:w="367" w:type="pct"/>
                  <w:vMerge w:val="continue"/>
                  <w:vAlign w:val="center"/>
                </w:tcPr>
                <w:p w14:paraId="25E24A4E">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7" w:type="pct"/>
                  <w:shd w:val="clear" w:color="auto" w:fill="auto"/>
                  <w:vAlign w:val="center"/>
                </w:tcPr>
                <w:p w14:paraId="7AC6A14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cs="Times New Roman"/>
                      <w:b w:val="0"/>
                      <w:bCs/>
                      <w:sz w:val="21"/>
                      <w:szCs w:val="21"/>
                      <w:vertAlign w:val="baseline"/>
                      <w:lang w:val="en-US" w:eastAsia="zh-CN"/>
                    </w:rPr>
                    <w:t>98</w:t>
                  </w:r>
                </w:p>
              </w:tc>
              <w:tc>
                <w:tcPr>
                  <w:tcW w:w="349" w:type="pct"/>
                  <w:shd w:val="clear" w:color="auto" w:fill="auto"/>
                  <w:vAlign w:val="center"/>
                </w:tcPr>
                <w:p w14:paraId="4FD6F55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cs="Times New Roman"/>
                      <w:b w:val="0"/>
                      <w:bCs/>
                      <w:sz w:val="21"/>
                      <w:szCs w:val="21"/>
                      <w:vertAlign w:val="baseline"/>
                      <w:lang w:val="en-US" w:eastAsia="zh-CN"/>
                    </w:rPr>
                    <w:t>85</w:t>
                  </w:r>
                </w:p>
              </w:tc>
              <w:tc>
                <w:tcPr>
                  <w:tcW w:w="392" w:type="pct"/>
                  <w:vAlign w:val="center"/>
                </w:tcPr>
                <w:p w14:paraId="474BF562">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0.00008</w:t>
                  </w:r>
                </w:p>
              </w:tc>
              <w:tc>
                <w:tcPr>
                  <w:tcW w:w="350" w:type="pct"/>
                  <w:vAlign w:val="center"/>
                </w:tcPr>
                <w:p w14:paraId="11F30B25">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sz w:val="21"/>
                      <w:szCs w:val="21"/>
                      <w:vertAlign w:val="baseline"/>
                      <w:lang w:val="en-US" w:eastAsia="zh-CN"/>
                    </w:rPr>
                    <w:t>0.00002</w:t>
                  </w:r>
                </w:p>
              </w:tc>
              <w:tc>
                <w:tcPr>
                  <w:tcW w:w="380" w:type="pct"/>
                  <w:vAlign w:val="center"/>
                </w:tcPr>
                <w:p w14:paraId="30A7CC19">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0.00007</w:t>
                  </w:r>
                </w:p>
              </w:tc>
              <w:tc>
                <w:tcPr>
                  <w:tcW w:w="367" w:type="pct"/>
                  <w:vAlign w:val="center"/>
                </w:tcPr>
                <w:p w14:paraId="6D2C2954">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0.005</w:t>
                  </w:r>
                </w:p>
              </w:tc>
              <w:tc>
                <w:tcPr>
                  <w:tcW w:w="349" w:type="pct"/>
                  <w:shd w:val="clear" w:color="auto" w:fill="auto"/>
                  <w:vAlign w:val="center"/>
                </w:tcPr>
                <w:p w14:paraId="6025047E">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0.00018</w:t>
                  </w:r>
                </w:p>
              </w:tc>
              <w:tc>
                <w:tcPr>
                  <w:tcW w:w="270" w:type="pct"/>
                  <w:vAlign w:val="center"/>
                </w:tcPr>
                <w:p w14:paraId="3EC7D3C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Merge w:val="continue"/>
                  <w:vAlign w:val="center"/>
                </w:tcPr>
                <w:p w14:paraId="56C528D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3F70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restart"/>
                  <w:shd w:val="clear" w:color="auto" w:fill="auto"/>
                  <w:vAlign w:val="center"/>
                </w:tcPr>
                <w:p w14:paraId="11EC6FEE">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合计</w:t>
                  </w:r>
                </w:p>
              </w:tc>
              <w:tc>
                <w:tcPr>
                  <w:tcW w:w="362" w:type="pct"/>
                  <w:shd w:val="clear" w:color="auto" w:fill="auto"/>
                  <w:vAlign w:val="center"/>
                </w:tcPr>
                <w:p w14:paraId="7F8484BC">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颗粒物</w:t>
                  </w:r>
                </w:p>
              </w:tc>
              <w:tc>
                <w:tcPr>
                  <w:tcW w:w="339" w:type="pct"/>
                  <w:vAlign w:val="center"/>
                </w:tcPr>
                <w:p w14:paraId="136055F0">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c>
                <w:tcPr>
                  <w:tcW w:w="379" w:type="pct"/>
                  <w:vAlign w:val="center"/>
                </w:tcPr>
                <w:p w14:paraId="17C637F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67" w:type="pct"/>
                  <w:vAlign w:val="center"/>
                </w:tcPr>
                <w:p w14:paraId="20329C9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67" w:type="pct"/>
                  <w:shd w:val="clear" w:color="auto" w:fill="auto"/>
                  <w:vAlign w:val="center"/>
                </w:tcPr>
                <w:p w14:paraId="3EFB102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49" w:type="pct"/>
                  <w:shd w:val="clear" w:color="auto" w:fill="auto"/>
                  <w:vAlign w:val="center"/>
                </w:tcPr>
                <w:p w14:paraId="4E611F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92" w:type="pct"/>
                  <w:vAlign w:val="center"/>
                </w:tcPr>
                <w:p w14:paraId="3124F91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50" w:type="pct"/>
                  <w:vAlign w:val="center"/>
                </w:tcPr>
                <w:p w14:paraId="0A1DDCF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80" w:type="pct"/>
                  <w:vAlign w:val="center"/>
                </w:tcPr>
                <w:p w14:paraId="16F38493">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0.04</w:t>
                  </w:r>
                </w:p>
              </w:tc>
              <w:tc>
                <w:tcPr>
                  <w:tcW w:w="367" w:type="pct"/>
                  <w:shd w:val="clear" w:color="auto" w:fill="auto"/>
                  <w:vAlign w:val="center"/>
                </w:tcPr>
                <w:p w14:paraId="7E8F806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2.54</w:t>
                  </w:r>
                </w:p>
              </w:tc>
              <w:tc>
                <w:tcPr>
                  <w:tcW w:w="349" w:type="pct"/>
                  <w:shd w:val="clear" w:color="auto" w:fill="auto"/>
                  <w:vAlign w:val="center"/>
                </w:tcPr>
                <w:p w14:paraId="1A75283A">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w:t>
                  </w:r>
                </w:p>
              </w:tc>
              <w:tc>
                <w:tcPr>
                  <w:tcW w:w="270" w:type="pct"/>
                  <w:vAlign w:val="center"/>
                </w:tcPr>
                <w:p w14:paraId="12A131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达标</w:t>
                  </w:r>
                </w:p>
              </w:tc>
              <w:tc>
                <w:tcPr>
                  <w:tcW w:w="316" w:type="pct"/>
                  <w:vAlign w:val="center"/>
                </w:tcPr>
                <w:p w14:paraId="5B54445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DA002</w:t>
                  </w:r>
                </w:p>
              </w:tc>
            </w:tr>
            <w:tr w14:paraId="4009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shd w:val="clear" w:color="auto" w:fill="auto"/>
                  <w:vAlign w:val="center"/>
                </w:tcPr>
                <w:p w14:paraId="7640EFD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50043DEF">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颗粒物</w:t>
                  </w:r>
                </w:p>
              </w:tc>
              <w:tc>
                <w:tcPr>
                  <w:tcW w:w="339" w:type="pct"/>
                  <w:vAlign w:val="center"/>
                </w:tcPr>
                <w:p w14:paraId="19258D51">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c>
                <w:tcPr>
                  <w:tcW w:w="379" w:type="pct"/>
                  <w:vAlign w:val="center"/>
                </w:tcPr>
                <w:p w14:paraId="4DE886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67" w:type="pct"/>
                  <w:vAlign w:val="center"/>
                </w:tcPr>
                <w:p w14:paraId="391E1B2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c>
                <w:tcPr>
                  <w:tcW w:w="367" w:type="pct"/>
                  <w:shd w:val="clear" w:color="auto" w:fill="auto"/>
                  <w:vAlign w:val="center"/>
                </w:tcPr>
                <w:p w14:paraId="022A52F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49" w:type="pct"/>
                  <w:shd w:val="clear" w:color="auto" w:fill="auto"/>
                  <w:vAlign w:val="center"/>
                </w:tcPr>
                <w:p w14:paraId="090F8AB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c>
                <w:tcPr>
                  <w:tcW w:w="392" w:type="pct"/>
                  <w:vAlign w:val="center"/>
                </w:tcPr>
                <w:p w14:paraId="1D610DF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50" w:type="pct"/>
                  <w:vAlign w:val="center"/>
                </w:tcPr>
                <w:p w14:paraId="318F1643">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c>
                <w:tcPr>
                  <w:tcW w:w="380" w:type="pct"/>
                  <w:vAlign w:val="center"/>
                </w:tcPr>
                <w:p w14:paraId="09CA9CFF">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0.067</w:t>
                  </w:r>
                </w:p>
              </w:tc>
              <w:tc>
                <w:tcPr>
                  <w:tcW w:w="367" w:type="pct"/>
                  <w:shd w:val="clear" w:color="auto" w:fill="auto"/>
                  <w:vAlign w:val="center"/>
                </w:tcPr>
                <w:p w14:paraId="64542A7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4.47</w:t>
                  </w:r>
                </w:p>
              </w:tc>
              <w:tc>
                <w:tcPr>
                  <w:tcW w:w="349" w:type="pct"/>
                  <w:shd w:val="clear" w:color="auto" w:fill="auto"/>
                  <w:vAlign w:val="center"/>
                </w:tcPr>
                <w:p w14:paraId="0BA43076">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w:t>
                  </w:r>
                </w:p>
              </w:tc>
              <w:tc>
                <w:tcPr>
                  <w:tcW w:w="270" w:type="pct"/>
                  <w:vAlign w:val="center"/>
                </w:tcPr>
                <w:p w14:paraId="5B56A00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达标</w:t>
                  </w:r>
                </w:p>
              </w:tc>
              <w:tc>
                <w:tcPr>
                  <w:tcW w:w="316" w:type="pct"/>
                  <w:vMerge w:val="restart"/>
                  <w:vAlign w:val="center"/>
                </w:tcPr>
                <w:p w14:paraId="38FEB55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DA001</w:t>
                  </w:r>
                </w:p>
              </w:tc>
            </w:tr>
            <w:tr w14:paraId="7916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shd w:val="clear" w:color="auto" w:fill="auto"/>
                  <w:vAlign w:val="center"/>
                </w:tcPr>
                <w:p w14:paraId="6D2E4103">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216AEB6B">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VOCs</w:t>
                  </w:r>
                </w:p>
              </w:tc>
              <w:tc>
                <w:tcPr>
                  <w:tcW w:w="339" w:type="pct"/>
                  <w:vAlign w:val="center"/>
                </w:tcPr>
                <w:p w14:paraId="5BF0BAEC">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79" w:type="pct"/>
                  <w:vAlign w:val="center"/>
                </w:tcPr>
                <w:p w14:paraId="3AF625DE">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vAlign w:val="center"/>
                </w:tcPr>
                <w:p w14:paraId="39112D6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shd w:val="clear" w:color="auto" w:fill="auto"/>
                  <w:vAlign w:val="center"/>
                </w:tcPr>
                <w:p w14:paraId="3744604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49" w:type="pct"/>
                  <w:shd w:val="clear" w:color="auto" w:fill="auto"/>
                  <w:vAlign w:val="center"/>
                </w:tcPr>
                <w:p w14:paraId="5CA6990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92" w:type="pct"/>
                  <w:vAlign w:val="center"/>
                </w:tcPr>
                <w:p w14:paraId="19EF39C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50" w:type="pct"/>
                  <w:vAlign w:val="center"/>
                </w:tcPr>
                <w:p w14:paraId="5C5D3708">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80" w:type="pct"/>
                  <w:vAlign w:val="center"/>
                </w:tcPr>
                <w:p w14:paraId="02FD9121">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0.1476</w:t>
                  </w:r>
                </w:p>
              </w:tc>
              <w:tc>
                <w:tcPr>
                  <w:tcW w:w="367" w:type="pct"/>
                  <w:vAlign w:val="center"/>
                </w:tcPr>
                <w:p w14:paraId="6FD4EEEB">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9.84</w:t>
                  </w:r>
                </w:p>
              </w:tc>
              <w:tc>
                <w:tcPr>
                  <w:tcW w:w="349" w:type="pct"/>
                  <w:shd w:val="clear" w:color="auto" w:fill="auto"/>
                  <w:vAlign w:val="center"/>
                </w:tcPr>
                <w:p w14:paraId="69D1A80C">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w:t>
                  </w:r>
                </w:p>
              </w:tc>
              <w:tc>
                <w:tcPr>
                  <w:tcW w:w="270" w:type="pct"/>
                  <w:vAlign w:val="center"/>
                </w:tcPr>
                <w:p w14:paraId="3C7B744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eastAsia" w:cs="Times New Roman"/>
                      <w:b w:val="0"/>
                      <w:bCs/>
                      <w:sz w:val="21"/>
                      <w:szCs w:val="21"/>
                      <w:vertAlign w:val="baseline"/>
                      <w:lang w:val="en-US" w:eastAsia="zh-CN"/>
                    </w:rPr>
                    <w:t>达标</w:t>
                  </w:r>
                </w:p>
              </w:tc>
              <w:tc>
                <w:tcPr>
                  <w:tcW w:w="316" w:type="pct"/>
                  <w:vMerge w:val="continue"/>
                  <w:vAlign w:val="center"/>
                </w:tcPr>
                <w:p w14:paraId="006DACB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3244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shd w:val="clear" w:color="auto" w:fill="auto"/>
                  <w:vAlign w:val="center"/>
                </w:tcPr>
                <w:p w14:paraId="27282F6F">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7D77A772">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二甲苯</w:t>
                  </w:r>
                </w:p>
              </w:tc>
              <w:tc>
                <w:tcPr>
                  <w:tcW w:w="339" w:type="pct"/>
                  <w:vAlign w:val="center"/>
                </w:tcPr>
                <w:p w14:paraId="2E85434F">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79" w:type="pct"/>
                  <w:vAlign w:val="center"/>
                </w:tcPr>
                <w:p w14:paraId="3097F9F6">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vAlign w:val="center"/>
                </w:tcPr>
                <w:p w14:paraId="1694E24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shd w:val="clear" w:color="auto" w:fill="auto"/>
                  <w:vAlign w:val="center"/>
                </w:tcPr>
                <w:p w14:paraId="46B2107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49" w:type="pct"/>
                  <w:shd w:val="clear" w:color="auto" w:fill="auto"/>
                  <w:vAlign w:val="center"/>
                </w:tcPr>
                <w:p w14:paraId="1188627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92" w:type="pct"/>
                  <w:vAlign w:val="center"/>
                </w:tcPr>
                <w:p w14:paraId="7F9CF2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50" w:type="pct"/>
                  <w:vAlign w:val="center"/>
                </w:tcPr>
                <w:p w14:paraId="1FF37426">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80" w:type="pct"/>
                  <w:vAlign w:val="center"/>
                </w:tcPr>
                <w:p w14:paraId="7ED5F97B">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0.0311</w:t>
                  </w:r>
                </w:p>
              </w:tc>
              <w:tc>
                <w:tcPr>
                  <w:tcW w:w="367" w:type="pct"/>
                  <w:vAlign w:val="center"/>
                </w:tcPr>
                <w:p w14:paraId="77BA8822">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2.07</w:t>
                  </w:r>
                </w:p>
              </w:tc>
              <w:tc>
                <w:tcPr>
                  <w:tcW w:w="349" w:type="pct"/>
                  <w:shd w:val="clear" w:color="auto" w:fill="auto"/>
                  <w:vAlign w:val="center"/>
                </w:tcPr>
                <w:p w14:paraId="5DB0DA42">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w:t>
                  </w:r>
                </w:p>
              </w:tc>
              <w:tc>
                <w:tcPr>
                  <w:tcW w:w="270" w:type="pct"/>
                  <w:vAlign w:val="center"/>
                </w:tcPr>
                <w:p w14:paraId="3B2275B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eastAsia" w:cs="Times New Roman"/>
                      <w:b w:val="0"/>
                      <w:bCs/>
                      <w:sz w:val="21"/>
                      <w:szCs w:val="21"/>
                      <w:vertAlign w:val="baseline"/>
                      <w:lang w:val="en-US" w:eastAsia="zh-CN"/>
                    </w:rPr>
                    <w:t>达标</w:t>
                  </w:r>
                </w:p>
              </w:tc>
              <w:tc>
                <w:tcPr>
                  <w:tcW w:w="316" w:type="pct"/>
                  <w:vMerge w:val="continue"/>
                  <w:vAlign w:val="center"/>
                </w:tcPr>
                <w:p w14:paraId="7527443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6248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shd w:val="clear" w:color="auto" w:fill="auto"/>
                  <w:vAlign w:val="center"/>
                </w:tcPr>
                <w:p w14:paraId="1CFC8992">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p>
              </w:tc>
              <w:tc>
                <w:tcPr>
                  <w:tcW w:w="362" w:type="pct"/>
                  <w:shd w:val="clear" w:color="auto" w:fill="auto"/>
                  <w:vAlign w:val="center"/>
                </w:tcPr>
                <w:p w14:paraId="130D0D6D">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乙酸丁酯</w:t>
                  </w:r>
                </w:p>
              </w:tc>
              <w:tc>
                <w:tcPr>
                  <w:tcW w:w="339" w:type="pct"/>
                  <w:vAlign w:val="center"/>
                </w:tcPr>
                <w:p w14:paraId="373B7A93">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79" w:type="pct"/>
                  <w:vAlign w:val="center"/>
                </w:tcPr>
                <w:p w14:paraId="1DCC3710">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vAlign w:val="center"/>
                </w:tcPr>
                <w:p w14:paraId="7B3DD4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shd w:val="clear" w:color="auto" w:fill="auto"/>
                  <w:vAlign w:val="center"/>
                </w:tcPr>
                <w:p w14:paraId="7DC832B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49" w:type="pct"/>
                  <w:shd w:val="clear" w:color="auto" w:fill="auto"/>
                  <w:vAlign w:val="center"/>
                </w:tcPr>
                <w:p w14:paraId="7C23A69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92" w:type="pct"/>
                  <w:vAlign w:val="center"/>
                </w:tcPr>
                <w:p w14:paraId="40C1036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50" w:type="pct"/>
                  <w:vAlign w:val="center"/>
                </w:tcPr>
                <w:p w14:paraId="7EA9139E">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80" w:type="pct"/>
                  <w:vAlign w:val="center"/>
                </w:tcPr>
                <w:p w14:paraId="7DF7D712">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0.011</w:t>
                  </w:r>
                </w:p>
              </w:tc>
              <w:tc>
                <w:tcPr>
                  <w:tcW w:w="367" w:type="pct"/>
                  <w:vAlign w:val="center"/>
                </w:tcPr>
                <w:p w14:paraId="77DA6D98">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0.74</w:t>
                  </w:r>
                </w:p>
              </w:tc>
              <w:tc>
                <w:tcPr>
                  <w:tcW w:w="349" w:type="pct"/>
                  <w:shd w:val="clear" w:color="auto" w:fill="auto"/>
                  <w:vAlign w:val="center"/>
                </w:tcPr>
                <w:p w14:paraId="7420E4E1">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w:t>
                  </w:r>
                </w:p>
              </w:tc>
              <w:tc>
                <w:tcPr>
                  <w:tcW w:w="270" w:type="pct"/>
                  <w:vAlign w:val="center"/>
                </w:tcPr>
                <w:p w14:paraId="544B771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b w:val="0"/>
                      <w:bCs/>
                      <w:sz w:val="21"/>
                      <w:szCs w:val="21"/>
                      <w:vertAlign w:val="baseline"/>
                      <w:lang w:val="en-US" w:eastAsia="zh-CN"/>
                    </w:rPr>
                  </w:pPr>
                  <w:r>
                    <w:rPr>
                      <w:rFonts w:hint="eastAsia" w:cs="Times New Roman"/>
                      <w:b w:val="0"/>
                      <w:bCs/>
                      <w:sz w:val="21"/>
                      <w:szCs w:val="21"/>
                      <w:vertAlign w:val="baseline"/>
                      <w:lang w:val="en-US" w:eastAsia="zh-CN"/>
                    </w:rPr>
                    <w:t>达标</w:t>
                  </w:r>
                </w:p>
              </w:tc>
              <w:tc>
                <w:tcPr>
                  <w:tcW w:w="316" w:type="pct"/>
                  <w:vMerge w:val="continue"/>
                  <w:vAlign w:val="center"/>
                </w:tcPr>
                <w:p w14:paraId="6941AC0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r>
            <w:tr w14:paraId="688E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restart"/>
                  <w:vAlign w:val="center"/>
                </w:tcPr>
                <w:p w14:paraId="7E0A9B22">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总厂合计</w:t>
                  </w:r>
                </w:p>
              </w:tc>
              <w:tc>
                <w:tcPr>
                  <w:tcW w:w="362" w:type="pct"/>
                  <w:vAlign w:val="center"/>
                </w:tcPr>
                <w:p w14:paraId="6452DB18">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颗粒物</w:t>
                  </w:r>
                </w:p>
              </w:tc>
              <w:tc>
                <w:tcPr>
                  <w:tcW w:w="339" w:type="pct"/>
                  <w:vAlign w:val="center"/>
                </w:tcPr>
                <w:p w14:paraId="5DE0630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2.1255</w:t>
                  </w:r>
                </w:p>
              </w:tc>
              <w:tc>
                <w:tcPr>
                  <w:tcW w:w="379" w:type="pct"/>
                  <w:vAlign w:val="center"/>
                </w:tcPr>
                <w:p w14:paraId="37E9C5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67" w:type="pct"/>
                  <w:vAlign w:val="center"/>
                </w:tcPr>
                <w:p w14:paraId="76ACC6D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vAlign w:val="center"/>
                </w:tcPr>
                <w:p w14:paraId="2535D8D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49" w:type="pct"/>
                  <w:vAlign w:val="center"/>
                </w:tcPr>
                <w:p w14:paraId="425AAC6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92" w:type="pct"/>
                  <w:vAlign w:val="center"/>
                </w:tcPr>
                <w:p w14:paraId="616FC47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50" w:type="pct"/>
                  <w:vAlign w:val="center"/>
                </w:tcPr>
                <w:p w14:paraId="07A57BB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80" w:type="pct"/>
                  <w:vAlign w:val="center"/>
                </w:tcPr>
                <w:p w14:paraId="1D22E99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67" w:type="pct"/>
                  <w:vAlign w:val="center"/>
                </w:tcPr>
                <w:p w14:paraId="088DF2F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49" w:type="pct"/>
                  <w:vAlign w:val="center"/>
                </w:tcPr>
                <w:p w14:paraId="1B7D85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0.26</w:t>
                  </w:r>
                </w:p>
              </w:tc>
              <w:tc>
                <w:tcPr>
                  <w:tcW w:w="270" w:type="pct"/>
                  <w:vAlign w:val="center"/>
                </w:tcPr>
                <w:p w14:paraId="58F876A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Align w:val="center"/>
                </w:tcPr>
                <w:p w14:paraId="1A41C2A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14:paraId="06BB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6D5A7AAE">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2" w:type="pct"/>
                  <w:vAlign w:val="center"/>
                </w:tcPr>
                <w:p w14:paraId="2642E976">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VOCs</w:t>
                  </w:r>
                </w:p>
              </w:tc>
              <w:tc>
                <w:tcPr>
                  <w:tcW w:w="339" w:type="pct"/>
                  <w:vAlign w:val="center"/>
                </w:tcPr>
                <w:p w14:paraId="04BF228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2.417</w:t>
                  </w:r>
                </w:p>
              </w:tc>
              <w:tc>
                <w:tcPr>
                  <w:tcW w:w="379" w:type="pct"/>
                  <w:vAlign w:val="center"/>
                </w:tcPr>
                <w:p w14:paraId="6696C51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67" w:type="pct"/>
                  <w:vAlign w:val="center"/>
                </w:tcPr>
                <w:p w14:paraId="410EEC8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vAlign w:val="center"/>
                </w:tcPr>
                <w:p w14:paraId="302F5AE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49" w:type="pct"/>
                  <w:vAlign w:val="center"/>
                </w:tcPr>
                <w:p w14:paraId="235A68B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92" w:type="pct"/>
                  <w:vAlign w:val="center"/>
                </w:tcPr>
                <w:p w14:paraId="409B508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50" w:type="pct"/>
                  <w:vAlign w:val="center"/>
                </w:tcPr>
                <w:p w14:paraId="1070245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80" w:type="pct"/>
                  <w:vAlign w:val="center"/>
                </w:tcPr>
                <w:p w14:paraId="0331857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67" w:type="pct"/>
                  <w:vAlign w:val="center"/>
                </w:tcPr>
                <w:p w14:paraId="467928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49" w:type="pct"/>
                  <w:vAlign w:val="center"/>
                </w:tcPr>
                <w:p w14:paraId="75BCFE9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0.355</w:t>
                  </w:r>
                </w:p>
              </w:tc>
              <w:tc>
                <w:tcPr>
                  <w:tcW w:w="270" w:type="pct"/>
                  <w:vAlign w:val="center"/>
                </w:tcPr>
                <w:p w14:paraId="69726F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Align w:val="center"/>
                </w:tcPr>
                <w:p w14:paraId="5B61FCE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14:paraId="3AE3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329AF8B1">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2" w:type="pct"/>
                  <w:vAlign w:val="center"/>
                </w:tcPr>
                <w:p w14:paraId="5E7FC7F2">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二甲苯</w:t>
                  </w:r>
                </w:p>
              </w:tc>
              <w:tc>
                <w:tcPr>
                  <w:tcW w:w="339" w:type="pct"/>
                  <w:vAlign w:val="center"/>
                </w:tcPr>
                <w:p w14:paraId="7DE302BF">
                  <w:pPr>
                    <w:keepNext w:val="0"/>
                    <w:keepLines w:val="0"/>
                    <w:pageBreakBefore w:val="0"/>
                    <w:widowControl/>
                    <w:suppressLineNumbers w:val="0"/>
                    <w:kinsoku/>
                    <w:wordWrap/>
                    <w:overflowPunct/>
                    <w:topLinePunct w:val="0"/>
                    <w:autoSpaceDE/>
                    <w:autoSpaceDN/>
                    <w:bidi w:val="0"/>
                    <w:jc w:val="center"/>
                    <w:textAlignment w:val="center"/>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0.505</w:t>
                  </w:r>
                </w:p>
              </w:tc>
              <w:tc>
                <w:tcPr>
                  <w:tcW w:w="379" w:type="pct"/>
                  <w:vAlign w:val="center"/>
                </w:tcPr>
                <w:p w14:paraId="673AFA0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c>
                <w:tcPr>
                  <w:tcW w:w="367" w:type="pct"/>
                  <w:vAlign w:val="center"/>
                </w:tcPr>
                <w:p w14:paraId="70FB3AC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vAlign w:val="center"/>
                </w:tcPr>
                <w:p w14:paraId="4EFC0C0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49" w:type="pct"/>
                  <w:vAlign w:val="center"/>
                </w:tcPr>
                <w:p w14:paraId="5C448A5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92" w:type="pct"/>
                  <w:vAlign w:val="center"/>
                </w:tcPr>
                <w:p w14:paraId="20DD43D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50" w:type="pct"/>
                  <w:vAlign w:val="center"/>
                </w:tcPr>
                <w:p w14:paraId="4129F666">
                  <w:pPr>
                    <w:keepNext w:val="0"/>
                    <w:keepLines w:val="0"/>
                    <w:pageBreakBefore w:val="0"/>
                    <w:widowControl/>
                    <w:suppressLineNumbers w:val="0"/>
                    <w:kinsoku/>
                    <w:wordWrap/>
                    <w:overflowPunct/>
                    <w:topLinePunct w:val="0"/>
                    <w:autoSpaceDE/>
                    <w:autoSpaceDN/>
                    <w:bidi w:val="0"/>
                    <w:jc w:val="center"/>
                    <w:textAlignment w:val="center"/>
                    <w:rPr>
                      <w:rFonts w:hint="eastAsia"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80" w:type="pct"/>
                  <w:vAlign w:val="center"/>
                </w:tcPr>
                <w:p w14:paraId="2112E0E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vAlign w:val="center"/>
                </w:tcPr>
                <w:p w14:paraId="384C11A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49" w:type="pct"/>
                  <w:vAlign w:val="center"/>
                </w:tcPr>
                <w:p w14:paraId="21245ED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0.0743</w:t>
                  </w:r>
                </w:p>
              </w:tc>
              <w:tc>
                <w:tcPr>
                  <w:tcW w:w="270" w:type="pct"/>
                  <w:vAlign w:val="center"/>
                </w:tcPr>
                <w:p w14:paraId="4016BC9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Align w:val="center"/>
                </w:tcPr>
                <w:p w14:paraId="6A2637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r w14:paraId="169B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7" w:type="pct"/>
                  <w:vMerge w:val="continue"/>
                  <w:vAlign w:val="center"/>
                </w:tcPr>
                <w:p w14:paraId="71452734">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362" w:type="pct"/>
                  <w:shd w:val="clear" w:color="auto" w:fill="auto"/>
                  <w:vAlign w:val="center"/>
                </w:tcPr>
                <w:p w14:paraId="7E382148">
                  <w:pPr>
                    <w:pStyle w:val="5"/>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乙酸丁酯</w:t>
                  </w:r>
                </w:p>
              </w:tc>
              <w:tc>
                <w:tcPr>
                  <w:tcW w:w="339" w:type="pct"/>
                  <w:shd w:val="clear" w:color="auto" w:fill="auto"/>
                  <w:vAlign w:val="center"/>
                </w:tcPr>
                <w:p w14:paraId="09E0B78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sz w:val="21"/>
                      <w:szCs w:val="21"/>
                      <w:vertAlign w:val="baseline"/>
                      <w:lang w:val="en-US" w:eastAsia="zh-CN"/>
                    </w:rPr>
                    <w:t>0.179</w:t>
                  </w:r>
                </w:p>
              </w:tc>
              <w:tc>
                <w:tcPr>
                  <w:tcW w:w="379" w:type="pct"/>
                  <w:vAlign w:val="center"/>
                </w:tcPr>
                <w:p w14:paraId="0042217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67" w:type="pct"/>
                  <w:vAlign w:val="center"/>
                </w:tcPr>
                <w:p w14:paraId="04E257E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67" w:type="pct"/>
                  <w:vAlign w:val="center"/>
                </w:tcPr>
                <w:p w14:paraId="505E159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49" w:type="pct"/>
                  <w:vAlign w:val="center"/>
                </w:tcPr>
                <w:p w14:paraId="479BA77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92" w:type="pct"/>
                  <w:vAlign w:val="center"/>
                </w:tcPr>
                <w:p w14:paraId="0194FFF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50" w:type="pct"/>
                  <w:shd w:val="clear" w:color="auto" w:fill="auto"/>
                  <w:vAlign w:val="center"/>
                </w:tcPr>
                <w:p w14:paraId="31914385">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w:t>
                  </w:r>
                </w:p>
              </w:tc>
              <w:tc>
                <w:tcPr>
                  <w:tcW w:w="380" w:type="pct"/>
                  <w:vAlign w:val="center"/>
                </w:tcPr>
                <w:p w14:paraId="1437312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67" w:type="pct"/>
                  <w:vAlign w:val="center"/>
                </w:tcPr>
                <w:p w14:paraId="54A6590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cs="Times New Roman"/>
                      <w:b w:val="0"/>
                      <w:bCs/>
                      <w:sz w:val="21"/>
                      <w:szCs w:val="21"/>
                      <w:vertAlign w:val="baseline"/>
                      <w:lang w:val="en-US" w:eastAsia="zh-CN"/>
                    </w:rPr>
                  </w:pPr>
                  <w:r>
                    <w:rPr>
                      <w:rFonts w:hint="eastAsia" w:cs="Times New Roman"/>
                      <w:b w:val="0"/>
                      <w:bCs/>
                      <w:kern w:val="2"/>
                      <w:sz w:val="21"/>
                      <w:szCs w:val="21"/>
                      <w:vertAlign w:val="baseline"/>
                      <w:lang w:val="en-US" w:eastAsia="zh-CN" w:bidi="ar-SA"/>
                    </w:rPr>
                    <w:t>/</w:t>
                  </w:r>
                </w:p>
              </w:tc>
              <w:tc>
                <w:tcPr>
                  <w:tcW w:w="349" w:type="pct"/>
                  <w:shd w:val="clear" w:color="auto" w:fill="auto"/>
                  <w:vAlign w:val="center"/>
                </w:tcPr>
                <w:p w14:paraId="70FFF83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kern w:val="2"/>
                      <w:sz w:val="21"/>
                      <w:szCs w:val="21"/>
                      <w:vertAlign w:val="baseline"/>
                      <w:lang w:val="en-US" w:eastAsia="zh-CN" w:bidi="ar-SA"/>
                    </w:rPr>
                  </w:pPr>
                  <w:r>
                    <w:rPr>
                      <w:rFonts w:hint="eastAsia" w:cs="Times New Roman"/>
                      <w:b w:val="0"/>
                      <w:bCs/>
                      <w:kern w:val="2"/>
                      <w:sz w:val="21"/>
                      <w:szCs w:val="21"/>
                      <w:vertAlign w:val="baseline"/>
                      <w:lang w:val="en-US" w:eastAsia="zh-CN" w:bidi="ar-SA"/>
                    </w:rPr>
                    <w:t>0.027</w:t>
                  </w:r>
                </w:p>
              </w:tc>
              <w:tc>
                <w:tcPr>
                  <w:tcW w:w="270" w:type="pct"/>
                  <w:vAlign w:val="center"/>
                </w:tcPr>
                <w:p w14:paraId="75ACDCF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c>
                <w:tcPr>
                  <w:tcW w:w="316" w:type="pct"/>
                  <w:vAlign w:val="center"/>
                </w:tcPr>
                <w:p w14:paraId="1D27713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w:t>
                  </w:r>
                </w:p>
              </w:tc>
            </w:tr>
          </w:tbl>
          <w:p w14:paraId="07A3FA3D">
            <w:pPr>
              <w:autoSpaceDE w:val="0"/>
              <w:autoSpaceDN w:val="0"/>
              <w:adjustRightInd w:val="0"/>
              <w:snapToGrid w:val="0"/>
              <w:spacing w:line="360" w:lineRule="auto"/>
              <w:jc w:val="both"/>
              <w:rPr>
                <w:rFonts w:hint="eastAsia" w:ascii="宋体" w:hAnsi="宋体" w:eastAsia="宋体" w:cs="宋体"/>
                <w:kern w:val="0"/>
                <w:sz w:val="24"/>
                <w:szCs w:val="24"/>
                <w:lang w:eastAsia="zh-CN"/>
              </w:rPr>
            </w:pPr>
          </w:p>
        </w:tc>
      </w:tr>
    </w:tbl>
    <w:p w14:paraId="7888C5F7">
      <w:pPr>
        <w:pStyle w:val="20"/>
        <w:sectPr>
          <w:footerReference r:id="rId9" w:type="default"/>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2"/>
        <w:gridCol w:w="8396"/>
      </w:tblGrid>
      <w:tr w14:paraId="32FD9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12" w:type="dxa"/>
            <w:noWrap w:val="0"/>
            <w:tcMar>
              <w:left w:w="28" w:type="dxa"/>
              <w:right w:w="28" w:type="dxa"/>
            </w:tcMar>
            <w:vAlign w:val="center"/>
          </w:tcPr>
          <w:p w14:paraId="11B426D3">
            <w:pPr>
              <w:adjustRightInd w:val="0"/>
              <w:snapToGrid w:val="0"/>
              <w:jc w:val="center"/>
              <w:rPr>
                <w:rFonts w:hint="eastAsia" w:ascii="宋体" w:hAnsi="宋体" w:cs="宋体"/>
                <w:bCs/>
                <w:szCs w:val="21"/>
              </w:rPr>
            </w:pPr>
            <w:r>
              <w:rPr>
                <w:rFonts w:hint="eastAsia" w:ascii="宋体" w:hAnsi="宋体" w:cs="宋体"/>
                <w:bCs/>
                <w:szCs w:val="21"/>
              </w:rPr>
              <w:t>运营</w:t>
            </w:r>
          </w:p>
          <w:p w14:paraId="57318996">
            <w:pPr>
              <w:adjustRightInd w:val="0"/>
              <w:snapToGrid w:val="0"/>
              <w:jc w:val="center"/>
              <w:rPr>
                <w:rFonts w:hint="eastAsia" w:ascii="宋体" w:hAnsi="宋体" w:cs="宋体"/>
                <w:bCs/>
                <w:szCs w:val="21"/>
              </w:rPr>
            </w:pPr>
            <w:r>
              <w:rPr>
                <w:rFonts w:hint="eastAsia" w:ascii="宋体" w:hAnsi="宋体" w:cs="宋体"/>
                <w:bCs/>
                <w:szCs w:val="21"/>
              </w:rPr>
              <w:t>期环</w:t>
            </w:r>
          </w:p>
          <w:p w14:paraId="79B134A7">
            <w:pPr>
              <w:adjustRightInd w:val="0"/>
              <w:snapToGrid w:val="0"/>
              <w:jc w:val="center"/>
              <w:rPr>
                <w:rFonts w:hint="eastAsia" w:ascii="宋体" w:hAnsi="宋体" w:cs="宋体"/>
                <w:bCs/>
                <w:szCs w:val="21"/>
              </w:rPr>
            </w:pPr>
            <w:r>
              <w:rPr>
                <w:rFonts w:hint="eastAsia" w:ascii="宋体" w:hAnsi="宋体" w:cs="宋体"/>
                <w:bCs/>
                <w:szCs w:val="21"/>
              </w:rPr>
              <w:t>境影</w:t>
            </w:r>
          </w:p>
          <w:p w14:paraId="228074BE">
            <w:pPr>
              <w:adjustRightInd w:val="0"/>
              <w:snapToGrid w:val="0"/>
              <w:jc w:val="center"/>
              <w:rPr>
                <w:rFonts w:hint="eastAsia" w:ascii="宋体" w:hAnsi="宋体" w:cs="宋体"/>
                <w:bCs/>
                <w:szCs w:val="21"/>
              </w:rPr>
            </w:pPr>
            <w:r>
              <w:rPr>
                <w:rFonts w:hint="eastAsia" w:ascii="宋体" w:hAnsi="宋体" w:cs="宋体"/>
                <w:bCs/>
                <w:szCs w:val="21"/>
              </w:rPr>
              <w:t>响和</w:t>
            </w:r>
          </w:p>
          <w:p w14:paraId="45A1A0C3">
            <w:pPr>
              <w:adjustRightInd w:val="0"/>
              <w:snapToGrid w:val="0"/>
              <w:jc w:val="center"/>
              <w:rPr>
                <w:rFonts w:hint="eastAsia" w:ascii="宋体" w:hAnsi="宋体" w:cs="宋体"/>
                <w:bCs/>
                <w:szCs w:val="21"/>
              </w:rPr>
            </w:pPr>
            <w:r>
              <w:rPr>
                <w:rFonts w:hint="eastAsia" w:ascii="宋体" w:hAnsi="宋体" w:cs="宋体"/>
                <w:bCs/>
                <w:szCs w:val="21"/>
              </w:rPr>
              <w:t>保护</w:t>
            </w:r>
          </w:p>
          <w:p w14:paraId="1B71653E">
            <w:pPr>
              <w:adjustRightInd w:val="0"/>
              <w:snapToGrid w:val="0"/>
              <w:jc w:val="center"/>
              <w:rPr>
                <w:rFonts w:ascii="宋体" w:hAnsi="宋体" w:cs="宋体"/>
                <w:bCs/>
                <w:szCs w:val="21"/>
              </w:rPr>
            </w:pPr>
            <w:r>
              <w:rPr>
                <w:rFonts w:hint="eastAsia" w:ascii="宋体" w:hAnsi="宋体" w:cs="宋体"/>
                <w:bCs/>
                <w:szCs w:val="21"/>
              </w:rPr>
              <w:t>措施</w:t>
            </w:r>
          </w:p>
        </w:tc>
        <w:tc>
          <w:tcPr>
            <w:tcW w:w="8396" w:type="dxa"/>
            <w:noWrap w:val="0"/>
            <w:vAlign w:val="center"/>
          </w:tcPr>
          <w:p w14:paraId="59577C67">
            <w:pPr>
              <w:spacing w:line="360" w:lineRule="auto"/>
              <w:ind w:firstLine="482"/>
              <w:rPr>
                <w:rFonts w:hint="default" w:ascii="Times New Roman" w:hAnsi="Times New Roman" w:cs="Times New Roman"/>
                <w:bCs/>
                <w:sz w:val="24"/>
              </w:rPr>
            </w:pPr>
            <w:r>
              <w:rPr>
                <w:rFonts w:hint="default" w:ascii="Times New Roman" w:hAnsi="Times New Roman" w:cs="Times New Roman"/>
                <w:bCs/>
                <w:sz w:val="24"/>
              </w:rPr>
              <w:t>本项目废气排气筒基本信息情况见下表：</w:t>
            </w:r>
          </w:p>
          <w:p w14:paraId="5917E2B6">
            <w:pPr>
              <w:spacing w:line="240" w:lineRule="auto"/>
              <w:jc w:val="center"/>
              <w:rPr>
                <w:rFonts w:hint="default" w:ascii="Times New Roman" w:hAnsi="Times New Roman" w:cs="Times New Roman"/>
                <w:bCs/>
                <w:sz w:val="22"/>
                <w:szCs w:val="22"/>
                <w:highlight w:val="none"/>
              </w:rPr>
            </w:pPr>
            <w:r>
              <w:rPr>
                <w:rFonts w:ascii="Times New Roman" w:hAnsi="Times New Roman"/>
                <w:b/>
                <w:sz w:val="22"/>
                <w:szCs w:val="22"/>
                <w:highlight w:val="none"/>
              </w:rPr>
              <w:t>表4-</w:t>
            </w:r>
            <w:r>
              <w:rPr>
                <w:rFonts w:hint="eastAsia"/>
                <w:b/>
                <w:sz w:val="22"/>
                <w:szCs w:val="22"/>
                <w:highlight w:val="none"/>
                <w:lang w:val="en-US" w:eastAsia="zh-CN"/>
              </w:rPr>
              <w:t>3</w:t>
            </w:r>
            <w:r>
              <w:rPr>
                <w:rFonts w:ascii="Times New Roman" w:hAnsi="Times New Roman"/>
                <w:b/>
                <w:sz w:val="22"/>
                <w:szCs w:val="22"/>
                <w:highlight w:val="none"/>
              </w:rPr>
              <w:t>排气筒基本信息一览表</w:t>
            </w:r>
          </w:p>
          <w:tbl>
            <w:tblPr>
              <w:tblStyle w:val="24"/>
              <w:tblW w:w="809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530"/>
              <w:gridCol w:w="1380"/>
              <w:gridCol w:w="1113"/>
              <w:gridCol w:w="1119"/>
              <w:gridCol w:w="915"/>
              <w:gridCol w:w="1188"/>
            </w:tblGrid>
            <w:tr w14:paraId="1038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47" w:type="dxa"/>
                  <w:tcBorders>
                    <w:top w:val="single" w:color="auto" w:sz="4" w:space="0"/>
                    <w:left w:val="single" w:color="auto" w:sz="4" w:space="0"/>
                    <w:bottom w:val="single" w:color="auto" w:sz="4" w:space="0"/>
                    <w:right w:val="single" w:color="auto" w:sz="4" w:space="0"/>
                  </w:tcBorders>
                  <w:noWrap w:val="0"/>
                  <w:vAlign w:val="center"/>
                </w:tcPr>
                <w:p w14:paraId="46A46297">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000000"/>
                      <w:sz w:val="21"/>
                      <w:szCs w:val="21"/>
                      <w:highlight w:val="none"/>
                    </w:rPr>
                    <w:t>编号</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496DAAA3">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bCs/>
                      <w:color w:val="000000"/>
                      <w:sz w:val="21"/>
                      <w:szCs w:val="21"/>
                      <w:highlight w:val="none"/>
                    </w:rPr>
                    <w:t>X</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14A21056">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bCs/>
                      <w:color w:val="000000"/>
                      <w:sz w:val="21"/>
                      <w:szCs w:val="21"/>
                      <w:highlight w:val="none"/>
                    </w:rPr>
                    <w:t>Y</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1C3D05D9">
                  <w:pPr>
                    <w:snapToGrid w:val="0"/>
                    <w:jc w:val="center"/>
                    <w:rPr>
                      <w:rFonts w:hint="default" w:ascii="Times New Roman" w:hAnsi="Times New Roman" w:eastAsia="Times New Roman" w:cs="Times New Roman"/>
                      <w:bCs/>
                      <w:color w:val="000000"/>
                      <w:sz w:val="21"/>
                      <w:szCs w:val="21"/>
                      <w:highlight w:val="none"/>
                    </w:rPr>
                  </w:pPr>
                  <w:r>
                    <w:rPr>
                      <w:rFonts w:hint="default" w:ascii="Times New Roman" w:hAnsi="Times New Roman" w:cs="Times New Roman"/>
                      <w:bCs/>
                      <w:color w:val="000000"/>
                      <w:sz w:val="21"/>
                      <w:szCs w:val="21"/>
                      <w:highlight w:val="none"/>
                    </w:rPr>
                    <w:t>高度</w:t>
                  </w:r>
                </w:p>
                <w:p w14:paraId="7EA76971">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000000"/>
                      <w:sz w:val="21"/>
                      <w:szCs w:val="21"/>
                      <w:highlight w:val="none"/>
                    </w:rPr>
                    <w:t>（</w:t>
                  </w:r>
                  <w:r>
                    <w:rPr>
                      <w:rFonts w:hint="default" w:ascii="Times New Roman" w:hAnsi="Times New Roman" w:eastAsia="Times New Roman" w:cs="Times New Roman"/>
                      <w:bCs/>
                      <w:color w:val="000000"/>
                      <w:sz w:val="21"/>
                      <w:szCs w:val="21"/>
                      <w:highlight w:val="none"/>
                    </w:rPr>
                    <w:t>m</w:t>
                  </w:r>
                  <w:r>
                    <w:rPr>
                      <w:rFonts w:hint="default" w:ascii="Times New Roman" w:hAnsi="Times New Roman" w:cs="Times New Roman"/>
                      <w:bCs/>
                      <w:color w:val="000000"/>
                      <w:sz w:val="21"/>
                      <w:szCs w:val="21"/>
                      <w:highlight w:val="none"/>
                    </w:rPr>
                    <w:t>）</w:t>
                  </w:r>
                </w:p>
              </w:tc>
              <w:tc>
                <w:tcPr>
                  <w:tcW w:w="1119" w:type="dxa"/>
                  <w:tcBorders>
                    <w:top w:val="single" w:color="auto" w:sz="4" w:space="0"/>
                    <w:left w:val="single" w:color="auto" w:sz="4" w:space="0"/>
                    <w:bottom w:val="single" w:color="auto" w:sz="4" w:space="0"/>
                    <w:right w:val="single" w:color="auto" w:sz="4" w:space="0"/>
                  </w:tcBorders>
                  <w:noWrap w:val="0"/>
                  <w:vAlign w:val="center"/>
                </w:tcPr>
                <w:p w14:paraId="299B1E9E">
                  <w:pPr>
                    <w:snapToGrid w:val="0"/>
                    <w:jc w:val="center"/>
                    <w:rPr>
                      <w:rFonts w:hint="default" w:ascii="Times New Roman" w:hAnsi="Times New Roman" w:eastAsia="Times New Roman" w:cs="Times New Roman"/>
                      <w:bCs/>
                      <w:color w:val="000000"/>
                      <w:sz w:val="21"/>
                      <w:szCs w:val="21"/>
                      <w:highlight w:val="none"/>
                    </w:rPr>
                  </w:pPr>
                  <w:r>
                    <w:rPr>
                      <w:rFonts w:hint="default" w:ascii="Times New Roman" w:hAnsi="Times New Roman" w:cs="Times New Roman"/>
                      <w:bCs/>
                      <w:color w:val="000000"/>
                      <w:sz w:val="21"/>
                      <w:szCs w:val="21"/>
                      <w:highlight w:val="none"/>
                    </w:rPr>
                    <w:t>直径</w:t>
                  </w:r>
                </w:p>
                <w:p w14:paraId="0E2C8DAF">
                  <w:pPr>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000000"/>
                      <w:sz w:val="21"/>
                      <w:szCs w:val="21"/>
                      <w:highlight w:val="none"/>
                    </w:rPr>
                    <w:t>（</w:t>
                  </w:r>
                  <w:r>
                    <w:rPr>
                      <w:rFonts w:hint="default" w:ascii="Times New Roman" w:hAnsi="Times New Roman" w:eastAsia="Times New Roman" w:cs="Times New Roman"/>
                      <w:bCs/>
                      <w:color w:val="000000"/>
                      <w:sz w:val="21"/>
                      <w:szCs w:val="21"/>
                      <w:highlight w:val="none"/>
                    </w:rPr>
                    <w:t>m</w:t>
                  </w:r>
                  <w:r>
                    <w:rPr>
                      <w:rFonts w:hint="default" w:ascii="Times New Roman" w:hAnsi="Times New Roman" w:cs="Times New Roman"/>
                      <w:bCs/>
                      <w:color w:val="000000"/>
                      <w:sz w:val="21"/>
                      <w:szCs w:val="21"/>
                      <w:highlight w:val="none"/>
                    </w:rPr>
                    <w:t>）</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5161DE16">
                  <w:pPr>
                    <w:snapToGrid w:val="0"/>
                    <w:jc w:val="center"/>
                    <w:rPr>
                      <w:rFonts w:hint="default" w:ascii="Times New Roman" w:hAnsi="Times New Roman" w:eastAsia="Times New Roman" w:cs="Times New Roman"/>
                      <w:bCs/>
                      <w:color w:val="000000"/>
                      <w:sz w:val="21"/>
                      <w:szCs w:val="21"/>
                      <w:highlight w:val="none"/>
                    </w:rPr>
                  </w:pPr>
                  <w:r>
                    <w:rPr>
                      <w:rFonts w:hint="default" w:ascii="Times New Roman" w:hAnsi="Times New Roman" w:cs="Times New Roman"/>
                      <w:bCs/>
                      <w:color w:val="000000"/>
                      <w:sz w:val="21"/>
                      <w:szCs w:val="21"/>
                      <w:highlight w:val="none"/>
                    </w:rPr>
                    <w:t>温度</w:t>
                  </w:r>
                </w:p>
                <w:p w14:paraId="69FF17C8">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000000"/>
                      <w:sz w:val="21"/>
                      <w:szCs w:val="21"/>
                      <w:highlight w:val="none"/>
                    </w:rPr>
                    <w:t>（</w:t>
                  </w:r>
                  <w:r>
                    <w:rPr>
                      <w:rFonts w:hint="default" w:ascii="Times New Roman" w:hAnsi="Times New Roman" w:eastAsia="Times New Roman" w:cs="Times New Roman"/>
                      <w:bCs/>
                      <w:color w:val="000000"/>
                      <w:sz w:val="21"/>
                      <w:szCs w:val="21"/>
                      <w:highlight w:val="none"/>
                    </w:rPr>
                    <w:t>°C</w:t>
                  </w:r>
                  <w:r>
                    <w:rPr>
                      <w:rFonts w:hint="default" w:ascii="Times New Roman" w:hAnsi="Times New Roman" w:cs="Times New Roman"/>
                      <w:bCs/>
                      <w:color w:val="000000"/>
                      <w:sz w:val="21"/>
                      <w:szCs w:val="21"/>
                      <w:highlight w:val="none"/>
                    </w:rPr>
                    <w:t>）</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49FA24DD">
                  <w:pPr>
                    <w:snapToGrid w:val="0"/>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排放口类型</w:t>
                  </w:r>
                </w:p>
              </w:tc>
            </w:tr>
            <w:tr w14:paraId="73A2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847" w:type="dxa"/>
                  <w:tcBorders>
                    <w:left w:val="single" w:color="auto" w:sz="4" w:space="0"/>
                    <w:right w:val="single" w:color="auto" w:sz="4" w:space="0"/>
                  </w:tcBorders>
                  <w:noWrap w:val="0"/>
                  <w:vAlign w:val="center"/>
                </w:tcPr>
                <w:p w14:paraId="1D8CBB63">
                  <w:pPr>
                    <w:spacing w:line="240" w:lineRule="exac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DA001</w:t>
                  </w:r>
                </w:p>
              </w:tc>
              <w:tc>
                <w:tcPr>
                  <w:tcW w:w="1530" w:type="dxa"/>
                  <w:tcBorders>
                    <w:top w:val="single" w:color="auto" w:sz="4" w:space="0"/>
                    <w:left w:val="single" w:color="auto" w:sz="4" w:space="0"/>
                    <w:bottom w:val="single" w:color="auto" w:sz="4" w:space="0"/>
                    <w:right w:val="single" w:color="auto" w:sz="4" w:space="0"/>
                  </w:tcBorders>
                  <w:noWrap w:val="0"/>
                  <w:vAlign w:val="center"/>
                </w:tcPr>
                <w:p w14:paraId="3B016D0D">
                  <w:pPr>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Times New Roman" w:cs="Times New Roman"/>
                      <w:color w:val="000000"/>
                      <w:sz w:val="21"/>
                      <w:szCs w:val="21"/>
                      <w:highlight w:val="none"/>
                    </w:rPr>
                    <w:t>116°</w:t>
                  </w:r>
                  <w:r>
                    <w:rPr>
                      <w:rFonts w:hint="default" w:ascii="Times New Roman" w:hAnsi="Times New Roman" w:eastAsia="宋体" w:cs="Times New Roman"/>
                      <w:color w:val="000000"/>
                      <w:sz w:val="21"/>
                      <w:szCs w:val="21"/>
                      <w:highlight w:val="none"/>
                      <w:lang w:val="en-US" w:eastAsia="zh-CN"/>
                    </w:rPr>
                    <w:t>50</w:t>
                  </w:r>
                  <w:r>
                    <w:rPr>
                      <w:rFonts w:hint="default" w:ascii="Times New Roman" w:hAnsi="Times New Roman" w:eastAsia="Times New Roman" w:cs="Times New Roman"/>
                      <w:color w:val="000000"/>
                      <w:sz w:val="21"/>
                      <w:szCs w:val="21"/>
                      <w:highlight w:val="none"/>
                    </w:rPr>
                    <w:t>′</w:t>
                  </w:r>
                  <w:r>
                    <w:rPr>
                      <w:rFonts w:hint="default" w:ascii="Times New Roman" w:hAnsi="Times New Roman" w:eastAsia="宋体" w:cs="Times New Roman"/>
                      <w:color w:val="000000"/>
                      <w:sz w:val="21"/>
                      <w:szCs w:val="21"/>
                      <w:highlight w:val="none"/>
                      <w:lang w:val="en-US" w:eastAsia="zh-CN"/>
                    </w:rPr>
                    <w:t>44.36</w:t>
                  </w:r>
                  <w:r>
                    <w:rPr>
                      <w:rFonts w:hint="default" w:ascii="Times New Roman" w:hAnsi="Times New Roman" w:eastAsia="Times New Roman" w:cs="Times New Roman"/>
                      <w:color w:val="000000"/>
                      <w:sz w:val="21"/>
                      <w:szCs w:val="21"/>
                      <w:highlight w:val="none"/>
                    </w:rPr>
                    <w:t>″</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2FDB282A">
                  <w:pPr>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Times New Roman" w:cs="Times New Roman"/>
                      <w:color w:val="000000"/>
                      <w:sz w:val="21"/>
                      <w:szCs w:val="21"/>
                      <w:highlight w:val="none"/>
                    </w:rPr>
                    <w:t>34°</w:t>
                  </w:r>
                  <w:r>
                    <w:rPr>
                      <w:rFonts w:hint="default" w:ascii="Times New Roman" w:hAnsi="Times New Roman" w:eastAsia="宋体" w:cs="Times New Roman"/>
                      <w:color w:val="000000"/>
                      <w:sz w:val="21"/>
                      <w:szCs w:val="21"/>
                      <w:highlight w:val="none"/>
                      <w:lang w:val="en-US" w:eastAsia="zh-CN"/>
                    </w:rPr>
                    <w:t>4</w:t>
                  </w:r>
                  <w:r>
                    <w:rPr>
                      <w:rFonts w:hint="default" w:ascii="Times New Roman" w:hAnsi="Times New Roman" w:eastAsia="Times New Roman" w:cs="Times New Roman"/>
                      <w:color w:val="000000"/>
                      <w:sz w:val="21"/>
                      <w:szCs w:val="21"/>
                      <w:highlight w:val="none"/>
                    </w:rPr>
                    <w:t>′</w:t>
                  </w:r>
                  <w:r>
                    <w:rPr>
                      <w:rFonts w:hint="default" w:ascii="Times New Roman" w:hAnsi="Times New Roman" w:cs="Times New Roman"/>
                      <w:color w:val="000000"/>
                      <w:sz w:val="21"/>
                      <w:szCs w:val="21"/>
                      <w:highlight w:val="none"/>
                      <w:lang w:val="en-US" w:eastAsia="zh-CN"/>
                    </w:rPr>
                    <w:t>18.26</w:t>
                  </w:r>
                  <w:r>
                    <w:rPr>
                      <w:rFonts w:hint="default" w:ascii="Times New Roman" w:hAnsi="Times New Roman" w:eastAsia="Times New Roman" w:cs="Times New Roman"/>
                      <w:color w:val="000000"/>
                      <w:sz w:val="21"/>
                      <w:szCs w:val="21"/>
                      <w:highlight w:val="none"/>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2F6E66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r>
                    <w:rPr>
                      <w:rFonts w:hint="eastAsia" w:cs="Times New Roman"/>
                      <w:i w:val="0"/>
                      <w:iCs w:val="0"/>
                      <w:color w:val="auto"/>
                      <w:kern w:val="0"/>
                      <w:sz w:val="21"/>
                      <w:szCs w:val="21"/>
                      <w:highlight w:val="none"/>
                      <w:u w:val="none"/>
                      <w:lang w:val="en-US" w:eastAsia="zh-CN" w:bidi="ar"/>
                    </w:rPr>
                    <w:t>4</w:t>
                  </w:r>
                </w:p>
              </w:tc>
              <w:tc>
                <w:tcPr>
                  <w:tcW w:w="1119" w:type="dxa"/>
                  <w:tcBorders>
                    <w:top w:val="single" w:color="auto" w:sz="4" w:space="0"/>
                    <w:left w:val="single" w:color="auto" w:sz="4" w:space="0"/>
                    <w:bottom w:val="single" w:color="auto" w:sz="4" w:space="0"/>
                    <w:right w:val="single" w:color="auto" w:sz="4" w:space="0"/>
                  </w:tcBorders>
                  <w:noWrap w:val="0"/>
                  <w:vAlign w:val="center"/>
                </w:tcPr>
                <w:p w14:paraId="4BD8E059">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0D12B6E0">
                  <w:pPr>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000000"/>
                      <w:sz w:val="21"/>
                      <w:szCs w:val="21"/>
                      <w:highlight w:val="none"/>
                    </w:rPr>
                    <w:t>常温</w:t>
                  </w:r>
                </w:p>
              </w:tc>
              <w:tc>
                <w:tcPr>
                  <w:tcW w:w="1188" w:type="dxa"/>
                  <w:tcBorders>
                    <w:top w:val="single" w:color="auto" w:sz="4" w:space="0"/>
                    <w:left w:val="single" w:color="auto" w:sz="4" w:space="0"/>
                    <w:bottom w:val="single" w:color="auto" w:sz="4" w:space="0"/>
                    <w:right w:val="single" w:color="auto" w:sz="4" w:space="0"/>
                  </w:tcBorders>
                  <w:noWrap w:val="0"/>
                  <w:vAlign w:val="center"/>
                </w:tcPr>
                <w:p w14:paraId="72CEA183">
                  <w:pPr>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一般排放口</w:t>
                  </w:r>
                </w:p>
              </w:tc>
            </w:tr>
            <w:tr w14:paraId="3F81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847" w:type="dxa"/>
                  <w:tcBorders>
                    <w:left w:val="single" w:color="auto" w:sz="4" w:space="0"/>
                    <w:right w:val="single" w:color="auto" w:sz="4" w:space="0"/>
                  </w:tcBorders>
                  <w:noWrap w:val="0"/>
                  <w:vAlign w:val="center"/>
                </w:tcPr>
                <w:p w14:paraId="6DB1DEFD">
                  <w:pPr>
                    <w:spacing w:line="240" w:lineRule="exact"/>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DA002</w:t>
                  </w:r>
                </w:p>
              </w:tc>
              <w:tc>
                <w:tcPr>
                  <w:tcW w:w="15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293152">
                  <w:pPr>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Times New Roman" w:cs="Times New Roman"/>
                      <w:color w:val="000000"/>
                      <w:sz w:val="21"/>
                      <w:szCs w:val="21"/>
                      <w:highlight w:val="none"/>
                    </w:rPr>
                    <w:t>116°</w:t>
                  </w:r>
                  <w:r>
                    <w:rPr>
                      <w:rFonts w:hint="default" w:ascii="Times New Roman" w:hAnsi="Times New Roman" w:eastAsia="宋体" w:cs="Times New Roman"/>
                      <w:color w:val="000000"/>
                      <w:sz w:val="21"/>
                      <w:szCs w:val="21"/>
                      <w:highlight w:val="none"/>
                      <w:lang w:val="en-US" w:eastAsia="zh-CN"/>
                    </w:rPr>
                    <w:t>50</w:t>
                  </w:r>
                  <w:r>
                    <w:rPr>
                      <w:rFonts w:hint="default" w:ascii="Times New Roman" w:hAnsi="Times New Roman" w:eastAsia="Times New Roman" w:cs="Times New Roman"/>
                      <w:color w:val="000000"/>
                      <w:sz w:val="21"/>
                      <w:szCs w:val="21"/>
                      <w:highlight w:val="none"/>
                    </w:rPr>
                    <w:t>′</w:t>
                  </w:r>
                  <w:r>
                    <w:rPr>
                      <w:rFonts w:hint="default" w:ascii="Times New Roman" w:hAnsi="Times New Roman" w:eastAsia="宋体" w:cs="Times New Roman"/>
                      <w:color w:val="000000"/>
                      <w:sz w:val="21"/>
                      <w:szCs w:val="21"/>
                      <w:highlight w:val="none"/>
                      <w:lang w:val="en-US" w:eastAsia="zh-CN"/>
                    </w:rPr>
                    <w:t>4</w:t>
                  </w:r>
                  <w:r>
                    <w:rPr>
                      <w:rFonts w:hint="eastAsia" w:ascii="Times New Roman" w:hAnsi="Times New Roman" w:eastAsia="宋体" w:cs="Times New Roman"/>
                      <w:color w:val="000000"/>
                      <w:sz w:val="21"/>
                      <w:szCs w:val="21"/>
                      <w:highlight w:val="none"/>
                      <w:lang w:val="en-US" w:eastAsia="zh-CN"/>
                    </w:rPr>
                    <w:t>5</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22</w:t>
                  </w:r>
                  <w:r>
                    <w:rPr>
                      <w:rFonts w:hint="default" w:ascii="Times New Roman" w:hAnsi="Times New Roman" w:eastAsia="Times New Roman" w:cs="Times New Roman"/>
                      <w:color w:val="000000"/>
                      <w:sz w:val="21"/>
                      <w:szCs w:val="21"/>
                      <w:highlight w:val="none"/>
                    </w:rPr>
                    <w:t>″</w:t>
                  </w:r>
                </w:p>
              </w:tc>
              <w:tc>
                <w:tcPr>
                  <w:tcW w:w="13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2AC4A7">
                  <w:pPr>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Times New Roman" w:cs="Times New Roman"/>
                      <w:color w:val="000000"/>
                      <w:sz w:val="21"/>
                      <w:szCs w:val="21"/>
                      <w:highlight w:val="none"/>
                    </w:rPr>
                    <w:t>34°</w:t>
                  </w:r>
                  <w:r>
                    <w:rPr>
                      <w:rFonts w:hint="default" w:ascii="Times New Roman" w:hAnsi="Times New Roman" w:eastAsia="宋体" w:cs="Times New Roman"/>
                      <w:color w:val="000000"/>
                      <w:sz w:val="21"/>
                      <w:szCs w:val="21"/>
                      <w:highlight w:val="none"/>
                      <w:lang w:val="en-US" w:eastAsia="zh-CN"/>
                    </w:rPr>
                    <w:t>4</w:t>
                  </w:r>
                  <w:r>
                    <w:rPr>
                      <w:rFonts w:hint="default" w:ascii="Times New Roman" w:hAnsi="Times New Roman" w:eastAsia="Times New Roman" w:cs="Times New Roman"/>
                      <w:color w:val="000000"/>
                      <w:sz w:val="21"/>
                      <w:szCs w:val="21"/>
                      <w:highlight w:val="none"/>
                    </w:rPr>
                    <w:t>′</w:t>
                  </w:r>
                  <w:r>
                    <w:rPr>
                      <w:rFonts w:hint="default" w:ascii="Times New Roman" w:hAnsi="Times New Roman" w:cs="Times New Roman"/>
                      <w:color w:val="000000"/>
                      <w:sz w:val="21"/>
                      <w:szCs w:val="21"/>
                      <w:highlight w:val="none"/>
                      <w:lang w:val="en-US" w:eastAsia="zh-CN"/>
                    </w:rPr>
                    <w:t>1</w:t>
                  </w:r>
                  <w:r>
                    <w:rPr>
                      <w:rFonts w:hint="eastAsia" w:ascii="Times New Roman" w:hAnsi="Times New Roman" w:cs="Times New Roman"/>
                      <w:color w:val="000000"/>
                      <w:sz w:val="21"/>
                      <w:szCs w:val="21"/>
                      <w:highlight w:val="none"/>
                      <w:lang w:val="en-US" w:eastAsia="zh-CN"/>
                    </w:rPr>
                    <w:t>7.93</w:t>
                  </w:r>
                  <w:r>
                    <w:rPr>
                      <w:rFonts w:hint="default" w:ascii="Times New Roman" w:hAnsi="Times New Roman" w:eastAsia="Times New Roman" w:cs="Times New Roman"/>
                      <w:color w:val="000000"/>
                      <w:sz w:val="21"/>
                      <w:szCs w:val="21"/>
                      <w:highlight w:val="none"/>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FD0CB6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w:t>
                  </w:r>
                </w:p>
              </w:tc>
              <w:tc>
                <w:tcPr>
                  <w:tcW w:w="1119" w:type="dxa"/>
                  <w:tcBorders>
                    <w:top w:val="single" w:color="auto" w:sz="4" w:space="0"/>
                    <w:left w:val="single" w:color="auto" w:sz="4" w:space="0"/>
                    <w:bottom w:val="single" w:color="auto" w:sz="4" w:space="0"/>
                    <w:right w:val="single" w:color="auto" w:sz="4" w:space="0"/>
                  </w:tcBorders>
                  <w:noWrap w:val="0"/>
                  <w:vAlign w:val="center"/>
                </w:tcPr>
                <w:p w14:paraId="5ECBED4E">
                  <w:pPr>
                    <w:jc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91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BDA189">
                  <w:pPr>
                    <w:snapToGrid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000000"/>
                      <w:sz w:val="21"/>
                      <w:szCs w:val="21"/>
                      <w:highlight w:val="none"/>
                    </w:rPr>
                    <w:t>常温</w:t>
                  </w:r>
                </w:p>
              </w:tc>
              <w:tc>
                <w:tcPr>
                  <w:tcW w:w="11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6A454E">
                  <w:pPr>
                    <w:snapToGrid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一般排放口</w:t>
                  </w:r>
                </w:p>
              </w:tc>
            </w:tr>
          </w:tbl>
          <w:p w14:paraId="615731DF">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cs="Times New Roman"/>
                <w:color w:val="auto"/>
                <w:sz w:val="24"/>
                <w:highlight w:val="none"/>
                <w:lang w:val="en-US" w:eastAsia="zh-CN"/>
              </w:rPr>
            </w:pP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废气治理措施可行性分析</w:t>
            </w:r>
          </w:p>
          <w:p w14:paraId="7AA8C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喷塑废气产生的颗粒物采用滤筒除尘器处理，焊接、喷砂产生的颗粒物</w:t>
            </w:r>
            <w:r>
              <w:rPr>
                <w:rFonts w:hint="default" w:ascii="Times New Roman" w:hAnsi="Times New Roman" w:eastAsia="宋体" w:cs="Times New Roman"/>
                <w:color w:val="auto"/>
                <w:sz w:val="24"/>
                <w:lang w:val="en-US" w:eastAsia="zh-CN"/>
              </w:rPr>
              <w:t>采</w:t>
            </w:r>
            <w:r>
              <w:rPr>
                <w:rFonts w:hint="eastAsia" w:cs="Times New Roman"/>
                <w:color w:val="auto"/>
                <w:sz w:val="24"/>
                <w:lang w:val="en-US" w:eastAsia="zh-CN"/>
              </w:rPr>
              <w:t>用</w:t>
            </w:r>
            <w:r>
              <w:rPr>
                <w:rFonts w:hint="eastAsia" w:ascii="Times New Roman" w:hAnsi="Times New Roman" w:eastAsia="宋体" w:cs="Times New Roman"/>
                <w:color w:val="auto"/>
                <w:sz w:val="24"/>
                <w:highlight w:val="none"/>
                <w:lang w:val="en-US" w:eastAsia="zh-CN"/>
              </w:rPr>
              <w:t>布袋除尘</w:t>
            </w:r>
            <w:r>
              <w:rPr>
                <w:rFonts w:hint="eastAsia" w:cs="Times New Roman"/>
                <w:color w:val="auto"/>
                <w:sz w:val="24"/>
                <w:lang w:val="en-US" w:eastAsia="zh-CN"/>
              </w:rPr>
              <w:t>器处理</w:t>
            </w:r>
            <w:r>
              <w:rPr>
                <w:rFonts w:hint="eastAsia" w:cs="Times New Roman"/>
                <w:color w:val="auto"/>
                <w:sz w:val="24"/>
                <w:highlight w:val="none"/>
                <w:lang w:val="en-US" w:eastAsia="zh-CN"/>
              </w:rPr>
              <w:t>，</w:t>
            </w:r>
            <w:r>
              <w:rPr>
                <w:rFonts w:hint="eastAsia"/>
                <w:color w:val="auto"/>
                <w:sz w:val="24"/>
                <w:highlight w:val="none"/>
                <w:lang w:val="en-US" w:eastAsia="zh-CN"/>
              </w:rPr>
              <w:t>参考</w:t>
            </w:r>
            <w:r>
              <w:rPr>
                <w:rFonts w:hint="default" w:ascii="Times New Roman" w:hAnsi="Times New Roman" w:eastAsia="宋体" w:cs="Times New Roman"/>
                <w:color w:val="auto"/>
                <w:sz w:val="24"/>
                <w:highlight w:val="none"/>
                <w:lang w:val="en-US" w:eastAsia="zh-CN"/>
              </w:rPr>
              <w:t>《污染源源强核算技术指南 汽车制造》（HJ 1097-2020）</w:t>
            </w:r>
            <w:r>
              <w:rPr>
                <w:rFonts w:hint="eastAsia" w:cs="Times New Roman"/>
                <w:color w:val="auto"/>
                <w:sz w:val="24"/>
                <w:highlight w:val="none"/>
                <w:lang w:val="en-US" w:eastAsia="zh-CN"/>
              </w:rPr>
              <w:t>中粉末喷涂设施及机械预处理抛丸、清理、打磨、喷砂等设施污染治理技术为袋式过滤、滤筒过滤，去除效率为80%~99.9%。故本项目针对颗粒物采用</w:t>
            </w:r>
            <w:r>
              <w:rPr>
                <w:rFonts w:hint="eastAsia" w:cs="Times New Roman"/>
                <w:color w:val="auto"/>
                <w:sz w:val="24"/>
                <w:lang w:val="en-US" w:eastAsia="zh-CN"/>
              </w:rPr>
              <w:t>滤筒除尘器和</w:t>
            </w:r>
            <w:r>
              <w:rPr>
                <w:rFonts w:hint="eastAsia" w:ascii="Times New Roman" w:hAnsi="Times New Roman" w:eastAsia="宋体" w:cs="Times New Roman"/>
                <w:color w:val="auto"/>
                <w:sz w:val="24"/>
                <w:highlight w:val="none"/>
                <w:lang w:val="en-US" w:eastAsia="zh-CN"/>
              </w:rPr>
              <w:t>布袋除尘</w:t>
            </w:r>
            <w:r>
              <w:rPr>
                <w:rFonts w:hint="eastAsia" w:cs="Times New Roman"/>
                <w:color w:val="auto"/>
                <w:sz w:val="24"/>
                <w:lang w:val="en-US" w:eastAsia="zh-CN"/>
              </w:rPr>
              <w:t>器均</w:t>
            </w:r>
            <w:r>
              <w:rPr>
                <w:rFonts w:hint="eastAsia" w:cs="Times New Roman"/>
                <w:color w:val="auto"/>
                <w:sz w:val="24"/>
                <w:highlight w:val="none"/>
                <w:lang w:val="en-US" w:eastAsia="zh-CN"/>
              </w:rPr>
              <w:t>为</w:t>
            </w:r>
            <w:r>
              <w:rPr>
                <w:rFonts w:hint="eastAsia" w:ascii="Times New Roman" w:hAnsi="Times New Roman" w:eastAsia="宋体" w:cs="Times New Roman"/>
                <w:color w:val="auto"/>
                <w:sz w:val="24"/>
                <w:highlight w:val="none"/>
                <w:lang w:val="en-US" w:eastAsia="zh-CN"/>
              </w:rPr>
              <w:t>可行技术</w:t>
            </w:r>
            <w:r>
              <w:rPr>
                <w:rFonts w:hint="eastAsia" w:cs="Times New Roman"/>
                <w:color w:val="auto"/>
                <w:sz w:val="24"/>
                <w:highlight w:val="none"/>
                <w:lang w:val="en-US" w:eastAsia="zh-CN"/>
              </w:rPr>
              <w:t>。</w:t>
            </w:r>
          </w:p>
          <w:p w14:paraId="2A576A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根据</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重点行业挥发性有机物治理环境管理技术规范 第11部分：其他工业涂装行业</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DB34/T4230.11-2022），“末端治理”下“喷涂、晾（风）干”应设置高效漆雾处理装置，宜采用文丘里/水旋/水幕湿法漆雾捕集+多级干式过滤除湿联合装置，或采用干式漆雾捕集过滤系统。喷涂、晾(风)干废气宜采用吸附浓缩+燃烧或其他等效方式处理，小风量低浓度或不适宜浓缩脱附的废气可采用活性炭吸附等工艺；“烘干”宜采用热力焚烧/催化燃烧或其他等效方式处理；“调配”宜采用吸附方式或其他等效方式处理或与喷涂、晾(风)干废气一并处理。</w:t>
            </w:r>
          </w:p>
          <w:p w14:paraId="481031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本项目漆雾颗粒采用过滤棉吸附处理，漆雾颗粒主要由液态涂料微滴（粒径范围通常为1~100μm）、少量未雾化的涂料小液滴及挥发的涂料助剂组成，过滤棉对漆雾颗粒的过滤净化过程是一个分级净化、逐步捕集的过程，不同粒径的漆雾颗粒通过不同机制被捕获，各机制协同作用，确保过滤效率，核心是依托其自身多孔纤维结构，实现漆雾颗粒的高效捕集与分离，同时兼顾气流顺畅性，避免二次污染。含漆雾颗粒的废气从过滤棉一侧进入，首先通过外层粗孔隙，粗粒径漆雾颗粒被物理拦截；随后气流进入中层，中粒径颗粒因惯性碰撞被纤维吸附；细粒径颗粒则通过内层细密纤维的吸附凝聚作用被捕获，剩余微量颗粒经重力沉降完成最终截留；净化后的洁净气流从过滤棉另一侧排出，实现漆雾颗粒与废气的有效分离。参考</w:t>
            </w:r>
            <w:r>
              <w:rPr>
                <w:rFonts w:ascii="Times New Roman" w:hAnsi="Times New Roman"/>
                <w:kern w:val="0"/>
                <w:sz w:val="24"/>
                <w:highlight w:val="none"/>
              </w:rPr>
              <w:t>《排放源统计调查产排污核算方法和系数手册》中“工业行业产排污系数手册”的“33-37 机械行业系数手册”中</w:t>
            </w:r>
            <w:r>
              <w:rPr>
                <w:rFonts w:hint="eastAsia"/>
                <w:kern w:val="0"/>
                <w:sz w:val="24"/>
                <w:highlight w:val="none"/>
                <w:lang w:eastAsia="zh-CN"/>
              </w:rPr>
              <w:t>“</w:t>
            </w:r>
            <w:r>
              <w:rPr>
                <w:rFonts w:hint="eastAsia" w:ascii="Times New Roman" w:hAnsi="Times New Roman"/>
                <w:kern w:val="0"/>
                <w:sz w:val="24"/>
                <w:highlight w:val="none"/>
                <w:lang w:val="en-US" w:eastAsia="zh-CN"/>
              </w:rPr>
              <w:t>喷漆/喷漆后烘干</w:t>
            </w:r>
            <w:r>
              <w:rPr>
                <w:rFonts w:hint="eastAsia"/>
                <w:kern w:val="0"/>
                <w:sz w:val="24"/>
                <w:highlight w:val="none"/>
                <w:lang w:eastAsia="zh-CN"/>
              </w:rPr>
              <w:t>”</w:t>
            </w:r>
            <w:r>
              <w:rPr>
                <w:rFonts w:hint="eastAsia" w:ascii="Times New Roman" w:hAnsi="Times New Roman"/>
                <w:kern w:val="0"/>
                <w:sz w:val="24"/>
                <w:highlight w:val="none"/>
                <w:lang w:val="en-US" w:eastAsia="zh-CN"/>
              </w:rPr>
              <w:t>可以采取吸附装置处理，因此采用</w:t>
            </w:r>
            <w:r>
              <w:rPr>
                <w:rFonts w:hint="eastAsia"/>
                <w:color w:val="auto"/>
                <w:sz w:val="24"/>
                <w:highlight w:val="none"/>
                <w:lang w:val="en-US" w:eastAsia="zh-CN"/>
              </w:rPr>
              <w:t>过滤棉吸附为可行措施。</w:t>
            </w:r>
          </w:p>
          <w:p w14:paraId="7E638A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本项目</w:t>
            </w:r>
            <w:r>
              <w:rPr>
                <w:rFonts w:hint="eastAsia"/>
                <w:color w:val="auto"/>
                <w:sz w:val="24"/>
                <w:highlight w:val="none"/>
              </w:rPr>
              <w:t>有机废气采用</w:t>
            </w:r>
            <w:r>
              <w:rPr>
                <w:rFonts w:hint="eastAsia"/>
                <w:color w:val="auto"/>
                <w:sz w:val="24"/>
                <w:highlight w:val="none"/>
                <w:lang w:val="en-US" w:eastAsia="zh-CN"/>
              </w:rPr>
              <w:t>吸附脱附催化燃烧设施</w:t>
            </w:r>
            <w:r>
              <w:rPr>
                <w:rFonts w:hint="eastAsia"/>
                <w:color w:val="auto"/>
                <w:sz w:val="24"/>
                <w:highlight w:val="none"/>
              </w:rPr>
              <w:t>处理</w:t>
            </w:r>
            <w:r>
              <w:rPr>
                <w:rFonts w:hint="eastAsia"/>
                <w:color w:val="auto"/>
                <w:sz w:val="24"/>
                <w:highlight w:val="none"/>
                <w:lang w:eastAsia="zh-CN"/>
              </w:rPr>
              <w:t>。</w:t>
            </w:r>
            <w:r>
              <w:rPr>
                <w:rFonts w:hint="eastAsia"/>
                <w:color w:val="auto"/>
                <w:sz w:val="24"/>
                <w:highlight w:val="none"/>
                <w:lang w:val="en-US" w:eastAsia="zh-CN"/>
              </w:rPr>
              <w:t>净化原理图如下图。</w:t>
            </w:r>
          </w:p>
          <w:p w14:paraId="0DB80BB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color w:val="auto"/>
                <w:sz w:val="24"/>
                <w:highlight w:val="none"/>
                <w:lang w:val="en-US" w:eastAsia="zh-CN"/>
              </w:rPr>
            </w:pPr>
            <w:r>
              <w:rPr>
                <w:rFonts w:hint="eastAsia" w:ascii="宋体" w:hAnsi="宋体" w:eastAsia="宋体"/>
                <w:sz w:val="28"/>
                <w:szCs w:val="28"/>
                <w:lang w:eastAsia="zh-CN"/>
              </w:rPr>
              <w:drawing>
                <wp:inline distT="0" distB="0" distL="114300" distR="114300">
                  <wp:extent cx="5190490" cy="2432685"/>
                  <wp:effectExtent l="0" t="0" r="0" b="0"/>
                  <wp:docPr id="23" name="图片 8" descr="8b655e197a009820eec700f5f9d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8b655e197a009820eec700f5f9d176b"/>
                          <pic:cNvPicPr>
                            <a:picLocks noChangeAspect="1"/>
                          </pic:cNvPicPr>
                        </pic:nvPicPr>
                        <pic:blipFill>
                          <a:blip r:embed="rId27"/>
                          <a:srcRect b="6743"/>
                          <a:stretch>
                            <a:fillRect/>
                          </a:stretch>
                        </pic:blipFill>
                        <pic:spPr>
                          <a:xfrm>
                            <a:off x="0" y="0"/>
                            <a:ext cx="5190490" cy="2432685"/>
                          </a:xfrm>
                          <a:prstGeom prst="rect">
                            <a:avLst/>
                          </a:prstGeom>
                          <a:noFill/>
                          <a:ln>
                            <a:noFill/>
                          </a:ln>
                        </pic:spPr>
                      </pic:pic>
                    </a:graphicData>
                  </a:graphic>
                </wp:inline>
              </w:drawing>
            </w:r>
          </w:p>
          <w:p w14:paraId="69472FB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cs="Times New Roman"/>
                <w:bCs/>
                <w:sz w:val="24"/>
                <w:lang w:val="en-US" w:eastAsia="zh-CN"/>
              </w:rPr>
            </w:pPr>
            <w:r>
              <w:rPr>
                <w:rFonts w:hint="eastAsia" w:cs="Times New Roman"/>
                <w:b/>
                <w:bCs w:val="0"/>
                <w:sz w:val="21"/>
                <w:szCs w:val="21"/>
                <w:lang w:val="en-US" w:eastAsia="zh-CN"/>
              </w:rPr>
              <w:t>图4-1 吸附脱附催化燃烧原理图</w:t>
            </w:r>
          </w:p>
          <w:p w14:paraId="3616E3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sz w:val="24"/>
                <w:lang w:val="en-US" w:eastAsia="zh-CN"/>
              </w:rPr>
            </w:pPr>
            <w:r>
              <w:rPr>
                <w:rFonts w:hint="eastAsia" w:ascii="Times New Roman" w:hAnsi="Times New Roman" w:cs="Times New Roman"/>
                <w:bCs/>
                <w:sz w:val="24"/>
                <w:lang w:val="en-US" w:eastAsia="zh-CN"/>
              </w:rPr>
              <w:t>该装置根据吸附（效率高）和催化燃烧（节能）两个基本原理设计，采用双气路连续工作，一个催化燃烧室，两个吸附床交替使用。先将有机废气用活性炭吸附，当活性炭快达到饱和时停止吸附，然后用热气流将有机物从活性炭上脱附下来使活性炭再生；脱附下来的有机物已被浓缩（浓度较原来提高几十倍）并送往催化燃烧室催化燃烧成二氧化碳及水蒸气排出</w:t>
            </w:r>
            <w:r>
              <w:rPr>
                <w:rFonts w:hint="eastAsia" w:cs="Times New Roman"/>
                <w:bCs/>
                <w:sz w:val="24"/>
                <w:lang w:val="en-US" w:eastAsia="zh-CN"/>
              </w:rPr>
              <w:t>。</w:t>
            </w:r>
            <w:r>
              <w:rPr>
                <w:rFonts w:hint="eastAsia"/>
                <w:color w:val="auto"/>
                <w:sz w:val="24"/>
                <w:highlight w:val="none"/>
                <w:lang w:val="en-US" w:eastAsia="zh-CN"/>
              </w:rPr>
              <w:t>参考</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重点行业挥发性有机物治理环境管理技术规范 第11部分：其他工业涂装行业</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（DB34/T4230.11-2022）“末端治理”内容及“涂装”污染治理措施，</w:t>
            </w:r>
            <w:r>
              <w:rPr>
                <w:rFonts w:hint="eastAsia"/>
                <w:color w:val="auto"/>
                <w:sz w:val="24"/>
                <w:highlight w:val="none"/>
                <w:lang w:val="en-US" w:eastAsia="zh-CN"/>
              </w:rPr>
              <w:t>催化燃烧</w:t>
            </w:r>
            <w:r>
              <w:rPr>
                <w:rFonts w:hint="eastAsia"/>
                <w:color w:val="auto"/>
                <w:sz w:val="24"/>
                <w:highlight w:val="none"/>
              </w:rPr>
              <w:t>属于可行性技术</w:t>
            </w:r>
            <w:r>
              <w:rPr>
                <w:rFonts w:hint="eastAsia"/>
                <w:color w:val="auto"/>
                <w:sz w:val="24"/>
                <w:highlight w:val="none"/>
                <w:lang w:eastAsia="zh-CN"/>
              </w:rPr>
              <w:t>。</w:t>
            </w:r>
          </w:p>
          <w:p w14:paraId="300808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sz w:val="24"/>
                <w:lang w:val="en-US" w:eastAsia="zh-CN"/>
              </w:rPr>
            </w:pPr>
            <w:r>
              <w:rPr>
                <w:rFonts w:hint="eastAsia" w:ascii="Times New Roman" w:hAnsi="Times New Roman" w:cs="Times New Roman"/>
                <w:bCs/>
                <w:sz w:val="24"/>
                <w:lang w:val="en-US" w:eastAsia="zh-CN"/>
              </w:rPr>
              <w:t>综上，本项目</w:t>
            </w:r>
            <w:r>
              <w:rPr>
                <w:rFonts w:hint="default" w:ascii="Times New Roman" w:hAnsi="Times New Roman" w:cs="Times New Roman"/>
                <w:bCs/>
                <w:sz w:val="24"/>
                <w:lang w:val="en-US" w:eastAsia="zh-CN"/>
              </w:rPr>
              <w:t>废气治理措施</w:t>
            </w:r>
            <w:r>
              <w:rPr>
                <w:rFonts w:hint="eastAsia" w:ascii="Times New Roman" w:hAnsi="Times New Roman" w:cs="Times New Roman"/>
                <w:bCs/>
                <w:sz w:val="24"/>
                <w:lang w:val="en-US" w:eastAsia="zh-CN"/>
              </w:rPr>
              <w:t>为可行的。</w:t>
            </w:r>
          </w:p>
          <w:p w14:paraId="153B424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1.</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rPr>
              <w:t>废气检测计划</w:t>
            </w:r>
          </w:p>
          <w:p w14:paraId="3B6AA0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val="0"/>
                <w:sz w:val="24"/>
                <w:highlight w:val="yellow"/>
                <w:lang w:val="en-US" w:eastAsia="zh-CN"/>
              </w:rPr>
            </w:pPr>
            <w:r>
              <w:rPr>
                <w:rFonts w:hint="default" w:ascii="Times New Roman" w:hAnsi="Times New Roman" w:cs="Times New Roman"/>
                <w:bCs/>
                <w:sz w:val="24"/>
              </w:rPr>
              <w:t>根据《排污单位自行监测技术指南</w:t>
            </w:r>
            <w:r>
              <w:rPr>
                <w:rFonts w:hint="eastAsia" w:ascii="Times New Roman" w:hAnsi="Times New Roman" w:cs="Times New Roman"/>
                <w:bCs/>
                <w:sz w:val="24"/>
                <w:lang w:val="en-US" w:eastAsia="zh-CN"/>
              </w:rPr>
              <w:t xml:space="preserve"> </w:t>
            </w:r>
            <w:r>
              <w:rPr>
                <w:rFonts w:hint="default" w:ascii="Times New Roman" w:hAnsi="Times New Roman" w:cs="Times New Roman"/>
                <w:bCs/>
                <w:sz w:val="24"/>
              </w:rPr>
              <w:t>涂装》（HJ 1086—2020），废气自行监测计划见下表</w:t>
            </w:r>
            <w:r>
              <w:rPr>
                <w:rFonts w:hint="eastAsia" w:cs="Times New Roman"/>
                <w:bCs/>
                <w:sz w:val="24"/>
                <w:lang w:val="en-US" w:eastAsia="zh-CN"/>
              </w:rPr>
              <w:t>。</w:t>
            </w:r>
          </w:p>
          <w:p w14:paraId="6B3350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2"/>
                <w:szCs w:val="22"/>
                <w:highlight w:val="none"/>
                <w:vertAlign w:val="baseline"/>
                <w:lang w:eastAsia="zh-CN"/>
              </w:rPr>
            </w:pPr>
            <w:r>
              <w:rPr>
                <w:rFonts w:hint="default" w:ascii="Times New Roman" w:hAnsi="Times New Roman" w:cs="Times New Roman"/>
                <w:b/>
                <w:bCs w:val="0"/>
                <w:color w:val="auto"/>
                <w:sz w:val="22"/>
                <w:szCs w:val="22"/>
                <w:highlight w:val="none"/>
              </w:rPr>
              <w:t>表4-</w:t>
            </w:r>
            <w:r>
              <w:rPr>
                <w:rFonts w:hint="eastAsia" w:cs="Times New Roman"/>
                <w:b/>
                <w:bCs w:val="0"/>
                <w:color w:val="auto"/>
                <w:sz w:val="22"/>
                <w:szCs w:val="22"/>
                <w:highlight w:val="none"/>
                <w:lang w:val="en-US" w:eastAsia="zh-CN"/>
              </w:rPr>
              <w:t>4</w:t>
            </w:r>
            <w:r>
              <w:rPr>
                <w:rFonts w:hint="default" w:ascii="Times New Roman" w:hAnsi="Times New Roman" w:cs="Times New Roman"/>
                <w:b/>
                <w:bCs w:val="0"/>
                <w:color w:val="auto"/>
                <w:sz w:val="22"/>
                <w:szCs w:val="22"/>
                <w:highlight w:val="none"/>
              </w:rPr>
              <w:t xml:space="preserve"> 废气监测计划</w:t>
            </w:r>
            <w:r>
              <w:rPr>
                <w:rFonts w:hint="default" w:ascii="Times New Roman" w:hAnsi="Times New Roman" w:cs="Times New Roman"/>
                <w:b/>
                <w:bCs w:val="0"/>
                <w:color w:val="auto"/>
                <w:sz w:val="22"/>
                <w:szCs w:val="22"/>
                <w:highlight w:val="none"/>
                <w:lang w:eastAsia="zh-CN"/>
              </w:rPr>
              <w:t>内容一览表</w:t>
            </w:r>
          </w:p>
          <w:tbl>
            <w:tblPr>
              <w:tblStyle w:val="25"/>
              <w:tblW w:w="8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1609"/>
              <w:gridCol w:w="3180"/>
              <w:gridCol w:w="1702"/>
            </w:tblGrid>
            <w:tr w14:paraId="0D0A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shd w:val="clear" w:color="auto" w:fill="auto"/>
                  <w:vAlign w:val="center"/>
                </w:tcPr>
                <w:p w14:paraId="269318C2">
                  <w:pPr>
                    <w:tabs>
                      <w:tab w:val="left" w:pos="1215"/>
                    </w:tabs>
                    <w:adjustRightInd w:val="0"/>
                    <w:snapToGrid w:val="0"/>
                    <w:jc w:val="center"/>
                    <w:rPr>
                      <w:rFonts w:hint="default" w:ascii="Times New Roman" w:hAnsi="Times New Roman" w:eastAsia="Times New Roman" w:cs="Times New Roman"/>
                      <w:b w:val="0"/>
                      <w:bCs w:val="0"/>
                      <w:color w:val="000000"/>
                      <w:kern w:val="2"/>
                      <w:sz w:val="21"/>
                      <w:szCs w:val="21"/>
                      <w:highlight w:val="none"/>
                      <w:lang w:val="en-US" w:eastAsia="zh-CN" w:bidi="ar-SA"/>
                    </w:rPr>
                  </w:pPr>
                  <w:r>
                    <w:rPr>
                      <w:rFonts w:ascii="Times New Roman" w:hAnsi="Times New Roman"/>
                      <w:b w:val="0"/>
                      <w:bCs w:val="0"/>
                      <w:color w:val="000000"/>
                      <w:sz w:val="21"/>
                      <w:szCs w:val="21"/>
                      <w:highlight w:val="none"/>
                    </w:rPr>
                    <w:t>排放形式</w:t>
                  </w:r>
                </w:p>
              </w:tc>
              <w:tc>
                <w:tcPr>
                  <w:tcW w:w="1609" w:type="dxa"/>
                  <w:shd w:val="clear" w:color="auto" w:fill="auto"/>
                  <w:vAlign w:val="center"/>
                </w:tcPr>
                <w:p w14:paraId="5255DA82">
                  <w:pPr>
                    <w:tabs>
                      <w:tab w:val="left" w:pos="1215"/>
                    </w:tabs>
                    <w:adjustRightInd w:val="0"/>
                    <w:snapToGrid w:val="0"/>
                    <w:jc w:val="center"/>
                    <w:rPr>
                      <w:rFonts w:hint="default" w:ascii="Times New Roman" w:hAnsi="Times New Roman" w:eastAsia="Times New Roman" w:cs="Times New Roman"/>
                      <w:b w:val="0"/>
                      <w:bCs w:val="0"/>
                      <w:color w:val="000000"/>
                      <w:kern w:val="2"/>
                      <w:sz w:val="21"/>
                      <w:szCs w:val="21"/>
                      <w:highlight w:val="none"/>
                      <w:lang w:val="en-US" w:eastAsia="zh-CN" w:bidi="ar-SA"/>
                    </w:rPr>
                  </w:pPr>
                  <w:r>
                    <w:rPr>
                      <w:rFonts w:ascii="Times New Roman" w:hAnsi="Times New Roman"/>
                      <w:b w:val="0"/>
                      <w:bCs w:val="0"/>
                      <w:color w:val="000000"/>
                      <w:sz w:val="21"/>
                      <w:szCs w:val="21"/>
                      <w:highlight w:val="none"/>
                    </w:rPr>
                    <w:t>监测点位</w:t>
                  </w:r>
                </w:p>
              </w:tc>
              <w:tc>
                <w:tcPr>
                  <w:tcW w:w="3180" w:type="dxa"/>
                  <w:shd w:val="clear" w:color="auto" w:fill="auto"/>
                  <w:vAlign w:val="center"/>
                </w:tcPr>
                <w:p w14:paraId="64D5168D">
                  <w:pPr>
                    <w:tabs>
                      <w:tab w:val="left" w:pos="1215"/>
                    </w:tabs>
                    <w:adjustRightInd w:val="0"/>
                    <w:snapToGrid w:val="0"/>
                    <w:jc w:val="center"/>
                    <w:rPr>
                      <w:rFonts w:hint="default" w:ascii="Times New Roman" w:hAnsi="Times New Roman" w:eastAsia="Times New Roman" w:cs="Times New Roman"/>
                      <w:b w:val="0"/>
                      <w:bCs w:val="0"/>
                      <w:color w:val="000000"/>
                      <w:kern w:val="2"/>
                      <w:sz w:val="21"/>
                      <w:szCs w:val="21"/>
                      <w:highlight w:val="none"/>
                      <w:lang w:val="en-US" w:eastAsia="zh-CN" w:bidi="ar-SA"/>
                    </w:rPr>
                  </w:pPr>
                  <w:r>
                    <w:rPr>
                      <w:rFonts w:ascii="Times New Roman" w:hAnsi="Times New Roman"/>
                      <w:b w:val="0"/>
                      <w:bCs w:val="0"/>
                      <w:color w:val="000000"/>
                      <w:sz w:val="21"/>
                      <w:szCs w:val="21"/>
                      <w:highlight w:val="none"/>
                    </w:rPr>
                    <w:t>监测指标</w:t>
                  </w:r>
                </w:p>
              </w:tc>
              <w:tc>
                <w:tcPr>
                  <w:tcW w:w="1702" w:type="dxa"/>
                  <w:shd w:val="clear" w:color="auto" w:fill="auto"/>
                  <w:vAlign w:val="center"/>
                </w:tcPr>
                <w:p w14:paraId="16F23B25">
                  <w:pPr>
                    <w:tabs>
                      <w:tab w:val="left" w:pos="1215"/>
                    </w:tabs>
                    <w:adjustRightInd w:val="0"/>
                    <w:snapToGrid w:val="0"/>
                    <w:jc w:val="center"/>
                    <w:rPr>
                      <w:rFonts w:hint="default" w:ascii="Times New Roman" w:hAnsi="Times New Roman" w:eastAsia="Times New Roman" w:cs="Times New Roman"/>
                      <w:b w:val="0"/>
                      <w:bCs w:val="0"/>
                      <w:color w:val="000000"/>
                      <w:kern w:val="2"/>
                      <w:sz w:val="21"/>
                      <w:szCs w:val="21"/>
                      <w:highlight w:val="none"/>
                      <w:lang w:val="en-US" w:eastAsia="zh-CN" w:bidi="ar-SA"/>
                    </w:rPr>
                  </w:pPr>
                  <w:r>
                    <w:rPr>
                      <w:rFonts w:ascii="Times New Roman" w:hAnsi="Times New Roman"/>
                      <w:b w:val="0"/>
                      <w:bCs w:val="0"/>
                      <w:color w:val="000000"/>
                      <w:sz w:val="21"/>
                      <w:szCs w:val="21"/>
                      <w:highlight w:val="none"/>
                    </w:rPr>
                    <w:t>监测频次</w:t>
                  </w:r>
                </w:p>
              </w:tc>
            </w:tr>
            <w:tr w14:paraId="0F02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restart"/>
                  <w:vAlign w:val="center"/>
                </w:tcPr>
                <w:p w14:paraId="6CA34C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eastAsia" w:eastAsia="宋体"/>
                      <w:b w:val="0"/>
                      <w:bCs w:val="0"/>
                      <w:color w:val="000000"/>
                      <w:sz w:val="21"/>
                      <w:szCs w:val="21"/>
                      <w:highlight w:val="none"/>
                      <w:lang w:val="en-US" w:eastAsia="zh-CN"/>
                    </w:rPr>
                    <w:t>有组织</w:t>
                  </w:r>
                </w:p>
              </w:tc>
              <w:tc>
                <w:tcPr>
                  <w:tcW w:w="1609" w:type="dxa"/>
                  <w:vAlign w:val="center"/>
                </w:tcPr>
                <w:p w14:paraId="5A848E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DA001</w:t>
                  </w:r>
                </w:p>
              </w:tc>
              <w:tc>
                <w:tcPr>
                  <w:tcW w:w="3180" w:type="dxa"/>
                  <w:vAlign w:val="center"/>
                </w:tcPr>
                <w:p w14:paraId="29E701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颗粒物、非甲烷总烃</w:t>
                  </w:r>
                  <w:r>
                    <w:rPr>
                      <w:rFonts w:hint="eastAsia" w:cs="Times New Roman"/>
                      <w:b w:val="0"/>
                      <w:bCs w:val="0"/>
                      <w:color w:val="auto"/>
                      <w:sz w:val="21"/>
                      <w:szCs w:val="21"/>
                      <w:highlight w:val="none"/>
                      <w:vertAlign w:val="baseline"/>
                      <w:lang w:val="en-US" w:eastAsia="zh-CN"/>
                    </w:rPr>
                    <w:t>、乙酸丁酯、二甲苯</w:t>
                  </w:r>
                </w:p>
              </w:tc>
              <w:tc>
                <w:tcPr>
                  <w:tcW w:w="1702" w:type="dxa"/>
                  <w:vAlign w:val="center"/>
                </w:tcPr>
                <w:p w14:paraId="402CE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ascii="Times New Roman" w:hAnsi="Times New Roman" w:eastAsia="Times New Roman"/>
                      <w:bCs/>
                      <w:color w:val="000000"/>
                      <w:sz w:val="21"/>
                      <w:szCs w:val="21"/>
                      <w:highlight w:val="none"/>
                    </w:rPr>
                    <w:t>1</w:t>
                  </w:r>
                  <w:r>
                    <w:rPr>
                      <w:rFonts w:ascii="Times New Roman" w:hAnsi="Times New Roman"/>
                      <w:bCs/>
                      <w:color w:val="000000"/>
                      <w:sz w:val="21"/>
                      <w:szCs w:val="21"/>
                      <w:highlight w:val="none"/>
                    </w:rPr>
                    <w:t>次</w:t>
                  </w:r>
                  <w:r>
                    <w:rPr>
                      <w:rFonts w:ascii="Times New Roman" w:hAnsi="Times New Roman" w:eastAsia="Times New Roman"/>
                      <w:bCs/>
                      <w:color w:val="000000"/>
                      <w:sz w:val="21"/>
                      <w:szCs w:val="21"/>
                      <w:highlight w:val="none"/>
                    </w:rPr>
                    <w:t>/</w:t>
                  </w:r>
                  <w:r>
                    <w:rPr>
                      <w:rFonts w:ascii="Times New Roman" w:hAnsi="Times New Roman"/>
                      <w:bCs/>
                      <w:color w:val="000000"/>
                      <w:sz w:val="21"/>
                      <w:szCs w:val="21"/>
                      <w:highlight w:val="none"/>
                    </w:rPr>
                    <w:t>年</w:t>
                  </w:r>
                </w:p>
              </w:tc>
            </w:tr>
            <w:tr w14:paraId="3561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continue"/>
                  <w:vAlign w:val="center"/>
                </w:tcPr>
                <w:p w14:paraId="1DD819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000000"/>
                      <w:sz w:val="21"/>
                      <w:szCs w:val="21"/>
                      <w:highlight w:val="none"/>
                      <w:lang w:val="en-US" w:eastAsia="zh-CN"/>
                    </w:rPr>
                  </w:pPr>
                </w:p>
              </w:tc>
              <w:tc>
                <w:tcPr>
                  <w:tcW w:w="1609" w:type="dxa"/>
                  <w:vAlign w:val="center"/>
                </w:tcPr>
                <w:p w14:paraId="46C33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DA002</w:t>
                  </w:r>
                </w:p>
              </w:tc>
              <w:tc>
                <w:tcPr>
                  <w:tcW w:w="3180" w:type="dxa"/>
                  <w:vAlign w:val="center"/>
                </w:tcPr>
                <w:p w14:paraId="194811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1702" w:type="dxa"/>
                  <w:vAlign w:val="center"/>
                </w:tcPr>
                <w:p w14:paraId="78874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Times New Roman"/>
                      <w:bCs/>
                      <w:color w:val="000000"/>
                      <w:sz w:val="21"/>
                      <w:szCs w:val="21"/>
                      <w:highlight w:val="none"/>
                    </w:rPr>
                  </w:pPr>
                  <w:r>
                    <w:rPr>
                      <w:rFonts w:ascii="Times New Roman" w:hAnsi="Times New Roman" w:eastAsia="Times New Roman"/>
                      <w:bCs/>
                      <w:color w:val="000000"/>
                      <w:sz w:val="21"/>
                      <w:szCs w:val="21"/>
                      <w:highlight w:val="none"/>
                    </w:rPr>
                    <w:t>1</w:t>
                  </w:r>
                  <w:r>
                    <w:rPr>
                      <w:rFonts w:ascii="Times New Roman" w:hAnsi="Times New Roman"/>
                      <w:bCs/>
                      <w:color w:val="000000"/>
                      <w:sz w:val="21"/>
                      <w:szCs w:val="21"/>
                      <w:highlight w:val="none"/>
                    </w:rPr>
                    <w:t>次</w:t>
                  </w:r>
                  <w:r>
                    <w:rPr>
                      <w:rFonts w:ascii="Times New Roman" w:hAnsi="Times New Roman" w:eastAsia="Times New Roman"/>
                      <w:bCs/>
                      <w:color w:val="000000"/>
                      <w:sz w:val="21"/>
                      <w:szCs w:val="21"/>
                      <w:highlight w:val="none"/>
                    </w:rPr>
                    <w:t>/</w:t>
                  </w:r>
                  <w:r>
                    <w:rPr>
                      <w:rFonts w:ascii="Times New Roman" w:hAnsi="Times New Roman"/>
                      <w:bCs/>
                      <w:color w:val="000000"/>
                      <w:sz w:val="21"/>
                      <w:szCs w:val="21"/>
                      <w:highlight w:val="none"/>
                    </w:rPr>
                    <w:t>年</w:t>
                  </w:r>
                </w:p>
              </w:tc>
            </w:tr>
            <w:tr w14:paraId="3476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restart"/>
                  <w:shd w:val="clear" w:color="auto" w:fill="auto"/>
                  <w:vAlign w:val="center"/>
                </w:tcPr>
                <w:p w14:paraId="3FB354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无组织</w:t>
                  </w:r>
                </w:p>
              </w:tc>
              <w:tc>
                <w:tcPr>
                  <w:tcW w:w="1609" w:type="dxa"/>
                  <w:shd w:val="clear" w:color="auto" w:fill="auto"/>
                  <w:vAlign w:val="center"/>
                </w:tcPr>
                <w:p w14:paraId="190A4A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厂界</w:t>
                  </w:r>
                </w:p>
              </w:tc>
              <w:tc>
                <w:tcPr>
                  <w:tcW w:w="3180" w:type="dxa"/>
                  <w:vAlign w:val="center"/>
                </w:tcPr>
                <w:p w14:paraId="3B3737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颗粒物、非甲烷总烃</w:t>
                  </w:r>
                </w:p>
              </w:tc>
              <w:tc>
                <w:tcPr>
                  <w:tcW w:w="1702" w:type="dxa"/>
                  <w:vAlign w:val="center"/>
                </w:tcPr>
                <w:p w14:paraId="329E45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Times New Roman"/>
                      <w:bCs/>
                      <w:color w:val="000000"/>
                      <w:sz w:val="21"/>
                      <w:szCs w:val="21"/>
                      <w:highlight w:val="none"/>
                    </w:rPr>
                  </w:pPr>
                  <w:r>
                    <w:rPr>
                      <w:rFonts w:ascii="Times New Roman" w:hAnsi="Times New Roman" w:eastAsia="Times New Roman"/>
                      <w:bCs/>
                      <w:color w:val="000000"/>
                      <w:sz w:val="21"/>
                      <w:szCs w:val="21"/>
                      <w:highlight w:val="none"/>
                    </w:rPr>
                    <w:t>1</w:t>
                  </w:r>
                  <w:r>
                    <w:rPr>
                      <w:rFonts w:ascii="Times New Roman" w:hAnsi="Times New Roman"/>
                      <w:bCs/>
                      <w:color w:val="000000"/>
                      <w:sz w:val="21"/>
                      <w:szCs w:val="21"/>
                      <w:highlight w:val="none"/>
                    </w:rPr>
                    <w:t>次</w:t>
                  </w:r>
                  <w:r>
                    <w:rPr>
                      <w:rFonts w:ascii="Times New Roman" w:hAnsi="Times New Roman" w:eastAsia="Times New Roman"/>
                      <w:bCs/>
                      <w:color w:val="000000"/>
                      <w:sz w:val="21"/>
                      <w:szCs w:val="21"/>
                      <w:highlight w:val="none"/>
                    </w:rPr>
                    <w:t>/</w:t>
                  </w:r>
                  <w:r>
                    <w:rPr>
                      <w:rFonts w:ascii="Times New Roman" w:hAnsi="Times New Roman"/>
                      <w:bCs/>
                      <w:color w:val="000000"/>
                      <w:sz w:val="21"/>
                      <w:szCs w:val="21"/>
                      <w:highlight w:val="none"/>
                    </w:rPr>
                    <w:t>年</w:t>
                  </w:r>
                </w:p>
              </w:tc>
            </w:tr>
            <w:tr w14:paraId="1476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continue"/>
                  <w:shd w:val="clear" w:color="auto" w:fill="auto"/>
                  <w:vAlign w:val="center"/>
                </w:tcPr>
                <w:p w14:paraId="6FB663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1609" w:type="dxa"/>
                  <w:shd w:val="clear" w:color="auto" w:fill="auto"/>
                  <w:vAlign w:val="center"/>
                </w:tcPr>
                <w:p w14:paraId="123B69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厂区内厂房外</w:t>
                  </w:r>
                </w:p>
              </w:tc>
              <w:tc>
                <w:tcPr>
                  <w:tcW w:w="3180" w:type="dxa"/>
                  <w:vAlign w:val="center"/>
                </w:tcPr>
                <w:p w14:paraId="6EC18B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非甲烷总烃</w:t>
                  </w:r>
                </w:p>
              </w:tc>
              <w:tc>
                <w:tcPr>
                  <w:tcW w:w="1702" w:type="dxa"/>
                  <w:vAlign w:val="center"/>
                </w:tcPr>
                <w:p w14:paraId="3A0877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Times New Roman"/>
                      <w:bCs/>
                      <w:color w:val="000000"/>
                      <w:sz w:val="21"/>
                      <w:szCs w:val="21"/>
                      <w:highlight w:val="none"/>
                    </w:rPr>
                  </w:pPr>
                  <w:r>
                    <w:rPr>
                      <w:rFonts w:ascii="Times New Roman" w:hAnsi="Times New Roman" w:eastAsia="Times New Roman"/>
                      <w:bCs/>
                      <w:color w:val="000000"/>
                      <w:sz w:val="21"/>
                      <w:szCs w:val="21"/>
                      <w:highlight w:val="none"/>
                    </w:rPr>
                    <w:t>1</w:t>
                  </w:r>
                  <w:r>
                    <w:rPr>
                      <w:rFonts w:ascii="Times New Roman" w:hAnsi="Times New Roman"/>
                      <w:bCs/>
                      <w:color w:val="000000"/>
                      <w:sz w:val="21"/>
                      <w:szCs w:val="21"/>
                      <w:highlight w:val="none"/>
                    </w:rPr>
                    <w:t>次</w:t>
                  </w:r>
                  <w:r>
                    <w:rPr>
                      <w:rFonts w:ascii="Times New Roman" w:hAnsi="Times New Roman" w:eastAsia="Times New Roman"/>
                      <w:bCs/>
                      <w:color w:val="000000"/>
                      <w:sz w:val="21"/>
                      <w:szCs w:val="21"/>
                      <w:highlight w:val="none"/>
                    </w:rPr>
                    <w:t>/</w:t>
                  </w:r>
                  <w:r>
                    <w:rPr>
                      <w:rFonts w:ascii="Times New Roman" w:hAnsi="Times New Roman"/>
                      <w:bCs/>
                      <w:color w:val="000000"/>
                      <w:sz w:val="21"/>
                      <w:szCs w:val="21"/>
                      <w:highlight w:val="none"/>
                    </w:rPr>
                    <w:t>年</w:t>
                  </w:r>
                </w:p>
              </w:tc>
            </w:tr>
          </w:tbl>
          <w:p w14:paraId="69735271">
            <w:pPr>
              <w:autoSpaceDE w:val="0"/>
              <w:autoSpaceDN w:val="0"/>
              <w:adjustRightInd w:val="0"/>
              <w:snapToGrid w:val="0"/>
              <w:spacing w:line="360" w:lineRule="auto"/>
              <w:jc w:val="left"/>
              <w:rPr>
                <w:rFonts w:hint="eastAsia" w:ascii="宋体" w:hAnsi="宋体" w:cs="宋体"/>
                <w:kern w:val="0"/>
                <w:sz w:val="24"/>
                <w:szCs w:val="24"/>
                <w:lang w:eastAsia="zh-CN"/>
              </w:rPr>
            </w:pPr>
            <w:r>
              <w:rPr>
                <w:rFonts w:hint="eastAsia"/>
                <w:b/>
                <w:bCs/>
                <w:sz w:val="24"/>
                <w:lang w:val="en-US" w:eastAsia="zh-CN"/>
              </w:rPr>
              <w:t>2、废水</w:t>
            </w:r>
          </w:p>
          <w:p w14:paraId="5E3B9427">
            <w:pPr>
              <w:autoSpaceDE w:val="0"/>
              <w:autoSpaceDN w:val="0"/>
              <w:adjustRightInd w:val="0"/>
              <w:snapToGrid w:val="0"/>
              <w:spacing w:line="360" w:lineRule="auto"/>
              <w:ind w:firstLine="480" w:firstLineChars="200"/>
              <w:jc w:val="both"/>
              <w:rPr>
                <w:rFonts w:hint="default"/>
                <w:color w:val="000000"/>
                <w:kern w:val="0"/>
                <w:sz w:val="24"/>
                <w:szCs w:val="24"/>
                <w:lang w:val="en-US" w:eastAsia="zh-CN"/>
              </w:rPr>
            </w:pPr>
            <w:r>
              <w:rPr>
                <w:rFonts w:hint="eastAsia"/>
                <w:color w:val="000000"/>
                <w:kern w:val="0"/>
                <w:sz w:val="24"/>
                <w:szCs w:val="24"/>
                <w:lang w:val="en-US" w:eastAsia="zh-CN"/>
              </w:rPr>
              <w:t>（1）废水产排及治理情况</w:t>
            </w:r>
          </w:p>
          <w:p w14:paraId="5CA1991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color w:val="000000"/>
                <w:kern w:val="0"/>
                <w:sz w:val="24"/>
                <w:szCs w:val="24"/>
                <w:lang w:val="en-US" w:eastAsia="zh-CN"/>
              </w:rPr>
            </w:pPr>
            <w:r>
              <w:rPr>
                <w:rFonts w:hint="eastAsia"/>
                <w:color w:val="000000"/>
                <w:kern w:val="0"/>
                <w:sz w:val="24"/>
                <w:szCs w:val="24"/>
                <w:lang w:val="en-US" w:eastAsia="zh-CN"/>
              </w:rPr>
              <w:t>本项目生产废水循环使用不外排。生活污水水质比较简单，主要污染物为pH、COD、BOD</w:t>
            </w:r>
            <w:r>
              <w:rPr>
                <w:rFonts w:hint="eastAsia"/>
                <w:color w:val="000000"/>
                <w:kern w:val="0"/>
                <w:sz w:val="24"/>
                <w:szCs w:val="24"/>
                <w:vertAlign w:val="subscript"/>
                <w:lang w:val="en-US" w:eastAsia="zh-CN"/>
              </w:rPr>
              <w:t>5</w:t>
            </w:r>
            <w:r>
              <w:rPr>
                <w:rFonts w:hint="eastAsia"/>
                <w:color w:val="000000"/>
                <w:kern w:val="0"/>
                <w:sz w:val="24"/>
                <w:szCs w:val="24"/>
                <w:lang w:val="en-US" w:eastAsia="zh-CN"/>
              </w:rPr>
              <w:t>、SS、氨氮等。根据工程分析，本项目生活污水产生量为600m</w:t>
            </w:r>
            <w:r>
              <w:rPr>
                <w:rFonts w:hint="eastAsia"/>
                <w:color w:val="000000"/>
                <w:kern w:val="0"/>
                <w:sz w:val="24"/>
                <w:szCs w:val="24"/>
                <w:vertAlign w:val="superscript"/>
                <w:lang w:val="en-US" w:eastAsia="zh-CN"/>
              </w:rPr>
              <w:t>3</w:t>
            </w:r>
            <w:r>
              <w:rPr>
                <w:rFonts w:hint="eastAsia"/>
                <w:color w:val="000000"/>
                <w:kern w:val="0"/>
                <w:sz w:val="24"/>
                <w:szCs w:val="24"/>
                <w:lang w:val="en-US" w:eastAsia="zh-CN"/>
              </w:rPr>
              <w:t>/a。</w:t>
            </w:r>
          </w:p>
          <w:p w14:paraId="5AEE3ED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bCs/>
                <w:spacing w:val="-10"/>
                <w:szCs w:val="21"/>
              </w:rPr>
            </w:pPr>
            <w:r>
              <w:rPr>
                <w:rFonts w:hint="eastAsia" w:ascii="Times New Roman" w:hAnsi="Times New Roman" w:cs="Times New Roman"/>
                <w:color w:val="000000"/>
                <w:kern w:val="0"/>
                <w:sz w:val="24"/>
                <w:szCs w:val="24"/>
                <w:lang w:val="en-US" w:eastAsia="zh-CN"/>
              </w:rPr>
              <w:t>废水产排情况、污染物及治理设施信息，以及废水间接排放口基本情况如下表所示。</w:t>
            </w:r>
          </w:p>
        </w:tc>
      </w:tr>
    </w:tbl>
    <w:p w14:paraId="490D3598">
      <w:pPr>
        <w:pStyle w:val="20"/>
        <w:rPr>
          <w:rFonts w:hint="eastAsia"/>
          <w:lang w:val="en-US" w:eastAsia="zh-CN"/>
        </w:rPr>
        <w:sectPr>
          <w:footerReference r:id="rId10" w:type="default"/>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137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3298"/>
      </w:tblGrid>
      <w:tr w14:paraId="6BA60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48" w:hRule="atLeast"/>
          <w:jc w:val="center"/>
        </w:trPr>
        <w:tc>
          <w:tcPr>
            <w:tcW w:w="464" w:type="dxa"/>
            <w:noWrap w:val="0"/>
            <w:tcMar>
              <w:left w:w="28" w:type="dxa"/>
              <w:right w:w="28" w:type="dxa"/>
            </w:tcMar>
            <w:vAlign w:val="center"/>
          </w:tcPr>
          <w:p w14:paraId="0D9188DB">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运营</w:t>
            </w:r>
          </w:p>
          <w:p w14:paraId="15E6389D">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期环</w:t>
            </w:r>
          </w:p>
          <w:p w14:paraId="3DAF40EF">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境影</w:t>
            </w:r>
          </w:p>
          <w:p w14:paraId="437DEBF6">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响和</w:t>
            </w:r>
          </w:p>
          <w:p w14:paraId="616AD814">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保护</w:t>
            </w:r>
          </w:p>
          <w:p w14:paraId="41F5D646">
            <w:pPr>
              <w:autoSpaceDE w:val="0"/>
              <w:autoSpaceDN w:val="0"/>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措施</w:t>
            </w:r>
          </w:p>
        </w:tc>
        <w:tc>
          <w:tcPr>
            <w:tcW w:w="13298" w:type="dxa"/>
            <w:noWrap w:val="0"/>
            <w:vAlign w:val="top"/>
          </w:tcPr>
          <w:p w14:paraId="28D3B728">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b/>
                <w:kern w:val="0"/>
                <w:sz w:val="22"/>
                <w:szCs w:val="22"/>
              </w:rPr>
            </w:pPr>
            <w:r>
              <w:rPr>
                <w:rFonts w:hint="default" w:ascii="Times New Roman" w:hAnsi="Times New Roman" w:cs="Times New Roman"/>
                <w:b/>
                <w:kern w:val="0"/>
                <w:sz w:val="22"/>
                <w:szCs w:val="22"/>
              </w:rPr>
              <w:t>表</w:t>
            </w:r>
            <w:r>
              <w:rPr>
                <w:rFonts w:hint="default" w:ascii="Times New Roman" w:hAnsi="Times New Roman" w:cs="Times New Roman"/>
                <w:b/>
                <w:kern w:val="0"/>
                <w:sz w:val="22"/>
                <w:szCs w:val="22"/>
                <w:lang w:val="en-US" w:eastAsia="zh-CN"/>
              </w:rPr>
              <w:t>4</w:t>
            </w:r>
            <w:r>
              <w:rPr>
                <w:rFonts w:hint="default" w:ascii="Times New Roman" w:hAnsi="Times New Roman" w:cs="Times New Roman"/>
                <w:b/>
                <w:kern w:val="0"/>
                <w:sz w:val="22"/>
                <w:szCs w:val="22"/>
              </w:rPr>
              <w:t>-</w:t>
            </w:r>
            <w:r>
              <w:rPr>
                <w:rFonts w:hint="eastAsia" w:cs="Times New Roman"/>
                <w:b/>
                <w:kern w:val="0"/>
                <w:sz w:val="22"/>
                <w:szCs w:val="22"/>
                <w:lang w:val="en-US" w:eastAsia="zh-CN"/>
              </w:rPr>
              <w:t>5</w:t>
            </w:r>
            <w:r>
              <w:rPr>
                <w:rFonts w:hint="default" w:ascii="Times New Roman" w:hAnsi="Times New Roman" w:cs="Times New Roman"/>
                <w:b/>
                <w:kern w:val="0"/>
                <w:sz w:val="22"/>
                <w:szCs w:val="22"/>
              </w:rPr>
              <w:t xml:space="preserve"> </w:t>
            </w:r>
            <w:r>
              <w:rPr>
                <w:rFonts w:hint="default" w:ascii="Times New Roman" w:hAnsi="Times New Roman" w:cs="Times New Roman"/>
                <w:b/>
                <w:kern w:val="0"/>
                <w:sz w:val="22"/>
                <w:szCs w:val="22"/>
                <w:lang w:val="en-US" w:eastAsia="zh-CN"/>
              </w:rPr>
              <w:t>本</w:t>
            </w:r>
            <w:r>
              <w:rPr>
                <w:rFonts w:hint="default" w:ascii="Times New Roman" w:hAnsi="Times New Roman" w:cs="Times New Roman"/>
                <w:b/>
                <w:kern w:val="0"/>
                <w:sz w:val="22"/>
                <w:szCs w:val="22"/>
              </w:rPr>
              <w:t>项目</w:t>
            </w:r>
            <w:r>
              <w:rPr>
                <w:rFonts w:hint="default" w:ascii="Times New Roman" w:hAnsi="Times New Roman" w:cs="Times New Roman"/>
                <w:b/>
                <w:kern w:val="0"/>
                <w:sz w:val="22"/>
                <w:szCs w:val="22"/>
                <w:lang w:val="en-US" w:eastAsia="zh-CN"/>
              </w:rPr>
              <w:t>废水产排情况一览</w:t>
            </w:r>
            <w:r>
              <w:rPr>
                <w:rFonts w:hint="default" w:ascii="Times New Roman" w:hAnsi="Times New Roman" w:cs="Times New Roman"/>
                <w:b/>
                <w:kern w:val="0"/>
                <w:sz w:val="22"/>
                <w:szCs w:val="22"/>
              </w:rPr>
              <w:t>表</w:t>
            </w:r>
          </w:p>
          <w:tbl>
            <w:tblPr>
              <w:tblStyle w:val="55"/>
              <w:tblW w:w="128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26"/>
              <w:gridCol w:w="650"/>
              <w:gridCol w:w="704"/>
              <w:gridCol w:w="706"/>
              <w:gridCol w:w="680"/>
              <w:gridCol w:w="514"/>
              <w:gridCol w:w="612"/>
              <w:gridCol w:w="660"/>
              <w:gridCol w:w="564"/>
              <w:gridCol w:w="684"/>
              <w:gridCol w:w="720"/>
              <w:gridCol w:w="744"/>
              <w:gridCol w:w="552"/>
              <w:gridCol w:w="708"/>
              <w:gridCol w:w="624"/>
              <w:gridCol w:w="660"/>
              <w:gridCol w:w="516"/>
              <w:gridCol w:w="804"/>
              <w:gridCol w:w="860"/>
              <w:gridCol w:w="487"/>
            </w:tblGrid>
            <w:tr w14:paraId="0C484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3166" w:type="dxa"/>
                  <w:gridSpan w:val="5"/>
                  <w:vAlign w:val="center"/>
                </w:tcPr>
                <w:p w14:paraId="012568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废水产生情况</w:t>
                  </w:r>
                </w:p>
              </w:tc>
              <w:tc>
                <w:tcPr>
                  <w:tcW w:w="2350" w:type="dxa"/>
                  <w:gridSpan w:val="4"/>
                  <w:vAlign w:val="center"/>
                </w:tcPr>
                <w:p w14:paraId="3E35877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治理设施情况</w:t>
                  </w:r>
                </w:p>
              </w:tc>
              <w:tc>
                <w:tcPr>
                  <w:tcW w:w="4032" w:type="dxa"/>
                  <w:gridSpan w:val="6"/>
                  <w:vAlign w:val="center"/>
                </w:tcPr>
                <w:p w14:paraId="3628629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废水排放情况</w:t>
                  </w:r>
                </w:p>
              </w:tc>
              <w:tc>
                <w:tcPr>
                  <w:tcW w:w="1980" w:type="dxa"/>
                  <w:gridSpan w:val="3"/>
                  <w:vAlign w:val="center"/>
                </w:tcPr>
                <w:p w14:paraId="0911C2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排放口基本情况</w:t>
                  </w:r>
                </w:p>
              </w:tc>
              <w:tc>
                <w:tcPr>
                  <w:tcW w:w="860" w:type="dxa"/>
                  <w:vMerge w:val="restart"/>
                  <w:vAlign w:val="center"/>
                </w:tcPr>
                <w:p w14:paraId="63C9CD4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排放标准</w:t>
                  </w:r>
                </w:p>
              </w:tc>
              <w:tc>
                <w:tcPr>
                  <w:tcW w:w="487" w:type="dxa"/>
                  <w:vMerge w:val="restart"/>
                  <w:vAlign w:val="center"/>
                </w:tcPr>
                <w:p w14:paraId="7FCD112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自行监测要求</w:t>
                  </w:r>
                </w:p>
              </w:tc>
            </w:tr>
            <w:tr w14:paraId="33B83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426" w:type="dxa"/>
                  <w:vAlign w:val="center"/>
                </w:tcPr>
                <w:p w14:paraId="4276147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产污环节</w:t>
                  </w:r>
                </w:p>
              </w:tc>
              <w:tc>
                <w:tcPr>
                  <w:tcW w:w="650" w:type="dxa"/>
                  <w:vAlign w:val="center"/>
                </w:tcPr>
                <w:p w14:paraId="2BABD96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废水产生量</w:t>
                  </w:r>
                </w:p>
                <w:p w14:paraId="122A0CD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t/a</w:t>
                  </w:r>
                </w:p>
              </w:tc>
              <w:tc>
                <w:tcPr>
                  <w:tcW w:w="704" w:type="dxa"/>
                  <w:shd w:val="clear" w:color="auto" w:fill="auto"/>
                  <w:vAlign w:val="center"/>
                </w:tcPr>
                <w:p w14:paraId="143837E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cs="Times New Roman"/>
                      <w:b/>
                      <w:bCs/>
                      <w:color w:val="000000"/>
                      <w:kern w:val="2"/>
                      <w:sz w:val="21"/>
                      <w:szCs w:val="21"/>
                      <w:highlight w:val="none"/>
                      <w:lang w:val="en-US" w:eastAsia="zh-CN"/>
                    </w:rPr>
                    <w:t>污染物种类</w:t>
                  </w:r>
                </w:p>
              </w:tc>
              <w:tc>
                <w:tcPr>
                  <w:tcW w:w="706" w:type="dxa"/>
                  <w:vAlign w:val="center"/>
                </w:tcPr>
                <w:p w14:paraId="77CC0B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产生浓度</w:t>
                  </w:r>
                </w:p>
                <w:p w14:paraId="4EFD1F1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mg/L</w:t>
                  </w:r>
                </w:p>
              </w:tc>
              <w:tc>
                <w:tcPr>
                  <w:tcW w:w="680" w:type="dxa"/>
                  <w:vAlign w:val="center"/>
                </w:tcPr>
                <w:p w14:paraId="1D021F4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污染物产生量t/a</w:t>
                  </w:r>
                </w:p>
              </w:tc>
              <w:tc>
                <w:tcPr>
                  <w:tcW w:w="514" w:type="dxa"/>
                  <w:vAlign w:val="center"/>
                </w:tcPr>
                <w:p w14:paraId="5B92EF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治理工艺</w:t>
                  </w:r>
                </w:p>
              </w:tc>
              <w:tc>
                <w:tcPr>
                  <w:tcW w:w="612" w:type="dxa"/>
                  <w:vAlign w:val="center"/>
                </w:tcPr>
                <w:p w14:paraId="11C418D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处理能力t/d</w:t>
                  </w:r>
                </w:p>
              </w:tc>
              <w:tc>
                <w:tcPr>
                  <w:tcW w:w="660" w:type="dxa"/>
                  <w:vAlign w:val="center"/>
                </w:tcPr>
                <w:p w14:paraId="48C036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治理效率%</w:t>
                  </w:r>
                </w:p>
              </w:tc>
              <w:tc>
                <w:tcPr>
                  <w:tcW w:w="564" w:type="dxa"/>
                  <w:vAlign w:val="center"/>
                </w:tcPr>
                <w:p w14:paraId="12A2866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是否可行</w:t>
                  </w:r>
                </w:p>
              </w:tc>
              <w:tc>
                <w:tcPr>
                  <w:tcW w:w="684" w:type="dxa"/>
                  <w:vAlign w:val="center"/>
                </w:tcPr>
                <w:p w14:paraId="7F93BC2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废水排放量t/a</w:t>
                  </w:r>
                </w:p>
              </w:tc>
              <w:tc>
                <w:tcPr>
                  <w:tcW w:w="720" w:type="dxa"/>
                  <w:vAlign w:val="center"/>
                </w:tcPr>
                <w:p w14:paraId="1198561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排放浓度mg/L</w:t>
                  </w:r>
                </w:p>
              </w:tc>
              <w:tc>
                <w:tcPr>
                  <w:tcW w:w="744" w:type="dxa"/>
                  <w:vAlign w:val="center"/>
                </w:tcPr>
                <w:p w14:paraId="163A429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污染物排放量t/a</w:t>
                  </w:r>
                </w:p>
              </w:tc>
              <w:tc>
                <w:tcPr>
                  <w:tcW w:w="552" w:type="dxa"/>
                  <w:vAlign w:val="center"/>
                </w:tcPr>
                <w:p w14:paraId="19843DD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排放方式</w:t>
                  </w:r>
                </w:p>
              </w:tc>
              <w:tc>
                <w:tcPr>
                  <w:tcW w:w="708" w:type="dxa"/>
                  <w:vAlign w:val="center"/>
                </w:tcPr>
                <w:p w14:paraId="00913E9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排放去向</w:t>
                  </w:r>
                </w:p>
              </w:tc>
              <w:tc>
                <w:tcPr>
                  <w:tcW w:w="624" w:type="dxa"/>
                  <w:vAlign w:val="center"/>
                </w:tcPr>
                <w:p w14:paraId="768C8CB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排放规律</w:t>
                  </w:r>
                </w:p>
              </w:tc>
              <w:tc>
                <w:tcPr>
                  <w:tcW w:w="660" w:type="dxa"/>
                  <w:vAlign w:val="center"/>
                </w:tcPr>
                <w:p w14:paraId="51198E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编号及名称</w:t>
                  </w:r>
                </w:p>
              </w:tc>
              <w:tc>
                <w:tcPr>
                  <w:tcW w:w="516" w:type="dxa"/>
                  <w:vAlign w:val="center"/>
                </w:tcPr>
                <w:p w14:paraId="3F8EE42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类型</w:t>
                  </w:r>
                </w:p>
              </w:tc>
              <w:tc>
                <w:tcPr>
                  <w:tcW w:w="804" w:type="dxa"/>
                  <w:vAlign w:val="center"/>
                </w:tcPr>
                <w:p w14:paraId="5080D7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r>
                    <w:rPr>
                      <w:rFonts w:hint="default" w:ascii="Times New Roman" w:hAnsi="Times New Roman" w:cs="Times New Roman"/>
                      <w:b/>
                      <w:bCs/>
                      <w:color w:val="000000"/>
                      <w:kern w:val="2"/>
                      <w:sz w:val="21"/>
                      <w:szCs w:val="21"/>
                      <w:highlight w:val="none"/>
                      <w:lang w:val="en-US" w:eastAsia="zh-CN"/>
                    </w:rPr>
                    <w:t>坐标</w:t>
                  </w:r>
                </w:p>
              </w:tc>
              <w:tc>
                <w:tcPr>
                  <w:tcW w:w="860" w:type="dxa"/>
                  <w:vMerge w:val="continue"/>
                  <w:vAlign w:val="center"/>
                </w:tcPr>
                <w:p w14:paraId="3B1BDB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p>
              </w:tc>
              <w:tc>
                <w:tcPr>
                  <w:tcW w:w="487" w:type="dxa"/>
                  <w:vMerge w:val="continue"/>
                  <w:vAlign w:val="center"/>
                </w:tcPr>
                <w:p w14:paraId="0B4F9D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b/>
                      <w:bCs/>
                      <w:color w:val="000000"/>
                      <w:kern w:val="2"/>
                      <w:sz w:val="21"/>
                      <w:szCs w:val="21"/>
                      <w:highlight w:val="none"/>
                      <w:lang w:val="en-US" w:eastAsia="zh-CN"/>
                    </w:rPr>
                  </w:pPr>
                </w:p>
              </w:tc>
            </w:tr>
            <w:tr w14:paraId="59D2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94" w:hRule="atLeast"/>
                <w:jc w:val="center"/>
              </w:trPr>
              <w:tc>
                <w:tcPr>
                  <w:tcW w:w="426" w:type="dxa"/>
                  <w:vMerge w:val="restart"/>
                  <w:vAlign w:val="center"/>
                </w:tcPr>
                <w:p w14:paraId="229BD6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生活用水</w:t>
                  </w:r>
                </w:p>
              </w:tc>
              <w:tc>
                <w:tcPr>
                  <w:tcW w:w="650" w:type="dxa"/>
                  <w:vMerge w:val="restart"/>
                  <w:vAlign w:val="center"/>
                </w:tcPr>
                <w:p w14:paraId="04C77F7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eastAsia" w:ascii="Times New Roman" w:hAnsi="Times New Roman" w:cs="Times New Roman"/>
                      <w:color w:val="000000"/>
                      <w:kern w:val="2"/>
                      <w:sz w:val="21"/>
                      <w:szCs w:val="21"/>
                      <w:highlight w:val="none"/>
                      <w:lang w:val="en-US" w:eastAsia="zh-CN"/>
                    </w:rPr>
                    <w:t>600</w:t>
                  </w:r>
                </w:p>
              </w:tc>
              <w:tc>
                <w:tcPr>
                  <w:tcW w:w="704" w:type="dxa"/>
                  <w:shd w:val="clear" w:color="auto" w:fill="auto"/>
                  <w:vAlign w:val="center"/>
                </w:tcPr>
                <w:p w14:paraId="301EC7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2"/>
                      <w:sz w:val="21"/>
                      <w:szCs w:val="21"/>
                      <w:highlight w:val="none"/>
                      <w:lang w:val="en-US" w:eastAsia="zh-CN" w:bidi="ar-SA"/>
                    </w:rPr>
                    <w:t>COD</w:t>
                  </w:r>
                </w:p>
              </w:tc>
              <w:tc>
                <w:tcPr>
                  <w:tcW w:w="706" w:type="dxa"/>
                  <w:vAlign w:val="center"/>
                </w:tcPr>
                <w:p w14:paraId="0D63A08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300</w:t>
                  </w:r>
                </w:p>
              </w:tc>
              <w:tc>
                <w:tcPr>
                  <w:tcW w:w="680" w:type="dxa"/>
                  <w:vAlign w:val="center"/>
                </w:tcPr>
                <w:p w14:paraId="0DFA6119">
                  <w:pPr>
                    <w:keepNext w:val="0"/>
                    <w:keepLines w:val="0"/>
                    <w:widowControl/>
                    <w:suppressLineNumbers w:val="0"/>
                    <w:jc w:val="center"/>
                    <w:textAlignment w:val="center"/>
                    <w:rPr>
                      <w:rFonts w:hint="default" w:ascii="Times New Roman" w:hAnsi="Times New Roman" w:cs="Times New Roman"/>
                      <w:color w:val="000000"/>
                      <w:kern w:val="2"/>
                      <w:sz w:val="21"/>
                      <w:szCs w:val="21"/>
                      <w:highlight w:val="none"/>
                      <w:lang w:val="en-US" w:eastAsia="zh-CN"/>
                    </w:rPr>
                  </w:pPr>
                  <w:r>
                    <w:rPr>
                      <w:rFonts w:hint="default" w:ascii="Times New Roman" w:hAnsi="Times New Roman" w:eastAsia="Nirmala Text Semilight" w:cs="Times New Roman"/>
                      <w:i w:val="0"/>
                      <w:iCs w:val="0"/>
                      <w:color w:val="000000"/>
                      <w:kern w:val="0"/>
                      <w:sz w:val="21"/>
                      <w:szCs w:val="21"/>
                      <w:u w:val="none"/>
                      <w:lang w:val="en-US" w:eastAsia="zh-CN" w:bidi="ar"/>
                    </w:rPr>
                    <w:t>0.18</w:t>
                  </w:r>
                </w:p>
              </w:tc>
              <w:tc>
                <w:tcPr>
                  <w:tcW w:w="514" w:type="dxa"/>
                  <w:vMerge w:val="restart"/>
                  <w:vAlign w:val="center"/>
                </w:tcPr>
                <w:p w14:paraId="5A15922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化粪池</w:t>
                  </w:r>
                </w:p>
              </w:tc>
              <w:tc>
                <w:tcPr>
                  <w:tcW w:w="612" w:type="dxa"/>
                  <w:vMerge w:val="restart"/>
                  <w:vAlign w:val="center"/>
                </w:tcPr>
                <w:p w14:paraId="5B8919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30</w:t>
                  </w:r>
                </w:p>
              </w:tc>
              <w:tc>
                <w:tcPr>
                  <w:tcW w:w="660" w:type="dxa"/>
                  <w:vAlign w:val="center"/>
                </w:tcPr>
                <w:p w14:paraId="15C4B2F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eastAsia" w:ascii="Times New Roman" w:hAnsi="Times New Roman" w:cs="Times New Roman"/>
                      <w:color w:val="000000"/>
                      <w:kern w:val="2"/>
                      <w:sz w:val="21"/>
                      <w:szCs w:val="21"/>
                      <w:highlight w:val="none"/>
                      <w:lang w:val="en-US" w:eastAsia="zh-CN"/>
                    </w:rPr>
                    <w:t>15</w:t>
                  </w:r>
                </w:p>
              </w:tc>
              <w:tc>
                <w:tcPr>
                  <w:tcW w:w="564" w:type="dxa"/>
                  <w:vMerge w:val="restart"/>
                  <w:vAlign w:val="center"/>
                </w:tcPr>
                <w:p w14:paraId="0622846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是</w:t>
                  </w:r>
                </w:p>
              </w:tc>
              <w:tc>
                <w:tcPr>
                  <w:tcW w:w="684" w:type="dxa"/>
                  <w:vMerge w:val="restart"/>
                  <w:vAlign w:val="center"/>
                </w:tcPr>
                <w:p w14:paraId="7878EE1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eastAsia" w:ascii="Times New Roman" w:hAnsi="Times New Roman" w:cs="Times New Roman"/>
                      <w:color w:val="000000"/>
                      <w:kern w:val="2"/>
                      <w:sz w:val="21"/>
                      <w:szCs w:val="21"/>
                      <w:highlight w:val="none"/>
                      <w:lang w:val="en-US" w:eastAsia="zh-CN"/>
                    </w:rPr>
                    <w:t>600</w:t>
                  </w:r>
                </w:p>
              </w:tc>
              <w:tc>
                <w:tcPr>
                  <w:tcW w:w="720" w:type="dxa"/>
                  <w:vAlign w:val="center"/>
                </w:tcPr>
                <w:p w14:paraId="6ADEC0B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255</w:t>
                  </w:r>
                </w:p>
              </w:tc>
              <w:tc>
                <w:tcPr>
                  <w:tcW w:w="744" w:type="dxa"/>
                  <w:vAlign w:val="center"/>
                </w:tcPr>
                <w:p w14:paraId="077D45D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0.153</w:t>
                  </w:r>
                </w:p>
              </w:tc>
              <w:tc>
                <w:tcPr>
                  <w:tcW w:w="552" w:type="dxa"/>
                  <w:vMerge w:val="restart"/>
                  <w:vAlign w:val="center"/>
                </w:tcPr>
                <w:p w14:paraId="5FDAD1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间接排放</w:t>
                  </w:r>
                </w:p>
              </w:tc>
              <w:tc>
                <w:tcPr>
                  <w:tcW w:w="708" w:type="dxa"/>
                  <w:vMerge w:val="restart"/>
                  <w:vAlign w:val="center"/>
                </w:tcPr>
                <w:p w14:paraId="6C2AB3E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排入龙湖工业园污水处理厂深度处理后最终排至龙河</w:t>
                  </w:r>
                </w:p>
              </w:tc>
              <w:tc>
                <w:tcPr>
                  <w:tcW w:w="624" w:type="dxa"/>
                  <w:vMerge w:val="restart"/>
                  <w:vAlign w:val="center"/>
                </w:tcPr>
                <w:p w14:paraId="5CBDFB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间断排放，流量不稳定，但不属于冲击波型</w:t>
                  </w:r>
                </w:p>
              </w:tc>
              <w:tc>
                <w:tcPr>
                  <w:tcW w:w="660" w:type="dxa"/>
                  <w:vMerge w:val="restart"/>
                  <w:vAlign w:val="center"/>
                </w:tcPr>
                <w:p w14:paraId="005349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DW</w:t>
                  </w:r>
                </w:p>
                <w:p w14:paraId="705A4CE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001</w:t>
                  </w:r>
                </w:p>
              </w:tc>
              <w:tc>
                <w:tcPr>
                  <w:tcW w:w="516" w:type="dxa"/>
                  <w:vMerge w:val="restart"/>
                  <w:vAlign w:val="center"/>
                </w:tcPr>
                <w:p w14:paraId="0CDC01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一般排放口</w:t>
                  </w:r>
                </w:p>
              </w:tc>
              <w:tc>
                <w:tcPr>
                  <w:tcW w:w="804" w:type="dxa"/>
                  <w:vMerge w:val="restart"/>
                  <w:vAlign w:val="center"/>
                </w:tcPr>
                <w:p w14:paraId="18BA67B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经度116°</w:t>
                  </w:r>
                  <w:r>
                    <w:rPr>
                      <w:rFonts w:hint="default" w:ascii="Times New Roman" w:hAnsi="Times New Roman" w:cs="Times New Roman"/>
                      <w:sz w:val="21"/>
                      <w:szCs w:val="21"/>
                      <w:lang w:val="en-US" w:eastAsia="zh-CN"/>
                    </w:rPr>
                    <w:t>50</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47.14</w:t>
                  </w:r>
                  <w:r>
                    <w:rPr>
                      <w:rFonts w:hint="default" w:ascii="Times New Roman" w:hAnsi="Times New Roman" w:eastAsia="宋体" w:cs="Times New Roman"/>
                      <w:sz w:val="21"/>
                      <w:szCs w:val="21"/>
                      <w:lang w:val="en-US" w:eastAsia="zh-CN"/>
                    </w:rPr>
                    <w:t>″</w:t>
                  </w:r>
                </w:p>
                <w:p w14:paraId="4FDBF4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eastAsia="宋体" w:cs="Times New Roman"/>
                      <w:sz w:val="21"/>
                      <w:szCs w:val="21"/>
                      <w:lang w:val="en-US" w:eastAsia="zh-CN"/>
                    </w:rPr>
                    <w:t>纬度3</w:t>
                  </w: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11.66</w:t>
                  </w:r>
                  <w:r>
                    <w:rPr>
                      <w:rFonts w:hint="default" w:ascii="Times New Roman" w:hAnsi="Times New Roman" w:eastAsia="宋体" w:cs="Times New Roman"/>
                      <w:sz w:val="21"/>
                      <w:szCs w:val="21"/>
                      <w:lang w:val="en-US" w:eastAsia="zh-CN"/>
                    </w:rPr>
                    <w:t>″</w:t>
                  </w:r>
                </w:p>
              </w:tc>
              <w:tc>
                <w:tcPr>
                  <w:tcW w:w="860" w:type="dxa"/>
                  <w:vMerge w:val="restart"/>
                  <w:vAlign w:val="center"/>
                </w:tcPr>
                <w:p w14:paraId="7379F96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《污水综合排放标准》（GB8978-1996）中三级标准；龙湖污水处理厂接管标准</w:t>
                  </w:r>
                </w:p>
              </w:tc>
              <w:tc>
                <w:tcPr>
                  <w:tcW w:w="487" w:type="dxa"/>
                  <w:vMerge w:val="restart"/>
                  <w:vAlign w:val="center"/>
                </w:tcPr>
                <w:p w14:paraId="02ADAF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w:t>
                  </w:r>
                </w:p>
              </w:tc>
            </w:tr>
            <w:tr w14:paraId="65F91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94" w:hRule="atLeast"/>
                <w:jc w:val="center"/>
              </w:trPr>
              <w:tc>
                <w:tcPr>
                  <w:tcW w:w="426" w:type="dxa"/>
                  <w:vMerge w:val="continue"/>
                  <w:vAlign w:val="center"/>
                </w:tcPr>
                <w:p w14:paraId="1F885B4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50" w:type="dxa"/>
                  <w:vMerge w:val="continue"/>
                  <w:vAlign w:val="center"/>
                </w:tcPr>
                <w:p w14:paraId="66EBF45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704" w:type="dxa"/>
                  <w:shd w:val="clear" w:color="auto" w:fill="auto"/>
                  <w:vAlign w:val="center"/>
                </w:tcPr>
                <w:p w14:paraId="70D92B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2"/>
                      <w:sz w:val="21"/>
                      <w:szCs w:val="21"/>
                      <w:highlight w:val="none"/>
                      <w:lang w:val="en-US" w:eastAsia="zh-CN"/>
                    </w:rPr>
                    <w:t>BOD</w:t>
                  </w:r>
                  <w:r>
                    <w:rPr>
                      <w:rFonts w:hint="default" w:ascii="Times New Roman" w:hAnsi="Times New Roman" w:cs="Times New Roman"/>
                      <w:color w:val="000000"/>
                      <w:kern w:val="2"/>
                      <w:sz w:val="21"/>
                      <w:szCs w:val="21"/>
                      <w:highlight w:val="none"/>
                      <w:vertAlign w:val="subscript"/>
                      <w:lang w:val="en-US" w:eastAsia="zh-CN"/>
                    </w:rPr>
                    <w:t>5</w:t>
                  </w:r>
                </w:p>
              </w:tc>
              <w:tc>
                <w:tcPr>
                  <w:tcW w:w="706" w:type="dxa"/>
                  <w:vAlign w:val="center"/>
                </w:tcPr>
                <w:p w14:paraId="46EE042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150</w:t>
                  </w:r>
                </w:p>
              </w:tc>
              <w:tc>
                <w:tcPr>
                  <w:tcW w:w="680" w:type="dxa"/>
                  <w:vAlign w:val="center"/>
                </w:tcPr>
                <w:p w14:paraId="62AA56F9">
                  <w:pPr>
                    <w:keepNext w:val="0"/>
                    <w:keepLines w:val="0"/>
                    <w:widowControl/>
                    <w:suppressLineNumbers w:val="0"/>
                    <w:jc w:val="center"/>
                    <w:textAlignment w:val="center"/>
                    <w:rPr>
                      <w:rFonts w:hint="default" w:ascii="Times New Roman" w:hAnsi="Times New Roman" w:cs="Times New Roman"/>
                      <w:color w:val="000000"/>
                      <w:kern w:val="2"/>
                      <w:sz w:val="21"/>
                      <w:szCs w:val="21"/>
                      <w:highlight w:val="none"/>
                      <w:lang w:val="en-US" w:eastAsia="zh-CN"/>
                    </w:rPr>
                  </w:pPr>
                  <w:r>
                    <w:rPr>
                      <w:rFonts w:hint="default" w:ascii="Times New Roman" w:hAnsi="Times New Roman" w:eastAsia="Nirmala Text Semilight" w:cs="Times New Roman"/>
                      <w:i w:val="0"/>
                      <w:iCs w:val="0"/>
                      <w:color w:val="000000"/>
                      <w:kern w:val="0"/>
                      <w:sz w:val="21"/>
                      <w:szCs w:val="21"/>
                      <w:u w:val="none"/>
                      <w:lang w:val="en-US" w:eastAsia="zh-CN" w:bidi="ar"/>
                    </w:rPr>
                    <w:t>0.09</w:t>
                  </w:r>
                </w:p>
              </w:tc>
              <w:tc>
                <w:tcPr>
                  <w:tcW w:w="514" w:type="dxa"/>
                  <w:vMerge w:val="continue"/>
                  <w:vAlign w:val="center"/>
                </w:tcPr>
                <w:p w14:paraId="614B7E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12" w:type="dxa"/>
                  <w:vMerge w:val="continue"/>
                  <w:vAlign w:val="center"/>
                </w:tcPr>
                <w:p w14:paraId="18321C7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60" w:type="dxa"/>
                  <w:vAlign w:val="center"/>
                </w:tcPr>
                <w:p w14:paraId="5E06D05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eastAsia" w:ascii="Times New Roman" w:hAnsi="Times New Roman" w:cs="Times New Roman"/>
                      <w:color w:val="000000"/>
                      <w:kern w:val="2"/>
                      <w:sz w:val="21"/>
                      <w:szCs w:val="21"/>
                      <w:highlight w:val="none"/>
                      <w:lang w:val="en-US" w:eastAsia="zh-CN"/>
                    </w:rPr>
                    <w:t>20</w:t>
                  </w:r>
                </w:p>
              </w:tc>
              <w:tc>
                <w:tcPr>
                  <w:tcW w:w="564" w:type="dxa"/>
                  <w:vMerge w:val="continue"/>
                  <w:vAlign w:val="center"/>
                </w:tcPr>
                <w:p w14:paraId="13B0941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84" w:type="dxa"/>
                  <w:vMerge w:val="continue"/>
                  <w:vAlign w:val="center"/>
                </w:tcPr>
                <w:p w14:paraId="23D81E3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720" w:type="dxa"/>
                  <w:vAlign w:val="center"/>
                </w:tcPr>
                <w:p w14:paraId="35325FF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120</w:t>
                  </w:r>
                </w:p>
              </w:tc>
              <w:tc>
                <w:tcPr>
                  <w:tcW w:w="744" w:type="dxa"/>
                  <w:vAlign w:val="center"/>
                </w:tcPr>
                <w:p w14:paraId="5973ABD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0.072</w:t>
                  </w:r>
                </w:p>
              </w:tc>
              <w:tc>
                <w:tcPr>
                  <w:tcW w:w="552" w:type="dxa"/>
                  <w:vMerge w:val="continue"/>
                  <w:vAlign w:val="center"/>
                </w:tcPr>
                <w:p w14:paraId="49F527C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708" w:type="dxa"/>
                  <w:vMerge w:val="continue"/>
                  <w:vAlign w:val="center"/>
                </w:tcPr>
                <w:p w14:paraId="000A6A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24" w:type="dxa"/>
                  <w:vMerge w:val="continue"/>
                  <w:vAlign w:val="center"/>
                </w:tcPr>
                <w:p w14:paraId="47BADE9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60" w:type="dxa"/>
                  <w:vMerge w:val="continue"/>
                  <w:vAlign w:val="center"/>
                </w:tcPr>
                <w:p w14:paraId="1084659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516" w:type="dxa"/>
                  <w:vMerge w:val="continue"/>
                  <w:vAlign w:val="center"/>
                </w:tcPr>
                <w:p w14:paraId="6B4D995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804" w:type="dxa"/>
                  <w:vMerge w:val="continue"/>
                  <w:vAlign w:val="center"/>
                </w:tcPr>
                <w:p w14:paraId="62BF1D8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860" w:type="dxa"/>
                  <w:vMerge w:val="continue"/>
                  <w:vAlign w:val="center"/>
                </w:tcPr>
                <w:p w14:paraId="116C93D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487" w:type="dxa"/>
                  <w:vMerge w:val="continue"/>
                  <w:vAlign w:val="center"/>
                </w:tcPr>
                <w:p w14:paraId="3C63B5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r>
            <w:tr w14:paraId="7FA12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94" w:hRule="atLeast"/>
                <w:jc w:val="center"/>
              </w:trPr>
              <w:tc>
                <w:tcPr>
                  <w:tcW w:w="426" w:type="dxa"/>
                  <w:vMerge w:val="continue"/>
                  <w:vAlign w:val="center"/>
                </w:tcPr>
                <w:p w14:paraId="50C81F9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50" w:type="dxa"/>
                  <w:vMerge w:val="continue"/>
                  <w:vAlign w:val="center"/>
                </w:tcPr>
                <w:p w14:paraId="55C8BF2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704" w:type="dxa"/>
                  <w:shd w:val="clear" w:color="auto" w:fill="auto"/>
                  <w:vAlign w:val="center"/>
                </w:tcPr>
                <w:p w14:paraId="7104E41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2"/>
                      <w:sz w:val="21"/>
                      <w:szCs w:val="21"/>
                      <w:highlight w:val="none"/>
                      <w:lang w:val="en-US" w:eastAsia="zh-CN" w:bidi="ar-SA"/>
                    </w:rPr>
                    <w:t>SS</w:t>
                  </w:r>
                </w:p>
              </w:tc>
              <w:tc>
                <w:tcPr>
                  <w:tcW w:w="706" w:type="dxa"/>
                  <w:vAlign w:val="center"/>
                </w:tcPr>
                <w:p w14:paraId="0714D9E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200</w:t>
                  </w:r>
                </w:p>
              </w:tc>
              <w:tc>
                <w:tcPr>
                  <w:tcW w:w="680" w:type="dxa"/>
                  <w:vAlign w:val="center"/>
                </w:tcPr>
                <w:p w14:paraId="6C7E1D47">
                  <w:pPr>
                    <w:keepNext w:val="0"/>
                    <w:keepLines w:val="0"/>
                    <w:widowControl/>
                    <w:suppressLineNumbers w:val="0"/>
                    <w:jc w:val="center"/>
                    <w:textAlignment w:val="center"/>
                    <w:rPr>
                      <w:rFonts w:hint="default" w:ascii="Times New Roman" w:hAnsi="Times New Roman" w:cs="Times New Roman"/>
                      <w:color w:val="000000"/>
                      <w:kern w:val="2"/>
                      <w:sz w:val="21"/>
                      <w:szCs w:val="21"/>
                      <w:highlight w:val="none"/>
                      <w:lang w:val="en-US" w:eastAsia="zh-CN"/>
                    </w:rPr>
                  </w:pPr>
                  <w:r>
                    <w:rPr>
                      <w:rFonts w:hint="default" w:ascii="Times New Roman" w:hAnsi="Times New Roman" w:eastAsia="Nirmala Text Semilight" w:cs="Times New Roman"/>
                      <w:i w:val="0"/>
                      <w:iCs w:val="0"/>
                      <w:color w:val="000000"/>
                      <w:kern w:val="0"/>
                      <w:sz w:val="21"/>
                      <w:szCs w:val="21"/>
                      <w:u w:val="none"/>
                      <w:lang w:val="en-US" w:eastAsia="zh-CN" w:bidi="ar"/>
                    </w:rPr>
                    <w:t>0.12</w:t>
                  </w:r>
                </w:p>
              </w:tc>
              <w:tc>
                <w:tcPr>
                  <w:tcW w:w="514" w:type="dxa"/>
                  <w:vMerge w:val="continue"/>
                  <w:vAlign w:val="center"/>
                </w:tcPr>
                <w:p w14:paraId="0E363B0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12" w:type="dxa"/>
                  <w:vMerge w:val="continue"/>
                  <w:vAlign w:val="center"/>
                </w:tcPr>
                <w:p w14:paraId="12D5A0F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60" w:type="dxa"/>
                  <w:vAlign w:val="center"/>
                </w:tcPr>
                <w:p w14:paraId="4DC1CBE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eastAsia" w:ascii="Times New Roman" w:hAnsi="Times New Roman" w:cs="Times New Roman"/>
                      <w:color w:val="000000"/>
                      <w:kern w:val="2"/>
                      <w:sz w:val="21"/>
                      <w:szCs w:val="21"/>
                      <w:highlight w:val="none"/>
                      <w:lang w:val="en-US" w:eastAsia="zh-CN"/>
                    </w:rPr>
                    <w:t>30</w:t>
                  </w:r>
                </w:p>
              </w:tc>
              <w:tc>
                <w:tcPr>
                  <w:tcW w:w="564" w:type="dxa"/>
                  <w:vMerge w:val="continue"/>
                  <w:vAlign w:val="center"/>
                </w:tcPr>
                <w:p w14:paraId="051E162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84" w:type="dxa"/>
                  <w:vMerge w:val="continue"/>
                  <w:vAlign w:val="center"/>
                </w:tcPr>
                <w:p w14:paraId="37E3318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720" w:type="dxa"/>
                  <w:vAlign w:val="center"/>
                </w:tcPr>
                <w:p w14:paraId="5964920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140</w:t>
                  </w:r>
                </w:p>
              </w:tc>
              <w:tc>
                <w:tcPr>
                  <w:tcW w:w="744" w:type="dxa"/>
                  <w:vAlign w:val="center"/>
                </w:tcPr>
                <w:p w14:paraId="69A9783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0.084</w:t>
                  </w:r>
                </w:p>
              </w:tc>
              <w:tc>
                <w:tcPr>
                  <w:tcW w:w="552" w:type="dxa"/>
                  <w:vMerge w:val="continue"/>
                  <w:vAlign w:val="center"/>
                </w:tcPr>
                <w:p w14:paraId="222DC0A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708" w:type="dxa"/>
                  <w:vMerge w:val="continue"/>
                  <w:vAlign w:val="center"/>
                </w:tcPr>
                <w:p w14:paraId="2962FE5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24" w:type="dxa"/>
                  <w:vMerge w:val="continue"/>
                  <w:vAlign w:val="center"/>
                </w:tcPr>
                <w:p w14:paraId="14D9742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60" w:type="dxa"/>
                  <w:vMerge w:val="continue"/>
                  <w:vAlign w:val="center"/>
                </w:tcPr>
                <w:p w14:paraId="0D9BA11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516" w:type="dxa"/>
                  <w:vMerge w:val="continue"/>
                  <w:vAlign w:val="center"/>
                </w:tcPr>
                <w:p w14:paraId="2808FC7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804" w:type="dxa"/>
                  <w:vMerge w:val="continue"/>
                  <w:vAlign w:val="center"/>
                </w:tcPr>
                <w:p w14:paraId="1BA8B24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860" w:type="dxa"/>
                  <w:vMerge w:val="continue"/>
                  <w:vAlign w:val="center"/>
                </w:tcPr>
                <w:p w14:paraId="02A1B7E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487" w:type="dxa"/>
                  <w:vMerge w:val="continue"/>
                  <w:vAlign w:val="center"/>
                </w:tcPr>
                <w:p w14:paraId="3DF999B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r>
            <w:tr w14:paraId="64959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94" w:hRule="atLeast"/>
                <w:jc w:val="center"/>
              </w:trPr>
              <w:tc>
                <w:tcPr>
                  <w:tcW w:w="426" w:type="dxa"/>
                  <w:vMerge w:val="continue"/>
                  <w:vAlign w:val="center"/>
                </w:tcPr>
                <w:p w14:paraId="1238E05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50" w:type="dxa"/>
                  <w:vMerge w:val="continue"/>
                  <w:vAlign w:val="center"/>
                </w:tcPr>
                <w:p w14:paraId="507C218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704" w:type="dxa"/>
                  <w:shd w:val="clear" w:color="auto" w:fill="auto"/>
                  <w:vAlign w:val="center"/>
                </w:tcPr>
                <w:p w14:paraId="479B4C4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2"/>
                      <w:sz w:val="21"/>
                      <w:szCs w:val="21"/>
                      <w:highlight w:val="none"/>
                      <w:lang w:val="en-US" w:eastAsia="zh-CN" w:bidi="ar-SA"/>
                    </w:rPr>
                    <w:t>氨氮</w:t>
                  </w:r>
                </w:p>
              </w:tc>
              <w:tc>
                <w:tcPr>
                  <w:tcW w:w="706" w:type="dxa"/>
                  <w:vAlign w:val="center"/>
                </w:tcPr>
                <w:p w14:paraId="31CF5A3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default" w:ascii="Times New Roman" w:hAnsi="Times New Roman" w:cs="Times New Roman"/>
                      <w:color w:val="000000"/>
                      <w:kern w:val="2"/>
                      <w:sz w:val="21"/>
                      <w:szCs w:val="21"/>
                      <w:highlight w:val="none"/>
                      <w:lang w:val="en-US" w:eastAsia="zh-CN"/>
                    </w:rPr>
                    <w:t>30</w:t>
                  </w:r>
                </w:p>
              </w:tc>
              <w:tc>
                <w:tcPr>
                  <w:tcW w:w="680" w:type="dxa"/>
                  <w:vAlign w:val="center"/>
                </w:tcPr>
                <w:p w14:paraId="7BAE4455">
                  <w:pPr>
                    <w:keepNext w:val="0"/>
                    <w:keepLines w:val="0"/>
                    <w:widowControl/>
                    <w:suppressLineNumbers w:val="0"/>
                    <w:jc w:val="center"/>
                    <w:textAlignment w:val="center"/>
                    <w:rPr>
                      <w:rFonts w:hint="default" w:ascii="Times New Roman" w:hAnsi="Times New Roman" w:cs="Times New Roman"/>
                      <w:color w:val="000000"/>
                      <w:kern w:val="2"/>
                      <w:sz w:val="21"/>
                      <w:szCs w:val="21"/>
                      <w:highlight w:val="none"/>
                      <w:lang w:val="en-US" w:eastAsia="zh-CN"/>
                    </w:rPr>
                  </w:pPr>
                  <w:r>
                    <w:rPr>
                      <w:rFonts w:hint="default" w:ascii="Times New Roman" w:hAnsi="Times New Roman" w:eastAsia="Nirmala Text Semilight" w:cs="Times New Roman"/>
                      <w:i w:val="0"/>
                      <w:iCs w:val="0"/>
                      <w:color w:val="000000"/>
                      <w:kern w:val="0"/>
                      <w:sz w:val="21"/>
                      <w:szCs w:val="21"/>
                      <w:u w:val="none"/>
                      <w:lang w:val="en-US" w:eastAsia="zh-CN" w:bidi="ar"/>
                    </w:rPr>
                    <w:t>0.02</w:t>
                  </w:r>
                </w:p>
              </w:tc>
              <w:tc>
                <w:tcPr>
                  <w:tcW w:w="514" w:type="dxa"/>
                  <w:vMerge w:val="continue"/>
                  <w:vAlign w:val="center"/>
                </w:tcPr>
                <w:p w14:paraId="1D42FF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12" w:type="dxa"/>
                  <w:vMerge w:val="continue"/>
                  <w:vAlign w:val="center"/>
                </w:tcPr>
                <w:p w14:paraId="24B9755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60" w:type="dxa"/>
                  <w:vAlign w:val="center"/>
                </w:tcPr>
                <w:p w14:paraId="2931BF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r>
                    <w:rPr>
                      <w:rFonts w:hint="eastAsia" w:ascii="Times New Roman" w:hAnsi="Times New Roman" w:cs="Times New Roman"/>
                      <w:color w:val="000000"/>
                      <w:kern w:val="2"/>
                      <w:sz w:val="21"/>
                      <w:szCs w:val="21"/>
                      <w:highlight w:val="none"/>
                      <w:lang w:val="en-US" w:eastAsia="zh-CN"/>
                    </w:rPr>
                    <w:t>5</w:t>
                  </w:r>
                </w:p>
              </w:tc>
              <w:tc>
                <w:tcPr>
                  <w:tcW w:w="564" w:type="dxa"/>
                  <w:vMerge w:val="continue"/>
                  <w:vAlign w:val="center"/>
                </w:tcPr>
                <w:p w14:paraId="33FF30B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84" w:type="dxa"/>
                  <w:vMerge w:val="continue"/>
                  <w:vAlign w:val="center"/>
                </w:tcPr>
                <w:p w14:paraId="5BBEE45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720" w:type="dxa"/>
                  <w:vAlign w:val="center"/>
                </w:tcPr>
                <w:p w14:paraId="64F4A0A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28.5</w:t>
                  </w:r>
                </w:p>
              </w:tc>
              <w:tc>
                <w:tcPr>
                  <w:tcW w:w="744" w:type="dxa"/>
                  <w:vAlign w:val="center"/>
                </w:tcPr>
                <w:p w14:paraId="3E63E29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0.017</w:t>
                  </w:r>
                </w:p>
              </w:tc>
              <w:tc>
                <w:tcPr>
                  <w:tcW w:w="552" w:type="dxa"/>
                  <w:vMerge w:val="continue"/>
                  <w:vAlign w:val="center"/>
                </w:tcPr>
                <w:p w14:paraId="18084AC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708" w:type="dxa"/>
                  <w:vMerge w:val="continue"/>
                  <w:vAlign w:val="center"/>
                </w:tcPr>
                <w:p w14:paraId="4BB48F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24" w:type="dxa"/>
                  <w:vMerge w:val="continue"/>
                  <w:vAlign w:val="center"/>
                </w:tcPr>
                <w:p w14:paraId="5BEFBB9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660" w:type="dxa"/>
                  <w:vMerge w:val="continue"/>
                  <w:vAlign w:val="center"/>
                </w:tcPr>
                <w:p w14:paraId="6157A9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516" w:type="dxa"/>
                  <w:vMerge w:val="continue"/>
                  <w:vAlign w:val="center"/>
                </w:tcPr>
                <w:p w14:paraId="489B138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804" w:type="dxa"/>
                  <w:vMerge w:val="continue"/>
                  <w:vAlign w:val="center"/>
                </w:tcPr>
                <w:p w14:paraId="20D0F2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p>
              </w:tc>
              <w:tc>
                <w:tcPr>
                  <w:tcW w:w="860" w:type="dxa"/>
                  <w:vMerge w:val="continue"/>
                  <w:vAlign w:val="center"/>
                </w:tcPr>
                <w:p w14:paraId="063E853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c>
                <w:tcPr>
                  <w:tcW w:w="487" w:type="dxa"/>
                  <w:vMerge w:val="continue"/>
                  <w:vAlign w:val="center"/>
                </w:tcPr>
                <w:p w14:paraId="2973683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rPr>
                  </w:pPr>
                </w:p>
              </w:tc>
            </w:tr>
          </w:tbl>
          <w:p w14:paraId="177D8966">
            <w:pPr>
              <w:autoSpaceDE w:val="0"/>
              <w:autoSpaceDN w:val="0"/>
              <w:adjustRightInd w:val="0"/>
              <w:snapToGrid w:val="0"/>
              <w:ind w:firstLine="480" w:firstLineChars="200"/>
              <w:jc w:val="center"/>
              <w:rPr>
                <w:rFonts w:hint="default" w:ascii="Times New Roman" w:hAnsi="Times New Roman" w:cs="Times New Roman"/>
                <w:kern w:val="0"/>
                <w:sz w:val="24"/>
                <w:szCs w:val="24"/>
              </w:rPr>
            </w:pPr>
          </w:p>
        </w:tc>
      </w:tr>
    </w:tbl>
    <w:p w14:paraId="2C43B9A4">
      <w:pPr>
        <w:pStyle w:val="20"/>
        <w:rPr>
          <w:rFonts w:hint="eastAsia"/>
          <w:lang w:val="en-US" w:eastAsia="zh-CN"/>
        </w:rPr>
        <w:sectPr>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444"/>
      </w:tblGrid>
      <w:tr w14:paraId="1923A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64" w:type="dxa"/>
            <w:noWrap w:val="0"/>
            <w:tcMar>
              <w:left w:w="28" w:type="dxa"/>
              <w:right w:w="28" w:type="dxa"/>
            </w:tcMar>
            <w:vAlign w:val="center"/>
          </w:tcPr>
          <w:p w14:paraId="2B618EF6">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w:t>
            </w:r>
          </w:p>
          <w:p w14:paraId="7DCB6E82">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期环</w:t>
            </w:r>
          </w:p>
          <w:p w14:paraId="2E81CE0D">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境影</w:t>
            </w:r>
          </w:p>
          <w:p w14:paraId="463CA07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响和</w:t>
            </w:r>
          </w:p>
          <w:p w14:paraId="50CC32E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14:paraId="318218B3">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措施</w:t>
            </w:r>
          </w:p>
        </w:tc>
        <w:tc>
          <w:tcPr>
            <w:tcW w:w="8444" w:type="dxa"/>
            <w:noWrap w:val="0"/>
            <w:vAlign w:val="center"/>
          </w:tcPr>
          <w:p w14:paraId="1EA91742">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（2）化粪池依托可行性分析</w:t>
            </w:r>
          </w:p>
          <w:p w14:paraId="20DFE14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淮北市平祥感应炉有限公司拟依托现有化粪池收集处理本项目生活污水，企业现有项目生活污水产生量约为480m</w:t>
            </w:r>
            <w:r>
              <w:rPr>
                <w:rFonts w:hint="eastAsia"/>
                <w:color w:val="000000"/>
                <w:kern w:val="0"/>
                <w:sz w:val="24"/>
                <w:vertAlign w:val="superscript"/>
                <w:lang w:val="en-US" w:eastAsia="zh-CN"/>
              </w:rPr>
              <w:t>3</w:t>
            </w:r>
            <w:r>
              <w:rPr>
                <w:rFonts w:hint="eastAsia"/>
                <w:color w:val="000000"/>
                <w:kern w:val="0"/>
                <w:sz w:val="24"/>
                <w:lang w:val="en-US" w:eastAsia="zh-CN"/>
              </w:rPr>
              <w:t>/a（1.6m</w:t>
            </w:r>
            <w:r>
              <w:rPr>
                <w:rFonts w:hint="eastAsia"/>
                <w:color w:val="000000"/>
                <w:kern w:val="0"/>
                <w:sz w:val="24"/>
                <w:vertAlign w:val="superscript"/>
                <w:lang w:val="en-US" w:eastAsia="zh-CN"/>
              </w:rPr>
              <w:t>3</w:t>
            </w:r>
            <w:r>
              <w:rPr>
                <w:rFonts w:hint="eastAsia"/>
                <w:color w:val="000000"/>
                <w:kern w:val="0"/>
                <w:sz w:val="24"/>
                <w:lang w:val="en-US" w:eastAsia="zh-CN"/>
              </w:rPr>
              <w:t>/d）。技改完成后企业生活污水产生量约为600m</w:t>
            </w:r>
            <w:r>
              <w:rPr>
                <w:rFonts w:hint="eastAsia"/>
                <w:color w:val="000000"/>
                <w:kern w:val="0"/>
                <w:sz w:val="24"/>
                <w:vertAlign w:val="superscript"/>
                <w:lang w:val="en-US" w:eastAsia="zh-CN"/>
              </w:rPr>
              <w:t>3</w:t>
            </w:r>
            <w:r>
              <w:rPr>
                <w:rFonts w:hint="eastAsia"/>
                <w:color w:val="000000"/>
                <w:kern w:val="0"/>
                <w:sz w:val="24"/>
                <w:lang w:val="en-US" w:eastAsia="zh-CN"/>
              </w:rPr>
              <w:t>/a（2m</w:t>
            </w:r>
            <w:r>
              <w:rPr>
                <w:rFonts w:hint="eastAsia"/>
                <w:color w:val="000000"/>
                <w:kern w:val="0"/>
                <w:sz w:val="24"/>
                <w:vertAlign w:val="superscript"/>
                <w:lang w:val="en-US" w:eastAsia="zh-CN"/>
              </w:rPr>
              <w:t>3</w:t>
            </w:r>
            <w:r>
              <w:rPr>
                <w:rFonts w:hint="eastAsia"/>
                <w:color w:val="000000"/>
                <w:kern w:val="0"/>
                <w:sz w:val="24"/>
                <w:lang w:val="en-US" w:eastAsia="zh-CN"/>
              </w:rPr>
              <w:t>/d）</w:t>
            </w:r>
            <w:r>
              <w:rPr>
                <w:rFonts w:hint="eastAsia"/>
                <w:color w:val="000000"/>
                <w:kern w:val="0"/>
                <w:sz w:val="24"/>
                <w:highlight w:val="none"/>
                <w:lang w:val="en-US" w:eastAsia="zh-CN"/>
              </w:rPr>
              <w:t>，厂区内现有28.5m</w:t>
            </w:r>
            <w:r>
              <w:rPr>
                <w:rFonts w:hint="eastAsia"/>
                <w:color w:val="000000"/>
                <w:kern w:val="0"/>
                <w:sz w:val="24"/>
                <w:highlight w:val="none"/>
                <w:vertAlign w:val="superscript"/>
                <w:lang w:val="en-US" w:eastAsia="zh-CN"/>
              </w:rPr>
              <w:t>3</w:t>
            </w:r>
            <w:r>
              <w:rPr>
                <w:rFonts w:hint="eastAsia"/>
                <w:color w:val="000000"/>
                <w:kern w:val="0"/>
                <w:sz w:val="24"/>
                <w:highlight w:val="none"/>
                <w:lang w:val="en-US" w:eastAsia="zh-CN"/>
              </w:rPr>
              <w:t>的化粪池，足够容纳全厂14天（28m</w:t>
            </w:r>
            <w:r>
              <w:rPr>
                <w:rFonts w:hint="eastAsia"/>
                <w:color w:val="000000"/>
                <w:kern w:val="0"/>
                <w:sz w:val="24"/>
                <w:highlight w:val="none"/>
                <w:vertAlign w:val="superscript"/>
                <w:lang w:val="en-US" w:eastAsia="zh-CN"/>
              </w:rPr>
              <w:t>3</w:t>
            </w:r>
            <w:r>
              <w:rPr>
                <w:rFonts w:hint="eastAsia"/>
                <w:color w:val="000000"/>
                <w:kern w:val="0"/>
                <w:sz w:val="24"/>
                <w:highlight w:val="none"/>
                <w:lang w:val="en-US" w:eastAsia="zh-CN"/>
              </w:rPr>
              <w:t>）产生的生活污水。</w:t>
            </w:r>
            <w:r>
              <w:rPr>
                <w:rFonts w:hint="eastAsia"/>
                <w:color w:val="000000"/>
                <w:kern w:val="0"/>
                <w:sz w:val="24"/>
                <w:lang w:val="en-US" w:eastAsia="zh-CN"/>
              </w:rPr>
              <w:t>因此，本项目依托现有化粪池处理生活污水的措施是可行的。</w:t>
            </w:r>
          </w:p>
          <w:p w14:paraId="330B402D">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（3）污水接管可行性分析</w:t>
            </w:r>
          </w:p>
          <w:p w14:paraId="3C7EB7B4">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①龙湖工业园污水处理厂概况</w:t>
            </w:r>
          </w:p>
          <w:p w14:paraId="255A0195">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龙湖工业园污水处理厂位于淮北经济开发区园区东南角，占地面积约90亩。设计处理规模为4.0万吨/日，远期规划8万吨/日。项目厂区主体工程于2010年7月全面开工建设，2013年7月25日取得淮北市环境保护局《关于淮北市排水有限责任公司淮北市经济开发区龙湖工业园（一期）污水处理厂及配套官网工程阶段性竣工环保验收意见的函》（环验[2013]18号）文件，日处理废水能力为2万吨，2021年11月13日通过自主验收，日处理废水能力提升为4万吨，废水处理工艺为格栅-沉淀-调节-厌氧缺氧好氧-曝气生物滤池-消毒。</w:t>
            </w:r>
          </w:p>
          <w:p w14:paraId="4AE38845">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②水量水质分析</w:t>
            </w:r>
          </w:p>
          <w:p w14:paraId="35896DE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highlight w:val="none"/>
                <w:lang w:val="en-US" w:eastAsia="zh-CN"/>
              </w:rPr>
              <w:t>龙湖工业园污水处理厂总处理规模为4万吨/天，本项目废水排放量约为2m</w:t>
            </w:r>
            <w:r>
              <w:rPr>
                <w:rFonts w:hint="eastAsia"/>
                <w:color w:val="000000"/>
                <w:kern w:val="0"/>
                <w:sz w:val="24"/>
                <w:highlight w:val="none"/>
                <w:vertAlign w:val="superscript"/>
                <w:lang w:val="en-US" w:eastAsia="zh-CN"/>
              </w:rPr>
              <w:t>3</w:t>
            </w:r>
            <w:r>
              <w:rPr>
                <w:rFonts w:hint="eastAsia"/>
                <w:color w:val="000000"/>
                <w:kern w:val="0"/>
                <w:sz w:val="24"/>
                <w:highlight w:val="none"/>
                <w:lang w:val="en-US" w:eastAsia="zh-CN"/>
              </w:rPr>
              <w:t>/d，占龙</w:t>
            </w:r>
            <w:r>
              <w:rPr>
                <w:rFonts w:hint="eastAsia"/>
                <w:color w:val="000000"/>
                <w:kern w:val="0"/>
                <w:sz w:val="24"/>
                <w:lang w:val="en-US" w:eastAsia="zh-CN"/>
              </w:rPr>
              <w:t>湖工业园污水处理厂总处理规模的0.005%，在水量上不会对污水处理厂造成冲击。</w:t>
            </w:r>
          </w:p>
          <w:p w14:paraId="2603AF7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龙湖工业园污水处理厂处理工艺见下图，主要去除SS、COD、BOD</w:t>
            </w:r>
            <w:r>
              <w:rPr>
                <w:rFonts w:hint="eastAsia"/>
                <w:color w:val="000000"/>
                <w:kern w:val="0"/>
                <w:sz w:val="24"/>
                <w:vertAlign w:val="subscript"/>
                <w:lang w:val="en-US" w:eastAsia="zh-CN"/>
              </w:rPr>
              <w:t>5</w:t>
            </w:r>
            <w:r>
              <w:rPr>
                <w:rFonts w:hint="eastAsia"/>
                <w:color w:val="000000"/>
                <w:kern w:val="0"/>
                <w:sz w:val="24"/>
                <w:lang w:val="en-US" w:eastAsia="zh-CN"/>
              </w:rPr>
              <w:t>、氨氮、总磷、总氮。本项目生活污水水质简单，项目区的废水预处理效果完全在龙湖工业园污水处理厂的进水水质范围内，完全可采用污水处理厂的处理工艺进行处理，本项目废水水质不会对污水处理厂处理工艺造成冲击。</w:t>
            </w:r>
          </w:p>
          <w:p w14:paraId="5AC30886">
            <w:pPr>
              <w:autoSpaceDE w:val="0"/>
              <w:autoSpaceDN w:val="0"/>
              <w:adjustRightInd w:val="0"/>
              <w:snapToGrid w:val="0"/>
              <w:spacing w:line="360" w:lineRule="auto"/>
              <w:jc w:val="center"/>
              <w:rPr>
                <w:rFonts w:hint="eastAsia"/>
                <w:b w:val="0"/>
                <w:bCs w:val="0"/>
                <w:sz w:val="24"/>
                <w:lang w:val="en-US" w:eastAsia="zh-CN"/>
              </w:rPr>
            </w:pPr>
            <w:r>
              <w:rPr>
                <w:rFonts w:hint="default" w:ascii="Times New Roman" w:hAnsi="Times New Roman" w:cs="Times New Roman"/>
                <w:sz w:val="24"/>
                <w:szCs w:val="24"/>
              </w:rPr>
              <w:drawing>
                <wp:inline distT="0" distB="0" distL="114300" distR="114300">
                  <wp:extent cx="5274310" cy="2252980"/>
                  <wp:effectExtent l="0" t="0" r="0" b="0"/>
                  <wp:docPr id="25" name="图片 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图片5"/>
                          <pic:cNvPicPr>
                            <a:picLocks noChangeAspect="1"/>
                          </pic:cNvPicPr>
                        </pic:nvPicPr>
                        <pic:blipFill>
                          <a:blip r:embed="rId28"/>
                          <a:stretch>
                            <a:fillRect/>
                          </a:stretch>
                        </pic:blipFill>
                        <pic:spPr>
                          <a:xfrm>
                            <a:off x="0" y="0"/>
                            <a:ext cx="5274310" cy="2252980"/>
                          </a:xfrm>
                          <a:prstGeom prst="rect">
                            <a:avLst/>
                          </a:prstGeom>
                          <a:noFill/>
                          <a:ln>
                            <a:noFill/>
                          </a:ln>
                        </pic:spPr>
                      </pic:pic>
                    </a:graphicData>
                  </a:graphic>
                </wp:inline>
              </w:drawing>
            </w:r>
          </w:p>
          <w:p w14:paraId="78F81313">
            <w:pPr>
              <w:keepNext w:val="0"/>
              <w:keepLines w:val="0"/>
              <w:pageBreakBefore w:val="0"/>
              <w:widowControl w:val="0"/>
              <w:kinsoku/>
              <w:wordWrap/>
              <w:overflowPunct/>
              <w:topLinePunct w:val="0"/>
              <w:autoSpaceDE w:val="0"/>
              <w:autoSpaceDN w:val="0"/>
              <w:bidi w:val="0"/>
              <w:adjustRightInd w:val="0"/>
              <w:snapToGrid w:val="0"/>
              <w:spacing w:after="157" w:afterLines="50" w:line="240" w:lineRule="auto"/>
              <w:jc w:val="center"/>
              <w:textAlignment w:val="auto"/>
              <w:rPr>
                <w:rFonts w:hint="default"/>
                <w:b w:val="0"/>
                <w:bCs w:val="0"/>
                <w:sz w:val="24"/>
                <w:lang w:val="en-US" w:eastAsia="zh-CN"/>
              </w:rPr>
            </w:pPr>
            <w:r>
              <w:rPr>
                <w:rFonts w:hint="eastAsia"/>
                <w:b/>
                <w:kern w:val="0"/>
                <w:sz w:val="22"/>
                <w:szCs w:val="22"/>
                <w:lang w:val="en-US" w:eastAsia="zh-CN"/>
              </w:rPr>
              <w:t>图4</w:t>
            </w:r>
            <w:r>
              <w:rPr>
                <w:b/>
                <w:kern w:val="0"/>
                <w:sz w:val="22"/>
                <w:szCs w:val="22"/>
              </w:rPr>
              <w:t>-</w:t>
            </w:r>
            <w:r>
              <w:rPr>
                <w:rFonts w:hint="eastAsia"/>
                <w:b/>
                <w:kern w:val="0"/>
                <w:sz w:val="22"/>
                <w:szCs w:val="22"/>
                <w:lang w:val="en-US" w:eastAsia="zh-CN"/>
              </w:rPr>
              <w:t>2</w:t>
            </w:r>
            <w:r>
              <w:rPr>
                <w:b/>
                <w:kern w:val="0"/>
                <w:sz w:val="22"/>
                <w:szCs w:val="22"/>
              </w:rPr>
              <w:t xml:space="preserve"> </w:t>
            </w:r>
            <w:r>
              <w:rPr>
                <w:rFonts w:hint="eastAsia"/>
                <w:b/>
                <w:kern w:val="0"/>
                <w:sz w:val="22"/>
                <w:szCs w:val="22"/>
                <w:lang w:val="en-US" w:eastAsia="zh-CN"/>
              </w:rPr>
              <w:t>龙湖工业园污水处理厂处理工艺流程图</w:t>
            </w:r>
          </w:p>
          <w:p w14:paraId="696C7261">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③管网设施概况</w:t>
            </w:r>
          </w:p>
          <w:p w14:paraId="21C347D0">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根据《安徽淮北杜集经济开发区总体发展规划（2023~2035年）环境影响报告书》文件，东山路全线已建成污水管网，企业污水经预处理后达接管标准后排入开发区污水管网，经现状污水提升泵站提升汇入区域污水干管，最终进入龙湖污水处理厂集中处理。</w:t>
            </w:r>
          </w:p>
          <w:p w14:paraId="49138C46">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（4）监测要求</w:t>
            </w:r>
          </w:p>
          <w:p w14:paraId="56E01AAD">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建设单位为非重点排污单位，生活污水间接排放，根据《排污单位自行监测技术指南 涂装》（HJ 1086-2020）文件，本次评价不对建设单位提出废水监测计划。</w:t>
            </w:r>
          </w:p>
          <w:p w14:paraId="7EA41F4B">
            <w:pPr>
              <w:autoSpaceDE w:val="0"/>
              <w:autoSpaceDN w:val="0"/>
              <w:adjustRightInd w:val="0"/>
              <w:snapToGrid w:val="0"/>
              <w:spacing w:line="360" w:lineRule="auto"/>
              <w:ind w:firstLine="480" w:firstLineChars="200"/>
              <w:jc w:val="both"/>
              <w:rPr>
                <w:rFonts w:hint="eastAsia" w:ascii="宋体" w:hAnsi="宋体" w:cs="宋体"/>
                <w:kern w:val="0"/>
                <w:sz w:val="24"/>
                <w:szCs w:val="24"/>
              </w:rPr>
            </w:pPr>
            <w:r>
              <w:rPr>
                <w:rFonts w:hint="eastAsia"/>
                <w:color w:val="000000"/>
                <w:kern w:val="0"/>
                <w:sz w:val="24"/>
                <w:lang w:val="en-US" w:eastAsia="zh-CN"/>
              </w:rPr>
              <w:t>综上所述，本项目生活污水经化粪池（依托现有）预处理后，排入龙湖工业园污水处理厂进一步深度处理，最终达标排放至龙河，对周边地表水环境影响较小。</w:t>
            </w:r>
          </w:p>
        </w:tc>
      </w:tr>
    </w:tbl>
    <w:p w14:paraId="1A0B4A77">
      <w:pPr>
        <w:pStyle w:val="20"/>
        <w:rPr>
          <w:rFonts w:hint="eastAsia"/>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137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108" w:type="dxa"/>
          <w:bottom w:w="57" w:type="dxa"/>
          <w:right w:w="108" w:type="dxa"/>
        </w:tblCellMar>
      </w:tblPr>
      <w:tblGrid>
        <w:gridCol w:w="509"/>
        <w:gridCol w:w="13285"/>
      </w:tblGrid>
      <w:tr w14:paraId="27F6A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810" w:hRule="atLeast"/>
          <w:jc w:val="center"/>
        </w:trPr>
        <w:tc>
          <w:tcPr>
            <w:tcW w:w="509" w:type="dxa"/>
            <w:noWrap w:val="0"/>
            <w:tcMar>
              <w:left w:w="28" w:type="dxa"/>
              <w:right w:w="28" w:type="dxa"/>
            </w:tcMar>
            <w:vAlign w:val="center"/>
          </w:tcPr>
          <w:p w14:paraId="083CEBAE">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运营期环境影响和保护措施</w:t>
            </w:r>
          </w:p>
        </w:tc>
        <w:tc>
          <w:tcPr>
            <w:tcW w:w="13285" w:type="dxa"/>
            <w:noWrap w:val="0"/>
            <w:vAlign w:val="center"/>
          </w:tcPr>
          <w:p w14:paraId="7BE24EC8">
            <w:pPr>
              <w:autoSpaceDE w:val="0"/>
              <w:autoSpaceDN w:val="0"/>
              <w:adjustRightInd w:val="0"/>
              <w:snapToGrid w:val="0"/>
              <w:spacing w:line="360" w:lineRule="auto"/>
              <w:jc w:val="left"/>
              <w:rPr>
                <w:rFonts w:hint="eastAsia" w:ascii="宋体" w:hAnsi="宋体" w:cs="宋体"/>
                <w:kern w:val="0"/>
                <w:sz w:val="24"/>
                <w:szCs w:val="24"/>
                <w:lang w:eastAsia="zh-CN"/>
              </w:rPr>
            </w:pPr>
            <w:r>
              <w:rPr>
                <w:rFonts w:hint="eastAsia"/>
                <w:b/>
                <w:bCs/>
                <w:sz w:val="24"/>
                <w:lang w:val="en-US" w:eastAsia="zh-CN"/>
              </w:rPr>
              <w:t>3、噪声</w:t>
            </w:r>
          </w:p>
          <w:p w14:paraId="04B21B09">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left"/>
              <w:textAlignment w:val="auto"/>
              <w:rPr>
                <w:rFonts w:hint="eastAsia"/>
                <w:b w:val="0"/>
                <w:bCs w:val="0"/>
                <w:sz w:val="24"/>
                <w:lang w:val="en-US" w:eastAsia="zh-CN"/>
              </w:rPr>
            </w:pPr>
            <w:r>
              <w:rPr>
                <w:rFonts w:hint="eastAsia"/>
                <w:b w:val="0"/>
                <w:bCs w:val="0"/>
                <w:sz w:val="24"/>
                <w:lang w:val="en-US" w:eastAsia="zh-CN"/>
              </w:rPr>
              <w:t>3.1噪声源强</w:t>
            </w:r>
            <w:r>
              <w:rPr>
                <w:rFonts w:hint="eastAsia"/>
                <w:b w:val="0"/>
                <w:bCs w:val="0"/>
                <w:sz w:val="24"/>
                <w:lang w:val="en-US" w:eastAsia="zh-CN"/>
              </w:rPr>
              <w:br w:type="textWrapping"/>
            </w:r>
            <w:r>
              <w:rPr>
                <w:rFonts w:hint="eastAsia"/>
                <w:b w:val="0"/>
                <w:bCs w:val="0"/>
                <w:sz w:val="24"/>
                <w:lang w:val="en-US" w:eastAsia="zh-CN"/>
              </w:rPr>
              <w:t>本项目噪声设备源强调查及采取治理措施见下表。</w:t>
            </w:r>
          </w:p>
          <w:p w14:paraId="585379BD">
            <w:pPr>
              <w:keepNext w:val="0"/>
              <w:keepLines w:val="0"/>
              <w:pageBreakBefore w:val="0"/>
              <w:widowControl/>
              <w:kinsoku/>
              <w:wordWrap/>
              <w:overflowPunct/>
              <w:topLinePunct w:val="0"/>
              <w:autoSpaceDE/>
              <w:autoSpaceDN/>
              <w:bidi w:val="0"/>
              <w:adjustRightInd/>
              <w:snapToGrid/>
              <w:spacing w:line="240" w:lineRule="auto"/>
              <w:ind w:left="0" w:leftChars="0" w:firstLine="442" w:firstLineChars="200"/>
              <w:jc w:val="center"/>
              <w:textAlignment w:val="auto"/>
              <w:rPr>
                <w:rFonts w:hint="default"/>
                <w:b/>
                <w:kern w:val="0"/>
                <w:sz w:val="22"/>
                <w:szCs w:val="22"/>
                <w:lang w:val="en-US" w:eastAsia="zh-CN"/>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6</w:t>
            </w:r>
            <w:r>
              <w:rPr>
                <w:b/>
                <w:kern w:val="0"/>
                <w:sz w:val="22"/>
                <w:szCs w:val="22"/>
              </w:rPr>
              <w:t xml:space="preserve"> </w:t>
            </w:r>
            <w:r>
              <w:rPr>
                <w:rFonts w:hint="eastAsia"/>
                <w:b/>
                <w:kern w:val="0"/>
                <w:sz w:val="22"/>
                <w:szCs w:val="22"/>
                <w:lang w:val="en-US" w:eastAsia="zh-CN"/>
              </w:rPr>
              <w:t>室外主要噪声源强调查一览表  单位：</w:t>
            </w:r>
            <w:r>
              <w:rPr>
                <w:rFonts w:hint="default" w:ascii="Times New Roman" w:hAnsi="Times New Roman" w:cs="Times New Roman"/>
                <w:b/>
                <w:snapToGrid w:val="0"/>
                <w:spacing w:val="10"/>
                <w:sz w:val="21"/>
                <w:szCs w:val="21"/>
              </w:rPr>
              <w:t>dB（A</w:t>
            </w:r>
            <w:r>
              <w:rPr>
                <w:rFonts w:hint="default" w:ascii="Times New Roman" w:hAnsi="Times New Roman" w:cs="Times New Roman"/>
                <w:b/>
                <w:snapToGrid w:val="0"/>
                <w:spacing w:val="10"/>
                <w:sz w:val="21"/>
                <w:szCs w:val="21"/>
                <w:lang w:eastAsia="zh-CN"/>
              </w:rPr>
              <w:t>）</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2002"/>
              <w:gridCol w:w="1631"/>
              <w:gridCol w:w="1633"/>
              <w:gridCol w:w="1639"/>
              <w:gridCol w:w="1633"/>
              <w:gridCol w:w="1822"/>
              <w:gridCol w:w="1443"/>
            </w:tblGrid>
            <w:tr w14:paraId="3B6D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restart"/>
                  <w:vAlign w:val="center"/>
                </w:tcPr>
                <w:p w14:paraId="090DF604">
                  <w:pPr>
                    <w:jc w:val="center"/>
                    <w:rPr>
                      <w:rFonts w:hint="eastAsia" w:ascii="Times New Roman" w:hAnsi="Times New Roman" w:cs="Times New Roman"/>
                      <w:b/>
                      <w:snapToGrid w:val="0"/>
                      <w:spacing w:val="10"/>
                      <w:sz w:val="21"/>
                      <w:szCs w:val="21"/>
                      <w:lang w:val="en-US" w:eastAsia="zh-CN"/>
                    </w:rPr>
                  </w:pPr>
                  <w:r>
                    <w:rPr>
                      <w:rFonts w:hint="eastAsia" w:ascii="Times New Roman" w:hAnsi="Times New Roman" w:cs="Times New Roman"/>
                      <w:b/>
                      <w:snapToGrid w:val="0"/>
                      <w:spacing w:val="10"/>
                      <w:sz w:val="21"/>
                      <w:szCs w:val="21"/>
                      <w:lang w:val="en-US" w:eastAsia="zh-CN"/>
                    </w:rPr>
                    <w:t>序号</w:t>
                  </w:r>
                </w:p>
              </w:tc>
              <w:tc>
                <w:tcPr>
                  <w:tcW w:w="766" w:type="pct"/>
                  <w:vMerge w:val="restart"/>
                  <w:vAlign w:val="center"/>
                </w:tcPr>
                <w:p w14:paraId="1B3222CD">
                  <w:pPr>
                    <w:jc w:val="center"/>
                    <w:rPr>
                      <w:rFonts w:hint="eastAsia" w:ascii="Times New Roman" w:hAnsi="Times New Roman" w:cs="Times New Roman"/>
                      <w:b/>
                      <w:snapToGrid w:val="0"/>
                      <w:spacing w:val="10"/>
                      <w:sz w:val="21"/>
                      <w:szCs w:val="21"/>
                      <w:lang w:val="en-US" w:eastAsia="zh-CN"/>
                    </w:rPr>
                  </w:pPr>
                  <w:r>
                    <w:rPr>
                      <w:rFonts w:hint="default" w:ascii="Times New Roman" w:hAnsi="Times New Roman" w:cs="Times New Roman"/>
                      <w:b/>
                      <w:snapToGrid w:val="0"/>
                      <w:spacing w:val="10"/>
                      <w:sz w:val="21"/>
                      <w:szCs w:val="21"/>
                    </w:rPr>
                    <w:t>声源名称</w:t>
                  </w:r>
                </w:p>
              </w:tc>
              <w:tc>
                <w:tcPr>
                  <w:tcW w:w="1876" w:type="pct"/>
                  <w:gridSpan w:val="3"/>
                  <w:vAlign w:val="center"/>
                </w:tcPr>
                <w:p w14:paraId="54E92496">
                  <w:pPr>
                    <w:jc w:val="center"/>
                    <w:rPr>
                      <w:rFonts w:hint="default" w:ascii="Times New Roman" w:hAnsi="Times New Roman" w:cs="Times New Roman"/>
                      <w:b/>
                      <w:snapToGrid w:val="0"/>
                      <w:spacing w:val="10"/>
                      <w:sz w:val="21"/>
                      <w:szCs w:val="21"/>
                    </w:rPr>
                  </w:pPr>
                  <w:r>
                    <w:rPr>
                      <w:rFonts w:hint="default" w:ascii="Times New Roman" w:hAnsi="Times New Roman" w:cs="Times New Roman"/>
                      <w:b/>
                      <w:snapToGrid w:val="0"/>
                      <w:spacing w:val="10"/>
                      <w:sz w:val="21"/>
                      <w:szCs w:val="21"/>
                    </w:rPr>
                    <w:t>空间相对位置/m</w:t>
                  </w:r>
                </w:p>
              </w:tc>
              <w:tc>
                <w:tcPr>
                  <w:tcW w:w="625" w:type="pct"/>
                  <w:vMerge w:val="restart"/>
                  <w:vAlign w:val="center"/>
                </w:tcPr>
                <w:p w14:paraId="24A97FFD">
                  <w:pPr>
                    <w:jc w:val="center"/>
                    <w:rPr>
                      <w:rFonts w:hint="eastAsia" w:ascii="Times New Roman" w:hAnsi="Times New Roman" w:cs="Times New Roman"/>
                      <w:b/>
                      <w:snapToGrid w:val="0"/>
                      <w:spacing w:val="10"/>
                      <w:sz w:val="21"/>
                      <w:szCs w:val="21"/>
                      <w:lang w:val="en-US" w:eastAsia="zh-CN"/>
                    </w:rPr>
                  </w:pPr>
                  <w:r>
                    <w:rPr>
                      <w:rFonts w:hint="eastAsia" w:ascii="Times New Roman" w:hAnsi="Times New Roman" w:cs="Times New Roman"/>
                      <w:b/>
                      <w:snapToGrid w:val="0"/>
                      <w:spacing w:val="10"/>
                      <w:sz w:val="21"/>
                      <w:szCs w:val="21"/>
                      <w:lang w:val="en-US" w:eastAsia="zh-CN"/>
                    </w:rPr>
                    <w:t>声功率级</w:t>
                  </w:r>
                </w:p>
                <w:p w14:paraId="22DE081E">
                  <w:pPr>
                    <w:jc w:val="center"/>
                    <w:rPr>
                      <w:rFonts w:hint="default" w:ascii="Times New Roman" w:hAnsi="Times New Roman" w:cs="Times New Roman"/>
                      <w:b/>
                      <w:snapToGrid w:val="0"/>
                      <w:spacing w:val="10"/>
                      <w:sz w:val="21"/>
                      <w:szCs w:val="21"/>
                      <w:lang w:val="en-US" w:eastAsia="zh-CN"/>
                    </w:rPr>
                  </w:pPr>
                  <w:r>
                    <w:rPr>
                      <w:rFonts w:hint="default" w:ascii="Times New Roman" w:hAnsi="Times New Roman" w:cs="Times New Roman"/>
                      <w:b/>
                      <w:snapToGrid w:val="0"/>
                      <w:spacing w:val="10"/>
                      <w:sz w:val="21"/>
                      <w:szCs w:val="21"/>
                    </w:rPr>
                    <w:t>dB（A</w:t>
                  </w:r>
                  <w:r>
                    <w:rPr>
                      <w:rFonts w:hint="default" w:ascii="Times New Roman" w:hAnsi="Times New Roman" w:cs="Times New Roman"/>
                      <w:b/>
                      <w:snapToGrid w:val="0"/>
                      <w:spacing w:val="10"/>
                      <w:sz w:val="21"/>
                      <w:szCs w:val="21"/>
                      <w:lang w:eastAsia="zh-CN"/>
                    </w:rPr>
                    <w:t>）</w:t>
                  </w:r>
                </w:p>
              </w:tc>
              <w:tc>
                <w:tcPr>
                  <w:tcW w:w="697" w:type="pct"/>
                  <w:vMerge w:val="restart"/>
                  <w:vAlign w:val="center"/>
                </w:tcPr>
                <w:p w14:paraId="3F68E764">
                  <w:pPr>
                    <w:jc w:val="center"/>
                    <w:rPr>
                      <w:rFonts w:hint="default" w:ascii="Times New Roman" w:hAnsi="Times New Roman" w:cs="Times New Roman"/>
                      <w:b/>
                      <w:snapToGrid w:val="0"/>
                      <w:spacing w:val="10"/>
                      <w:sz w:val="21"/>
                      <w:szCs w:val="21"/>
                    </w:rPr>
                  </w:pPr>
                  <w:r>
                    <w:rPr>
                      <w:rFonts w:hint="default" w:ascii="Times New Roman" w:hAnsi="Times New Roman" w:cs="Times New Roman"/>
                      <w:b/>
                      <w:snapToGrid w:val="0"/>
                      <w:spacing w:val="10"/>
                      <w:sz w:val="21"/>
                      <w:szCs w:val="21"/>
                    </w:rPr>
                    <w:t>声源控制措施</w:t>
                  </w:r>
                </w:p>
              </w:tc>
              <w:tc>
                <w:tcPr>
                  <w:tcW w:w="552" w:type="pct"/>
                  <w:vMerge w:val="restart"/>
                  <w:vAlign w:val="center"/>
                </w:tcPr>
                <w:p w14:paraId="7A9FA1DA">
                  <w:pPr>
                    <w:jc w:val="center"/>
                    <w:rPr>
                      <w:rFonts w:hint="default" w:ascii="Times New Roman" w:hAnsi="Times New Roman" w:cs="Times New Roman"/>
                      <w:b/>
                      <w:snapToGrid w:val="0"/>
                      <w:spacing w:val="10"/>
                      <w:sz w:val="21"/>
                      <w:szCs w:val="21"/>
                    </w:rPr>
                  </w:pPr>
                  <w:r>
                    <w:rPr>
                      <w:rFonts w:hint="default" w:ascii="Times New Roman" w:hAnsi="Times New Roman" w:cs="Times New Roman"/>
                      <w:b/>
                      <w:snapToGrid w:val="0"/>
                      <w:spacing w:val="10"/>
                      <w:sz w:val="21"/>
                      <w:szCs w:val="21"/>
                    </w:rPr>
                    <w:t>运行时段</w:t>
                  </w:r>
                </w:p>
              </w:tc>
            </w:tr>
            <w:tr w14:paraId="1BA7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vAlign w:val="center"/>
                </w:tcPr>
                <w:p w14:paraId="67FE3592">
                  <w:pPr>
                    <w:jc w:val="center"/>
                    <w:rPr>
                      <w:rFonts w:hint="default" w:ascii="Times New Roman" w:hAnsi="Times New Roman" w:cs="Times New Roman"/>
                      <w:b/>
                      <w:snapToGrid w:val="0"/>
                      <w:spacing w:val="10"/>
                      <w:sz w:val="21"/>
                      <w:szCs w:val="21"/>
                    </w:rPr>
                  </w:pPr>
                </w:p>
              </w:tc>
              <w:tc>
                <w:tcPr>
                  <w:tcW w:w="766" w:type="pct"/>
                  <w:vMerge w:val="continue"/>
                  <w:vAlign w:val="center"/>
                </w:tcPr>
                <w:p w14:paraId="58F0B938">
                  <w:pPr>
                    <w:jc w:val="center"/>
                    <w:rPr>
                      <w:rFonts w:hint="default" w:ascii="Times New Roman" w:hAnsi="Times New Roman" w:cs="Times New Roman"/>
                      <w:b/>
                      <w:snapToGrid w:val="0"/>
                      <w:spacing w:val="10"/>
                      <w:sz w:val="21"/>
                      <w:szCs w:val="21"/>
                    </w:rPr>
                  </w:pPr>
                </w:p>
              </w:tc>
              <w:tc>
                <w:tcPr>
                  <w:tcW w:w="624" w:type="pct"/>
                  <w:shd w:val="clear" w:color="auto" w:fill="FFFFFF"/>
                  <w:vAlign w:val="center"/>
                </w:tcPr>
                <w:p w14:paraId="07CFA88B">
                  <w:pPr>
                    <w:jc w:val="center"/>
                    <w:rPr>
                      <w:rFonts w:hint="default" w:ascii="Times New Roman" w:hAnsi="Times New Roman" w:cs="Times New Roman"/>
                      <w:b/>
                      <w:snapToGrid w:val="0"/>
                      <w:spacing w:val="10"/>
                      <w:sz w:val="21"/>
                      <w:szCs w:val="21"/>
                      <w:lang w:val="en-US" w:eastAsia="zh-CN"/>
                    </w:rPr>
                  </w:pPr>
                  <w:r>
                    <w:rPr>
                      <w:rFonts w:hint="default" w:ascii="Times New Roman" w:hAnsi="Times New Roman" w:cs="Times New Roman"/>
                      <w:b/>
                      <w:snapToGrid w:val="0"/>
                      <w:spacing w:val="10"/>
                      <w:sz w:val="21"/>
                      <w:szCs w:val="21"/>
                    </w:rPr>
                    <w:t>X</w:t>
                  </w:r>
                </w:p>
              </w:tc>
              <w:tc>
                <w:tcPr>
                  <w:tcW w:w="625" w:type="pct"/>
                  <w:shd w:val="clear" w:color="auto" w:fill="FFFFFF"/>
                  <w:vAlign w:val="center"/>
                </w:tcPr>
                <w:p w14:paraId="5AAAE785">
                  <w:pPr>
                    <w:jc w:val="center"/>
                    <w:rPr>
                      <w:rFonts w:hint="default" w:ascii="Times New Roman" w:hAnsi="Times New Roman" w:cs="Times New Roman"/>
                      <w:b/>
                      <w:snapToGrid w:val="0"/>
                      <w:spacing w:val="10"/>
                      <w:sz w:val="21"/>
                      <w:szCs w:val="21"/>
                      <w:lang w:val="en-US" w:eastAsia="zh-CN"/>
                    </w:rPr>
                  </w:pPr>
                  <w:r>
                    <w:rPr>
                      <w:rFonts w:hint="default" w:ascii="Times New Roman" w:hAnsi="Times New Roman" w:cs="Times New Roman"/>
                      <w:b/>
                      <w:snapToGrid w:val="0"/>
                      <w:spacing w:val="10"/>
                      <w:sz w:val="21"/>
                      <w:szCs w:val="21"/>
                    </w:rPr>
                    <w:t>Y</w:t>
                  </w:r>
                </w:p>
              </w:tc>
              <w:tc>
                <w:tcPr>
                  <w:tcW w:w="627" w:type="pct"/>
                  <w:shd w:val="clear" w:color="auto" w:fill="FFFFFF"/>
                  <w:vAlign w:val="center"/>
                </w:tcPr>
                <w:p w14:paraId="0E9793E7">
                  <w:pPr>
                    <w:jc w:val="center"/>
                    <w:rPr>
                      <w:rFonts w:hint="default" w:ascii="Times New Roman" w:hAnsi="Times New Roman" w:cs="Times New Roman"/>
                      <w:b/>
                      <w:snapToGrid w:val="0"/>
                      <w:spacing w:val="10"/>
                      <w:sz w:val="21"/>
                      <w:szCs w:val="21"/>
                      <w:lang w:val="en-US" w:eastAsia="zh-CN"/>
                    </w:rPr>
                  </w:pPr>
                  <w:r>
                    <w:rPr>
                      <w:rFonts w:hint="default" w:ascii="Times New Roman" w:hAnsi="Times New Roman" w:cs="Times New Roman"/>
                      <w:b/>
                      <w:snapToGrid w:val="0"/>
                      <w:spacing w:val="10"/>
                      <w:sz w:val="21"/>
                      <w:szCs w:val="21"/>
                    </w:rPr>
                    <w:t>Z</w:t>
                  </w:r>
                </w:p>
              </w:tc>
              <w:tc>
                <w:tcPr>
                  <w:tcW w:w="625" w:type="pct"/>
                  <w:vMerge w:val="continue"/>
                  <w:vAlign w:val="center"/>
                </w:tcPr>
                <w:p w14:paraId="1C16786F">
                  <w:pPr>
                    <w:pStyle w:val="23"/>
                    <w:jc w:val="center"/>
                    <w:rPr>
                      <w:sz w:val="21"/>
                      <w:szCs w:val="21"/>
                      <w:vertAlign w:val="baseline"/>
                    </w:rPr>
                  </w:pPr>
                </w:p>
              </w:tc>
              <w:tc>
                <w:tcPr>
                  <w:tcW w:w="697" w:type="pct"/>
                  <w:vMerge w:val="continue"/>
                  <w:vAlign w:val="center"/>
                </w:tcPr>
                <w:p w14:paraId="3B72DC56">
                  <w:pPr>
                    <w:pStyle w:val="23"/>
                    <w:jc w:val="center"/>
                    <w:rPr>
                      <w:sz w:val="21"/>
                      <w:szCs w:val="21"/>
                      <w:vertAlign w:val="baseline"/>
                    </w:rPr>
                  </w:pPr>
                </w:p>
              </w:tc>
              <w:tc>
                <w:tcPr>
                  <w:tcW w:w="552" w:type="pct"/>
                  <w:vMerge w:val="continue"/>
                  <w:vAlign w:val="center"/>
                </w:tcPr>
                <w:p w14:paraId="145F1E7A">
                  <w:pPr>
                    <w:pStyle w:val="23"/>
                    <w:jc w:val="center"/>
                    <w:rPr>
                      <w:rFonts w:hint="eastAsia" w:eastAsia="宋体"/>
                      <w:sz w:val="21"/>
                      <w:szCs w:val="21"/>
                      <w:vertAlign w:val="baseline"/>
                      <w:lang w:val="en-US" w:eastAsia="zh-CN"/>
                    </w:rPr>
                  </w:pPr>
                </w:p>
              </w:tc>
            </w:tr>
            <w:tr w14:paraId="7EEB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Align w:val="center"/>
                </w:tcPr>
                <w:p w14:paraId="63F84080">
                  <w:pPr>
                    <w:pStyle w:val="23"/>
                    <w:jc w:val="center"/>
                    <w:rPr>
                      <w:rFonts w:hint="eastAsia" w:eastAsia="宋体"/>
                      <w:sz w:val="21"/>
                      <w:szCs w:val="21"/>
                      <w:vertAlign w:val="baseline"/>
                      <w:lang w:val="en-US" w:eastAsia="zh-CN"/>
                    </w:rPr>
                  </w:pPr>
                  <w:r>
                    <w:rPr>
                      <w:rFonts w:hint="eastAsia"/>
                      <w:sz w:val="21"/>
                      <w:szCs w:val="21"/>
                      <w:vertAlign w:val="baseline"/>
                      <w:lang w:val="en-US" w:eastAsia="zh-CN"/>
                    </w:rPr>
                    <w:t>1</w:t>
                  </w:r>
                </w:p>
              </w:tc>
              <w:tc>
                <w:tcPr>
                  <w:tcW w:w="766" w:type="pct"/>
                  <w:vAlign w:val="center"/>
                </w:tcPr>
                <w:p w14:paraId="1B5B20BA">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TA001风机</w:t>
                  </w:r>
                </w:p>
              </w:tc>
              <w:tc>
                <w:tcPr>
                  <w:tcW w:w="624" w:type="pct"/>
                  <w:vAlign w:val="center"/>
                </w:tcPr>
                <w:p w14:paraId="4FB6EFE2">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27</w:t>
                  </w:r>
                </w:p>
              </w:tc>
              <w:tc>
                <w:tcPr>
                  <w:tcW w:w="625" w:type="pct"/>
                  <w:vAlign w:val="center"/>
                </w:tcPr>
                <w:p w14:paraId="7DFACA1F">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171</w:t>
                  </w:r>
                </w:p>
              </w:tc>
              <w:tc>
                <w:tcPr>
                  <w:tcW w:w="627" w:type="pct"/>
                  <w:vAlign w:val="center"/>
                </w:tcPr>
                <w:p w14:paraId="22A30B9B">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w:t>
                  </w:r>
                </w:p>
              </w:tc>
              <w:tc>
                <w:tcPr>
                  <w:tcW w:w="625" w:type="pct"/>
                  <w:vAlign w:val="center"/>
                </w:tcPr>
                <w:p w14:paraId="0AE9FD22">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55</w:t>
                  </w:r>
                </w:p>
              </w:tc>
              <w:tc>
                <w:tcPr>
                  <w:tcW w:w="697" w:type="pct"/>
                  <w:vMerge w:val="restart"/>
                  <w:shd w:val="clear" w:color="auto" w:fill="auto"/>
                  <w:vAlign w:val="center"/>
                </w:tcPr>
                <w:p w14:paraId="43C707B1">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基础减震</w:t>
                  </w:r>
                </w:p>
              </w:tc>
              <w:tc>
                <w:tcPr>
                  <w:tcW w:w="552" w:type="pct"/>
                  <w:vMerge w:val="restart"/>
                  <w:shd w:val="clear" w:color="auto" w:fill="auto"/>
                  <w:vAlign w:val="center"/>
                </w:tcPr>
                <w:p w14:paraId="46614DF1">
                  <w:pPr>
                    <w:pStyle w:val="23"/>
                    <w:ind w:right="113" w:rightChars="0" w:firstLine="210" w:firstLineChars="100"/>
                    <w:jc w:val="center"/>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昼间</w:t>
                  </w:r>
                </w:p>
              </w:tc>
            </w:tr>
            <w:tr w14:paraId="4C90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Align w:val="center"/>
                </w:tcPr>
                <w:p w14:paraId="6177EC39">
                  <w:pPr>
                    <w:pStyle w:val="23"/>
                    <w:jc w:val="center"/>
                    <w:rPr>
                      <w:rFonts w:hint="eastAsia" w:eastAsia="宋体"/>
                      <w:sz w:val="21"/>
                      <w:szCs w:val="21"/>
                      <w:vertAlign w:val="baseline"/>
                      <w:lang w:val="en-US" w:eastAsia="zh-CN"/>
                    </w:rPr>
                  </w:pPr>
                  <w:r>
                    <w:rPr>
                      <w:rFonts w:hint="eastAsia"/>
                      <w:sz w:val="21"/>
                      <w:szCs w:val="21"/>
                      <w:vertAlign w:val="baseline"/>
                      <w:lang w:val="en-US" w:eastAsia="zh-CN"/>
                    </w:rPr>
                    <w:t>2</w:t>
                  </w:r>
                </w:p>
              </w:tc>
              <w:tc>
                <w:tcPr>
                  <w:tcW w:w="766" w:type="pct"/>
                  <w:vAlign w:val="center"/>
                </w:tcPr>
                <w:p w14:paraId="59883DF1">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TA002风机</w:t>
                  </w:r>
                </w:p>
              </w:tc>
              <w:tc>
                <w:tcPr>
                  <w:tcW w:w="624" w:type="pct"/>
                  <w:vAlign w:val="center"/>
                </w:tcPr>
                <w:p w14:paraId="0578DE9A">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18</w:t>
                  </w:r>
                </w:p>
              </w:tc>
              <w:tc>
                <w:tcPr>
                  <w:tcW w:w="625" w:type="pct"/>
                  <w:vAlign w:val="center"/>
                </w:tcPr>
                <w:p w14:paraId="62D55199">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171</w:t>
                  </w:r>
                </w:p>
              </w:tc>
              <w:tc>
                <w:tcPr>
                  <w:tcW w:w="627" w:type="pct"/>
                  <w:vAlign w:val="center"/>
                </w:tcPr>
                <w:p w14:paraId="188CA1E3">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w:t>
                  </w:r>
                </w:p>
              </w:tc>
              <w:tc>
                <w:tcPr>
                  <w:tcW w:w="625" w:type="pct"/>
                  <w:vAlign w:val="center"/>
                </w:tcPr>
                <w:p w14:paraId="67216E0A">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80</w:t>
                  </w:r>
                </w:p>
              </w:tc>
              <w:tc>
                <w:tcPr>
                  <w:tcW w:w="697" w:type="pct"/>
                  <w:vMerge w:val="continue"/>
                  <w:vAlign w:val="center"/>
                </w:tcPr>
                <w:p w14:paraId="1CE716CD">
                  <w:pPr>
                    <w:jc w:val="center"/>
                    <w:rPr>
                      <w:rFonts w:hint="default" w:ascii="Times New Roman" w:hAnsi="Times New Roman" w:cs="Times New Roman"/>
                      <w:color w:val="000000"/>
                      <w:sz w:val="21"/>
                      <w:szCs w:val="21"/>
                      <w:lang w:val="en-US" w:eastAsia="zh-CN"/>
                    </w:rPr>
                  </w:pPr>
                </w:p>
              </w:tc>
              <w:tc>
                <w:tcPr>
                  <w:tcW w:w="552" w:type="pct"/>
                  <w:vMerge w:val="continue"/>
                  <w:vAlign w:val="center"/>
                </w:tcPr>
                <w:p w14:paraId="58181399">
                  <w:pPr>
                    <w:pStyle w:val="23"/>
                    <w:jc w:val="center"/>
                    <w:rPr>
                      <w:sz w:val="21"/>
                      <w:szCs w:val="21"/>
                      <w:vertAlign w:val="baseline"/>
                    </w:rPr>
                  </w:pPr>
                </w:p>
              </w:tc>
            </w:tr>
            <w:tr w14:paraId="5F67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Align w:val="center"/>
                </w:tcPr>
                <w:p w14:paraId="4FAC1D95">
                  <w:pPr>
                    <w:pStyle w:val="23"/>
                    <w:jc w:val="center"/>
                    <w:rPr>
                      <w:rFonts w:hint="eastAsia" w:eastAsia="宋体"/>
                      <w:sz w:val="21"/>
                      <w:szCs w:val="21"/>
                      <w:vertAlign w:val="baseline"/>
                      <w:lang w:val="en-US" w:eastAsia="zh-CN"/>
                    </w:rPr>
                  </w:pPr>
                  <w:r>
                    <w:rPr>
                      <w:rFonts w:hint="eastAsia"/>
                      <w:sz w:val="21"/>
                      <w:szCs w:val="21"/>
                      <w:vertAlign w:val="baseline"/>
                      <w:lang w:val="en-US" w:eastAsia="zh-CN"/>
                    </w:rPr>
                    <w:t>3</w:t>
                  </w:r>
                </w:p>
              </w:tc>
              <w:tc>
                <w:tcPr>
                  <w:tcW w:w="766" w:type="pct"/>
                  <w:vAlign w:val="center"/>
                </w:tcPr>
                <w:p w14:paraId="1A24BE1B">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TA003风机</w:t>
                  </w:r>
                </w:p>
              </w:tc>
              <w:tc>
                <w:tcPr>
                  <w:tcW w:w="624" w:type="pct"/>
                  <w:vAlign w:val="center"/>
                </w:tcPr>
                <w:p w14:paraId="7226DA8A">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5</w:t>
                  </w:r>
                </w:p>
              </w:tc>
              <w:tc>
                <w:tcPr>
                  <w:tcW w:w="625" w:type="pct"/>
                  <w:vAlign w:val="center"/>
                </w:tcPr>
                <w:p w14:paraId="3BDB5111">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171</w:t>
                  </w:r>
                </w:p>
              </w:tc>
              <w:tc>
                <w:tcPr>
                  <w:tcW w:w="627" w:type="pct"/>
                  <w:vAlign w:val="center"/>
                </w:tcPr>
                <w:p w14:paraId="662B937F">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w:t>
                  </w:r>
                </w:p>
              </w:tc>
              <w:tc>
                <w:tcPr>
                  <w:tcW w:w="625" w:type="pct"/>
                  <w:vAlign w:val="center"/>
                </w:tcPr>
                <w:p w14:paraId="5FC756FE">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80</w:t>
                  </w:r>
                </w:p>
              </w:tc>
              <w:tc>
                <w:tcPr>
                  <w:tcW w:w="697" w:type="pct"/>
                  <w:vMerge w:val="continue"/>
                  <w:vAlign w:val="center"/>
                </w:tcPr>
                <w:p w14:paraId="0501A235">
                  <w:pPr>
                    <w:jc w:val="center"/>
                    <w:rPr>
                      <w:rFonts w:hint="default" w:ascii="Times New Roman" w:hAnsi="Times New Roman" w:cs="Times New Roman"/>
                      <w:color w:val="000000"/>
                      <w:sz w:val="21"/>
                      <w:szCs w:val="21"/>
                      <w:lang w:val="en-US" w:eastAsia="zh-CN"/>
                    </w:rPr>
                  </w:pPr>
                </w:p>
              </w:tc>
              <w:tc>
                <w:tcPr>
                  <w:tcW w:w="552" w:type="pct"/>
                  <w:vMerge w:val="continue"/>
                  <w:vAlign w:val="center"/>
                </w:tcPr>
                <w:p w14:paraId="6E46A0A6">
                  <w:pPr>
                    <w:pStyle w:val="23"/>
                    <w:jc w:val="center"/>
                    <w:rPr>
                      <w:sz w:val="21"/>
                      <w:szCs w:val="21"/>
                      <w:vertAlign w:val="baseline"/>
                    </w:rPr>
                  </w:pPr>
                </w:p>
              </w:tc>
            </w:tr>
          </w:tbl>
          <w:p w14:paraId="13D033D0">
            <w:pPr>
              <w:bidi w:val="0"/>
            </w:pPr>
          </w:p>
          <w:p w14:paraId="6AD6C10B">
            <w:pPr>
              <w:keepNext w:val="0"/>
              <w:keepLines w:val="0"/>
              <w:pageBreakBefore w:val="0"/>
              <w:widowControl/>
              <w:kinsoku/>
              <w:wordWrap/>
              <w:overflowPunct/>
              <w:topLinePunct w:val="0"/>
              <w:autoSpaceDE/>
              <w:autoSpaceDN/>
              <w:bidi w:val="0"/>
              <w:adjustRightInd/>
              <w:snapToGrid/>
              <w:spacing w:before="157" w:beforeLines="50" w:line="240" w:lineRule="auto"/>
              <w:ind w:right="0" w:firstLine="0" w:firstLineChars="0"/>
              <w:jc w:val="center"/>
              <w:textAlignment w:val="auto"/>
              <w:rPr>
                <w:rFonts w:hint="default"/>
                <w:b/>
                <w:kern w:val="0"/>
                <w:sz w:val="22"/>
                <w:szCs w:val="22"/>
                <w:lang w:val="en-US"/>
              </w:rPr>
            </w:pPr>
            <w:r>
              <w:rPr>
                <w:b/>
                <w:kern w:val="0"/>
                <w:sz w:val="22"/>
                <w:szCs w:val="22"/>
              </w:rPr>
              <w:t>表</w:t>
            </w:r>
            <w:r>
              <w:rPr>
                <w:rFonts w:hint="eastAsia"/>
                <w:b/>
                <w:kern w:val="0"/>
                <w:sz w:val="22"/>
                <w:szCs w:val="22"/>
                <w:lang w:val="en-US" w:eastAsia="zh-CN"/>
              </w:rPr>
              <w:t>4</w:t>
            </w:r>
            <w:r>
              <w:rPr>
                <w:b/>
                <w:kern w:val="0"/>
                <w:sz w:val="22"/>
                <w:szCs w:val="22"/>
              </w:rPr>
              <w:t>-</w:t>
            </w:r>
            <w:r>
              <w:rPr>
                <w:rFonts w:hint="eastAsia"/>
                <w:b/>
                <w:kern w:val="0"/>
                <w:sz w:val="22"/>
                <w:szCs w:val="22"/>
                <w:lang w:val="en-US" w:eastAsia="zh-CN"/>
              </w:rPr>
              <w:t>7</w:t>
            </w:r>
            <w:r>
              <w:rPr>
                <w:b/>
                <w:kern w:val="0"/>
                <w:sz w:val="22"/>
                <w:szCs w:val="22"/>
              </w:rPr>
              <w:t xml:space="preserve"> </w:t>
            </w:r>
            <w:r>
              <w:rPr>
                <w:rFonts w:hint="eastAsia"/>
                <w:b/>
                <w:kern w:val="0"/>
                <w:sz w:val="22"/>
                <w:szCs w:val="22"/>
                <w:lang w:val="en-US" w:eastAsia="zh-CN"/>
              </w:rPr>
              <w:t>室内主要噪声源强调查一览表  单位：</w:t>
            </w:r>
            <w:r>
              <w:rPr>
                <w:rFonts w:hint="default" w:ascii="Times New Roman" w:hAnsi="Times New Roman" w:cs="Times New Roman"/>
                <w:b/>
                <w:snapToGrid w:val="0"/>
                <w:spacing w:val="10"/>
                <w:sz w:val="21"/>
                <w:szCs w:val="21"/>
              </w:rPr>
              <w:t>dB（A</w:t>
            </w:r>
            <w:r>
              <w:rPr>
                <w:rFonts w:hint="default" w:ascii="Times New Roman" w:hAnsi="Times New Roman" w:cs="Times New Roman"/>
                <w:b/>
                <w:snapToGrid w:val="0"/>
                <w:spacing w:val="10"/>
                <w:sz w:val="21"/>
                <w:szCs w:val="21"/>
                <w:lang w:eastAsia="zh-CN"/>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888"/>
              <w:gridCol w:w="2192"/>
              <w:gridCol w:w="1766"/>
              <w:gridCol w:w="1502"/>
              <w:gridCol w:w="1481"/>
              <w:gridCol w:w="1677"/>
              <w:gridCol w:w="1596"/>
              <w:gridCol w:w="1069"/>
            </w:tblGrid>
            <w:tr w14:paraId="2F9D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Merge w:val="restart"/>
                  <w:noWrap w:val="0"/>
                  <w:vAlign w:val="center"/>
                </w:tcPr>
                <w:p w14:paraId="0328B799">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sz w:val="21"/>
                      <w:szCs w:val="21"/>
                    </w:rPr>
                    <w:t>序号</w:t>
                  </w:r>
                </w:p>
              </w:tc>
              <w:tc>
                <w:tcPr>
                  <w:tcW w:w="340" w:type="pct"/>
                  <w:vMerge w:val="restart"/>
                  <w:noWrap w:val="0"/>
                  <w:vAlign w:val="center"/>
                </w:tcPr>
                <w:p w14:paraId="12C9CCEC">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sz w:val="21"/>
                      <w:szCs w:val="21"/>
                    </w:rPr>
                    <w:t>建筑物名称</w:t>
                  </w:r>
                </w:p>
              </w:tc>
              <w:tc>
                <w:tcPr>
                  <w:tcW w:w="839" w:type="pct"/>
                  <w:vMerge w:val="restart"/>
                  <w:noWrap w:val="0"/>
                  <w:vAlign w:val="center"/>
                </w:tcPr>
                <w:p w14:paraId="29CD1B72">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sz w:val="21"/>
                      <w:szCs w:val="21"/>
                    </w:rPr>
                    <w:t>声源名称</w:t>
                  </w:r>
                </w:p>
              </w:tc>
              <w:tc>
                <w:tcPr>
                  <w:tcW w:w="676" w:type="pct"/>
                  <w:vMerge w:val="restart"/>
                  <w:noWrap w:val="0"/>
                  <w:vAlign w:val="center"/>
                </w:tcPr>
                <w:p w14:paraId="64551A56">
                  <w:pPr>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b/>
                      <w:snapToGrid w:val="0"/>
                      <w:spacing w:val="10"/>
                      <w:sz w:val="21"/>
                      <w:szCs w:val="21"/>
                    </w:rPr>
                    <w:t>声源源强dB（A</w:t>
                  </w:r>
                  <w:r>
                    <w:rPr>
                      <w:rFonts w:hint="default" w:ascii="Times New Roman" w:hAnsi="Times New Roman" w:cs="Times New Roman"/>
                      <w:b/>
                      <w:snapToGrid w:val="0"/>
                      <w:spacing w:val="10"/>
                      <w:sz w:val="21"/>
                      <w:szCs w:val="21"/>
                      <w:lang w:eastAsia="zh-CN"/>
                    </w:rPr>
                    <w:t>）</w:t>
                  </w:r>
                </w:p>
              </w:tc>
              <w:tc>
                <w:tcPr>
                  <w:tcW w:w="575" w:type="pct"/>
                  <w:vMerge w:val="restart"/>
                  <w:noWrap w:val="0"/>
                  <w:vAlign w:val="center"/>
                </w:tcPr>
                <w:p w14:paraId="3E93E65E">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sz w:val="21"/>
                      <w:szCs w:val="21"/>
                    </w:rPr>
                    <w:t>声源控制措施</w:t>
                  </w:r>
                </w:p>
              </w:tc>
              <w:tc>
                <w:tcPr>
                  <w:tcW w:w="1820" w:type="pct"/>
                  <w:gridSpan w:val="3"/>
                  <w:noWrap w:val="0"/>
                  <w:vAlign w:val="center"/>
                </w:tcPr>
                <w:p w14:paraId="368E6B5E">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sz w:val="21"/>
                      <w:szCs w:val="21"/>
                    </w:rPr>
                    <w:t>空间相对位置/m</w:t>
                  </w:r>
                </w:p>
              </w:tc>
              <w:tc>
                <w:tcPr>
                  <w:tcW w:w="409" w:type="pct"/>
                  <w:vMerge w:val="restart"/>
                  <w:noWrap w:val="0"/>
                  <w:vAlign w:val="center"/>
                </w:tcPr>
                <w:p w14:paraId="207A4C2F">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sz w:val="21"/>
                      <w:szCs w:val="21"/>
                    </w:rPr>
                    <w:t>运行时段</w:t>
                  </w:r>
                </w:p>
              </w:tc>
            </w:tr>
            <w:tr w14:paraId="0A80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Merge w:val="continue"/>
                  <w:shd w:val="clear" w:color="auto" w:fill="FFFFFF"/>
                  <w:noWrap w:val="0"/>
                  <w:vAlign w:val="center"/>
                </w:tcPr>
                <w:p w14:paraId="5EF47BCD">
                  <w:pPr>
                    <w:jc w:val="center"/>
                    <w:rPr>
                      <w:rFonts w:hint="default" w:ascii="Times New Roman" w:hAnsi="Times New Roman" w:eastAsia="宋体" w:cs="Times New Roman"/>
                      <w:color w:val="000000"/>
                      <w:sz w:val="21"/>
                      <w:szCs w:val="21"/>
                    </w:rPr>
                  </w:pPr>
                </w:p>
              </w:tc>
              <w:tc>
                <w:tcPr>
                  <w:tcW w:w="340" w:type="pct"/>
                  <w:vMerge w:val="continue"/>
                  <w:shd w:val="clear" w:color="auto" w:fill="FFFFFF"/>
                  <w:noWrap w:val="0"/>
                  <w:vAlign w:val="center"/>
                </w:tcPr>
                <w:p w14:paraId="595E3D13">
                  <w:pPr>
                    <w:jc w:val="center"/>
                    <w:rPr>
                      <w:rFonts w:hint="default" w:ascii="Times New Roman" w:hAnsi="Times New Roman" w:eastAsia="宋体" w:cs="Times New Roman"/>
                      <w:color w:val="000000"/>
                      <w:sz w:val="21"/>
                      <w:szCs w:val="21"/>
                    </w:rPr>
                  </w:pPr>
                </w:p>
              </w:tc>
              <w:tc>
                <w:tcPr>
                  <w:tcW w:w="839" w:type="pct"/>
                  <w:vMerge w:val="continue"/>
                  <w:shd w:val="clear" w:color="auto" w:fill="FFFFFF"/>
                  <w:noWrap w:val="0"/>
                  <w:vAlign w:val="center"/>
                </w:tcPr>
                <w:p w14:paraId="28BACF76">
                  <w:pPr>
                    <w:jc w:val="center"/>
                    <w:rPr>
                      <w:rFonts w:hint="default" w:ascii="Times New Roman" w:hAnsi="Times New Roman" w:eastAsia="宋体" w:cs="Times New Roman"/>
                      <w:color w:val="000000"/>
                      <w:sz w:val="21"/>
                      <w:szCs w:val="21"/>
                    </w:rPr>
                  </w:pPr>
                </w:p>
              </w:tc>
              <w:tc>
                <w:tcPr>
                  <w:tcW w:w="676" w:type="pct"/>
                  <w:vMerge w:val="continue"/>
                  <w:shd w:val="clear" w:color="auto" w:fill="FFFFFF"/>
                  <w:noWrap w:val="0"/>
                  <w:vAlign w:val="center"/>
                </w:tcPr>
                <w:p w14:paraId="4508FA87">
                  <w:pPr>
                    <w:jc w:val="center"/>
                    <w:rPr>
                      <w:rFonts w:hint="default" w:ascii="Times New Roman" w:hAnsi="Times New Roman" w:eastAsia="宋体" w:cs="Times New Roman"/>
                      <w:color w:val="000000"/>
                      <w:sz w:val="21"/>
                      <w:szCs w:val="21"/>
                    </w:rPr>
                  </w:pPr>
                </w:p>
              </w:tc>
              <w:tc>
                <w:tcPr>
                  <w:tcW w:w="575" w:type="pct"/>
                  <w:vMerge w:val="continue"/>
                  <w:shd w:val="clear" w:color="auto" w:fill="FFFFFF"/>
                  <w:noWrap w:val="0"/>
                  <w:vAlign w:val="center"/>
                </w:tcPr>
                <w:p w14:paraId="73172575">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7B54D2CD">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X</w:t>
                  </w:r>
                </w:p>
              </w:tc>
              <w:tc>
                <w:tcPr>
                  <w:tcW w:w="642" w:type="pct"/>
                  <w:shd w:val="clear" w:color="auto" w:fill="FFFFFF"/>
                  <w:noWrap w:val="0"/>
                  <w:vAlign w:val="center"/>
                </w:tcPr>
                <w:p w14:paraId="7E2D9665">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w:t>
                  </w:r>
                </w:p>
              </w:tc>
              <w:tc>
                <w:tcPr>
                  <w:tcW w:w="611" w:type="pct"/>
                  <w:shd w:val="clear" w:color="auto" w:fill="FFFFFF"/>
                  <w:noWrap w:val="0"/>
                  <w:vAlign w:val="center"/>
                </w:tcPr>
                <w:p w14:paraId="0909242D">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Z</w:t>
                  </w:r>
                </w:p>
              </w:tc>
              <w:tc>
                <w:tcPr>
                  <w:tcW w:w="409" w:type="pct"/>
                  <w:vMerge w:val="continue"/>
                  <w:shd w:val="clear" w:color="auto" w:fill="FFFFFF"/>
                  <w:noWrap w:val="0"/>
                  <w:vAlign w:val="center"/>
                </w:tcPr>
                <w:p w14:paraId="2900546E">
                  <w:pPr>
                    <w:jc w:val="center"/>
                    <w:rPr>
                      <w:rFonts w:hint="default" w:ascii="Times New Roman" w:hAnsi="Times New Roman" w:eastAsia="宋体" w:cs="Times New Roman"/>
                      <w:color w:val="000000"/>
                      <w:sz w:val="21"/>
                      <w:szCs w:val="21"/>
                    </w:rPr>
                  </w:pPr>
                </w:p>
              </w:tc>
            </w:tr>
            <w:tr w14:paraId="0C9E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08596412">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restart"/>
                  <w:shd w:val="clear" w:color="auto" w:fill="FFFFFF"/>
                  <w:noWrap w:val="0"/>
                  <w:vAlign w:val="center"/>
                </w:tcPr>
                <w:p w14:paraId="0764B417">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C车间</w:t>
                  </w:r>
                </w:p>
              </w:tc>
              <w:tc>
                <w:tcPr>
                  <w:tcW w:w="839" w:type="pct"/>
                  <w:shd w:val="clear" w:color="auto" w:fill="FFFFFF"/>
                  <w:noWrap w:val="0"/>
                  <w:vAlign w:val="center"/>
                </w:tcPr>
                <w:p w14:paraId="0BD1F2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spacing w:val="1"/>
                      <w:sz w:val="21"/>
                      <w:szCs w:val="21"/>
                    </w:rPr>
                    <w:t>感应圈缠绕专用设备</w:t>
                  </w:r>
                </w:p>
              </w:tc>
              <w:tc>
                <w:tcPr>
                  <w:tcW w:w="676" w:type="pct"/>
                  <w:shd w:val="clear" w:color="auto" w:fill="FFFFFF"/>
                  <w:noWrap w:val="0"/>
                  <w:vAlign w:val="center"/>
                </w:tcPr>
                <w:p w14:paraId="01AD47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575" w:type="pct"/>
                  <w:vMerge w:val="restart"/>
                  <w:shd w:val="clear" w:color="auto" w:fill="FFFFFF"/>
                  <w:noWrap w:val="0"/>
                  <w:vAlign w:val="center"/>
                </w:tcPr>
                <w:p w14:paraId="643424F3">
                  <w:pPr>
                    <w:jc w:val="center"/>
                    <w:rPr>
                      <w:rFonts w:hint="default" w:ascii="Times New Roman" w:hAnsi="Times New Roman" w:eastAsia="宋体" w:cs="Times New Roman"/>
                      <w:color w:val="000000"/>
                      <w:sz w:val="21"/>
                      <w:szCs w:val="21"/>
                    </w:rPr>
                  </w:pPr>
                  <w:r>
                    <w:rPr>
                      <w:rFonts w:hint="eastAsia" w:ascii="宋体" w:hAnsi="宋体" w:eastAsia="宋体" w:cs="宋体"/>
                      <w:i w:val="0"/>
                      <w:iCs w:val="0"/>
                      <w:color w:val="000000"/>
                      <w:kern w:val="0"/>
                      <w:sz w:val="21"/>
                      <w:szCs w:val="21"/>
                      <w:u w:val="none"/>
                      <w:lang w:val="en-US" w:eastAsia="zh-CN" w:bidi="ar"/>
                    </w:rPr>
                    <w:t>距离衰减、基础减震、房屋墙壁隔声等。</w:t>
                  </w:r>
                </w:p>
              </w:tc>
              <w:tc>
                <w:tcPr>
                  <w:tcW w:w="567" w:type="pct"/>
                  <w:shd w:val="clear" w:color="auto" w:fill="FFFFFF"/>
                  <w:noWrap w:val="0"/>
                  <w:vAlign w:val="center"/>
                </w:tcPr>
                <w:p w14:paraId="0E665F07">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28</w:t>
                  </w:r>
                </w:p>
              </w:tc>
              <w:tc>
                <w:tcPr>
                  <w:tcW w:w="642" w:type="pct"/>
                  <w:shd w:val="clear" w:color="auto" w:fill="FFFFFF"/>
                  <w:noWrap w:val="0"/>
                  <w:vAlign w:val="center"/>
                </w:tcPr>
                <w:p w14:paraId="05A41B5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177</w:t>
                  </w:r>
                </w:p>
              </w:tc>
              <w:tc>
                <w:tcPr>
                  <w:tcW w:w="611" w:type="pct"/>
                  <w:shd w:val="clear" w:color="auto" w:fill="FFFFFF"/>
                  <w:noWrap w:val="0"/>
                  <w:vAlign w:val="center"/>
                </w:tcPr>
                <w:p w14:paraId="25C4FD04">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restart"/>
                  <w:shd w:val="clear" w:color="auto" w:fill="FFFFFF"/>
                  <w:noWrap w:val="0"/>
                  <w:vAlign w:val="center"/>
                </w:tcPr>
                <w:p w14:paraId="1198A6F8">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昼间</w:t>
                  </w:r>
                </w:p>
              </w:tc>
            </w:tr>
            <w:tr w14:paraId="7002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40D7911B">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50C99E2D">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1290DA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卧式端面铣床</w:t>
                  </w:r>
                </w:p>
              </w:tc>
              <w:tc>
                <w:tcPr>
                  <w:tcW w:w="676" w:type="pct"/>
                  <w:shd w:val="clear" w:color="auto" w:fill="auto"/>
                  <w:noWrap w:val="0"/>
                  <w:vAlign w:val="center"/>
                </w:tcPr>
                <w:p w14:paraId="314A4AD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75" w:type="pct"/>
                  <w:vMerge w:val="continue"/>
                  <w:shd w:val="clear" w:color="auto" w:fill="FFFFFF"/>
                  <w:noWrap w:val="0"/>
                  <w:vAlign w:val="center"/>
                </w:tcPr>
                <w:p w14:paraId="01FF5FBC">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0856E82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13</w:t>
                  </w:r>
                </w:p>
              </w:tc>
              <w:tc>
                <w:tcPr>
                  <w:tcW w:w="642" w:type="pct"/>
                  <w:shd w:val="clear" w:color="auto" w:fill="FFFFFF"/>
                  <w:noWrap w:val="0"/>
                  <w:vAlign w:val="center"/>
                </w:tcPr>
                <w:p w14:paraId="7BE656F6">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177</w:t>
                  </w:r>
                </w:p>
              </w:tc>
              <w:tc>
                <w:tcPr>
                  <w:tcW w:w="611" w:type="pct"/>
                  <w:shd w:val="clear" w:color="auto" w:fill="FFFFFF"/>
                  <w:noWrap w:val="0"/>
                  <w:vAlign w:val="center"/>
                </w:tcPr>
                <w:p w14:paraId="7E1F23BD">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366ED6D1">
                  <w:pPr>
                    <w:jc w:val="center"/>
                    <w:rPr>
                      <w:rFonts w:hint="default" w:ascii="Times New Roman" w:hAnsi="Times New Roman" w:eastAsia="宋体" w:cs="Times New Roman"/>
                      <w:color w:val="000000"/>
                      <w:sz w:val="21"/>
                      <w:szCs w:val="21"/>
                      <w:lang w:val="en-US" w:eastAsia="zh-CN"/>
                    </w:rPr>
                  </w:pPr>
                </w:p>
              </w:tc>
            </w:tr>
            <w:tr w14:paraId="68C8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54B2C642">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2971D181">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657CD0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eastAsiaTheme="minorEastAsia"/>
                      <w:color w:val="000000"/>
                      <w:sz w:val="21"/>
                      <w:szCs w:val="21"/>
                    </w:rPr>
                    <w:t>线圈缠绕机</w:t>
                  </w:r>
                </w:p>
              </w:tc>
              <w:tc>
                <w:tcPr>
                  <w:tcW w:w="676" w:type="pct"/>
                  <w:shd w:val="clear" w:color="auto" w:fill="auto"/>
                  <w:noWrap w:val="0"/>
                  <w:vAlign w:val="center"/>
                </w:tcPr>
                <w:p w14:paraId="236ECB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75" w:type="pct"/>
                  <w:vMerge w:val="continue"/>
                  <w:shd w:val="clear" w:color="auto" w:fill="FFFFFF"/>
                  <w:noWrap w:val="0"/>
                  <w:vAlign w:val="center"/>
                </w:tcPr>
                <w:p w14:paraId="45813C84">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25BEDE9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642" w:type="pct"/>
                  <w:shd w:val="clear" w:color="auto" w:fill="auto"/>
                  <w:noWrap w:val="0"/>
                  <w:vAlign w:val="center"/>
                </w:tcPr>
                <w:p w14:paraId="65A72D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611" w:type="pct"/>
                  <w:shd w:val="clear" w:color="auto" w:fill="FFFFFF"/>
                  <w:noWrap w:val="0"/>
                  <w:vAlign w:val="center"/>
                </w:tcPr>
                <w:p w14:paraId="74F18A5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456EDAE7">
                  <w:pPr>
                    <w:jc w:val="center"/>
                    <w:rPr>
                      <w:rFonts w:hint="default" w:ascii="Times New Roman" w:hAnsi="Times New Roman" w:eastAsia="宋体" w:cs="Times New Roman"/>
                      <w:color w:val="000000"/>
                      <w:sz w:val="21"/>
                      <w:szCs w:val="21"/>
                      <w:lang w:val="en-US" w:eastAsia="zh-CN"/>
                    </w:rPr>
                  </w:pPr>
                </w:p>
              </w:tc>
            </w:tr>
            <w:tr w14:paraId="429B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03B6755C">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2016B659">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0B675B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液压冲孔机</w:t>
                  </w:r>
                </w:p>
              </w:tc>
              <w:tc>
                <w:tcPr>
                  <w:tcW w:w="676" w:type="pct"/>
                  <w:shd w:val="clear" w:color="auto" w:fill="auto"/>
                  <w:noWrap w:val="0"/>
                  <w:vAlign w:val="center"/>
                </w:tcPr>
                <w:p w14:paraId="499D26E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75" w:type="pct"/>
                  <w:vMerge w:val="continue"/>
                  <w:shd w:val="clear" w:color="auto" w:fill="FFFFFF"/>
                  <w:noWrap w:val="0"/>
                  <w:vAlign w:val="center"/>
                </w:tcPr>
                <w:p w14:paraId="3EB4538E">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19FDADD5">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642" w:type="pct"/>
                  <w:shd w:val="clear" w:color="auto" w:fill="auto"/>
                  <w:noWrap w:val="0"/>
                  <w:vAlign w:val="center"/>
                </w:tcPr>
                <w:p w14:paraId="477714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611" w:type="pct"/>
                  <w:shd w:val="clear" w:color="auto" w:fill="FFFFFF"/>
                  <w:noWrap w:val="0"/>
                  <w:vAlign w:val="center"/>
                </w:tcPr>
                <w:p w14:paraId="04DC048A">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1D9D34CF">
                  <w:pPr>
                    <w:jc w:val="center"/>
                    <w:rPr>
                      <w:rFonts w:hint="default" w:ascii="Times New Roman" w:hAnsi="Times New Roman" w:eastAsia="宋体" w:cs="Times New Roman"/>
                      <w:color w:val="000000"/>
                      <w:sz w:val="21"/>
                      <w:szCs w:val="21"/>
                      <w:lang w:val="en-US" w:eastAsia="zh-CN"/>
                    </w:rPr>
                  </w:pPr>
                </w:p>
              </w:tc>
            </w:tr>
            <w:tr w14:paraId="1CEF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3FAB233D">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301359E1">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31178D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氩弧焊机</w:t>
                  </w:r>
                </w:p>
              </w:tc>
              <w:tc>
                <w:tcPr>
                  <w:tcW w:w="676" w:type="pct"/>
                  <w:shd w:val="clear" w:color="auto" w:fill="auto"/>
                  <w:noWrap w:val="0"/>
                  <w:vAlign w:val="center"/>
                </w:tcPr>
                <w:p w14:paraId="41B20F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75" w:type="pct"/>
                  <w:vMerge w:val="continue"/>
                  <w:shd w:val="clear" w:color="auto" w:fill="FFFFFF"/>
                  <w:noWrap w:val="0"/>
                  <w:vAlign w:val="center"/>
                </w:tcPr>
                <w:p w14:paraId="645AF0B9">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329791F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642" w:type="pct"/>
                  <w:shd w:val="clear" w:color="auto" w:fill="auto"/>
                  <w:noWrap w:val="0"/>
                  <w:vAlign w:val="center"/>
                </w:tcPr>
                <w:p w14:paraId="32E7AB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611" w:type="pct"/>
                  <w:shd w:val="clear" w:color="auto" w:fill="FFFFFF"/>
                  <w:noWrap w:val="0"/>
                  <w:vAlign w:val="center"/>
                </w:tcPr>
                <w:p w14:paraId="148C6D63">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0C4B803B">
                  <w:pPr>
                    <w:jc w:val="center"/>
                    <w:rPr>
                      <w:rFonts w:hint="default" w:ascii="Times New Roman" w:hAnsi="Times New Roman" w:eastAsia="宋体" w:cs="Times New Roman"/>
                      <w:color w:val="000000"/>
                      <w:sz w:val="21"/>
                      <w:szCs w:val="21"/>
                      <w:lang w:val="en-US" w:eastAsia="zh-CN"/>
                    </w:rPr>
                  </w:pPr>
                </w:p>
              </w:tc>
            </w:tr>
            <w:tr w14:paraId="5935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78D6F5C8">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6F751815">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5EF180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pacing w:val="1"/>
                      <w:sz w:val="21"/>
                      <w:szCs w:val="21"/>
                    </w:rPr>
                    <w:t>感应圈缠绕专用设备</w:t>
                  </w:r>
                </w:p>
              </w:tc>
              <w:tc>
                <w:tcPr>
                  <w:tcW w:w="676" w:type="pct"/>
                  <w:shd w:val="clear" w:color="auto" w:fill="auto"/>
                  <w:noWrap w:val="0"/>
                  <w:vAlign w:val="center"/>
                </w:tcPr>
                <w:p w14:paraId="6C39A2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575" w:type="pct"/>
                  <w:vMerge w:val="continue"/>
                  <w:shd w:val="clear" w:color="auto" w:fill="FFFFFF"/>
                  <w:noWrap w:val="0"/>
                  <w:vAlign w:val="center"/>
                </w:tcPr>
                <w:p w14:paraId="3D43DC4C">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08D633CA">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642" w:type="pct"/>
                  <w:shd w:val="clear" w:color="auto" w:fill="auto"/>
                  <w:noWrap w:val="0"/>
                  <w:vAlign w:val="center"/>
                </w:tcPr>
                <w:p w14:paraId="0C1B34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611" w:type="pct"/>
                  <w:shd w:val="clear" w:color="auto" w:fill="FFFFFF"/>
                  <w:noWrap w:val="0"/>
                  <w:vAlign w:val="center"/>
                </w:tcPr>
                <w:p w14:paraId="5BB3C15A">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1DCEB36E">
                  <w:pPr>
                    <w:jc w:val="center"/>
                    <w:rPr>
                      <w:rFonts w:hint="default" w:ascii="Times New Roman" w:hAnsi="Times New Roman" w:eastAsia="宋体" w:cs="Times New Roman"/>
                      <w:color w:val="000000"/>
                      <w:sz w:val="21"/>
                      <w:szCs w:val="21"/>
                      <w:lang w:val="en-US" w:eastAsia="zh-CN"/>
                    </w:rPr>
                  </w:pPr>
                </w:p>
              </w:tc>
            </w:tr>
            <w:tr w14:paraId="1F7E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664443F7">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5F75CE2A">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374B88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打压仪</w:t>
                  </w:r>
                </w:p>
              </w:tc>
              <w:tc>
                <w:tcPr>
                  <w:tcW w:w="676" w:type="pct"/>
                  <w:shd w:val="clear" w:color="auto" w:fill="auto"/>
                  <w:noWrap w:val="0"/>
                  <w:vAlign w:val="center"/>
                </w:tcPr>
                <w:p w14:paraId="4C3004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75" w:type="pct"/>
                  <w:vMerge w:val="continue"/>
                  <w:shd w:val="clear" w:color="auto" w:fill="FFFFFF"/>
                  <w:noWrap w:val="0"/>
                  <w:vAlign w:val="center"/>
                </w:tcPr>
                <w:p w14:paraId="1E92180E">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2A534DE8">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642" w:type="pct"/>
                  <w:shd w:val="clear" w:color="auto" w:fill="auto"/>
                  <w:noWrap w:val="0"/>
                  <w:vAlign w:val="center"/>
                </w:tcPr>
                <w:p w14:paraId="52272C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611" w:type="pct"/>
                  <w:shd w:val="clear" w:color="auto" w:fill="FFFFFF"/>
                  <w:noWrap w:val="0"/>
                  <w:vAlign w:val="center"/>
                </w:tcPr>
                <w:p w14:paraId="41B2A4A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29DCE806">
                  <w:pPr>
                    <w:jc w:val="center"/>
                    <w:rPr>
                      <w:rFonts w:hint="default" w:ascii="Times New Roman" w:hAnsi="Times New Roman" w:eastAsia="宋体" w:cs="Times New Roman"/>
                      <w:color w:val="000000"/>
                      <w:sz w:val="21"/>
                      <w:szCs w:val="21"/>
                      <w:lang w:val="en-US" w:eastAsia="zh-CN"/>
                    </w:rPr>
                  </w:pPr>
                </w:p>
              </w:tc>
            </w:tr>
            <w:tr w14:paraId="60F3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41993A16">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3012B1D7">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550255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线圈缠绕机</w:t>
                  </w:r>
                </w:p>
              </w:tc>
              <w:tc>
                <w:tcPr>
                  <w:tcW w:w="676" w:type="pct"/>
                  <w:shd w:val="clear" w:color="auto" w:fill="auto"/>
                  <w:noWrap w:val="0"/>
                  <w:vAlign w:val="center"/>
                </w:tcPr>
                <w:p w14:paraId="039903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75" w:type="pct"/>
                  <w:vMerge w:val="continue"/>
                  <w:shd w:val="clear" w:color="auto" w:fill="FFFFFF"/>
                  <w:noWrap w:val="0"/>
                  <w:vAlign w:val="center"/>
                </w:tcPr>
                <w:p w14:paraId="0D404A9A">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0A5591E5">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28</w:t>
                  </w:r>
                </w:p>
              </w:tc>
              <w:tc>
                <w:tcPr>
                  <w:tcW w:w="642" w:type="pct"/>
                  <w:shd w:val="clear" w:color="auto" w:fill="auto"/>
                  <w:noWrap w:val="0"/>
                  <w:vAlign w:val="center"/>
                </w:tcPr>
                <w:p w14:paraId="34466D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611" w:type="pct"/>
                  <w:shd w:val="clear" w:color="auto" w:fill="FFFFFF"/>
                  <w:noWrap w:val="0"/>
                  <w:vAlign w:val="center"/>
                </w:tcPr>
                <w:p w14:paraId="2C077DE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678B53FD">
                  <w:pPr>
                    <w:jc w:val="center"/>
                    <w:rPr>
                      <w:rFonts w:hint="default" w:ascii="Times New Roman" w:hAnsi="Times New Roman" w:eastAsia="宋体" w:cs="Times New Roman"/>
                      <w:color w:val="000000"/>
                      <w:sz w:val="21"/>
                      <w:szCs w:val="21"/>
                      <w:lang w:val="en-US" w:eastAsia="zh-CN"/>
                    </w:rPr>
                  </w:pPr>
                </w:p>
              </w:tc>
            </w:tr>
            <w:tr w14:paraId="14AB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43D53640">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383F09D5">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590A0B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液压剪板机</w:t>
                  </w:r>
                </w:p>
              </w:tc>
              <w:tc>
                <w:tcPr>
                  <w:tcW w:w="676" w:type="pct"/>
                  <w:shd w:val="clear" w:color="auto" w:fill="auto"/>
                  <w:noWrap w:val="0"/>
                  <w:vAlign w:val="center"/>
                </w:tcPr>
                <w:p w14:paraId="414AC0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75" w:type="pct"/>
                  <w:vMerge w:val="continue"/>
                  <w:shd w:val="clear" w:color="auto" w:fill="FFFFFF"/>
                  <w:noWrap w:val="0"/>
                  <w:vAlign w:val="center"/>
                </w:tcPr>
                <w:p w14:paraId="18A81326">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07BCACE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28</w:t>
                  </w:r>
                </w:p>
              </w:tc>
              <w:tc>
                <w:tcPr>
                  <w:tcW w:w="642" w:type="pct"/>
                  <w:shd w:val="clear" w:color="auto" w:fill="auto"/>
                  <w:noWrap w:val="0"/>
                  <w:vAlign w:val="center"/>
                </w:tcPr>
                <w:p w14:paraId="0DBF2F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611" w:type="pct"/>
                  <w:shd w:val="clear" w:color="auto" w:fill="FFFFFF"/>
                  <w:noWrap w:val="0"/>
                  <w:vAlign w:val="center"/>
                </w:tcPr>
                <w:p w14:paraId="4D94566F">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71D26CE9">
                  <w:pPr>
                    <w:jc w:val="center"/>
                    <w:rPr>
                      <w:rFonts w:hint="default" w:ascii="Times New Roman" w:hAnsi="Times New Roman" w:eastAsia="宋体" w:cs="Times New Roman"/>
                      <w:color w:val="000000"/>
                      <w:sz w:val="21"/>
                      <w:szCs w:val="21"/>
                      <w:lang w:val="en-US" w:eastAsia="zh-CN"/>
                    </w:rPr>
                  </w:pPr>
                </w:p>
              </w:tc>
            </w:tr>
            <w:tr w14:paraId="0EAE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44D1A11E">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735CA6DC">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72F3562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000000"/>
                      <w:kern w:val="0"/>
                      <w:sz w:val="21"/>
                      <w:szCs w:val="21"/>
                    </w:rPr>
                    <w:t>电热鼓风恒温干燥箱</w:t>
                  </w:r>
                </w:p>
              </w:tc>
              <w:tc>
                <w:tcPr>
                  <w:tcW w:w="676" w:type="pct"/>
                  <w:shd w:val="clear" w:color="auto" w:fill="auto"/>
                  <w:noWrap w:val="0"/>
                  <w:vAlign w:val="center"/>
                </w:tcPr>
                <w:p w14:paraId="41B35E5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75" w:type="pct"/>
                  <w:vMerge w:val="continue"/>
                  <w:shd w:val="clear" w:color="auto" w:fill="FFFFFF"/>
                  <w:noWrap w:val="0"/>
                  <w:vAlign w:val="center"/>
                </w:tcPr>
                <w:p w14:paraId="0FB882C4">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3FEC86D9">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28</w:t>
                  </w:r>
                </w:p>
              </w:tc>
              <w:tc>
                <w:tcPr>
                  <w:tcW w:w="642" w:type="pct"/>
                  <w:shd w:val="clear" w:color="auto" w:fill="auto"/>
                  <w:noWrap w:val="0"/>
                  <w:vAlign w:val="center"/>
                </w:tcPr>
                <w:p w14:paraId="1652C8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611" w:type="pct"/>
                  <w:shd w:val="clear" w:color="auto" w:fill="FFFFFF"/>
                  <w:noWrap w:val="0"/>
                  <w:vAlign w:val="center"/>
                </w:tcPr>
                <w:p w14:paraId="5AF7640E">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18481E4E">
                  <w:pPr>
                    <w:jc w:val="center"/>
                    <w:rPr>
                      <w:rFonts w:hint="default" w:ascii="Times New Roman" w:hAnsi="Times New Roman" w:eastAsia="宋体" w:cs="Times New Roman"/>
                      <w:color w:val="000000"/>
                      <w:sz w:val="21"/>
                      <w:szCs w:val="21"/>
                      <w:lang w:val="en-US" w:eastAsia="zh-CN"/>
                    </w:rPr>
                  </w:pPr>
                </w:p>
              </w:tc>
            </w:tr>
            <w:tr w14:paraId="06F6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1540CC65">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7E07BDD0">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17720E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气体保护焊机</w:t>
                  </w:r>
                </w:p>
              </w:tc>
              <w:tc>
                <w:tcPr>
                  <w:tcW w:w="676" w:type="pct"/>
                  <w:shd w:val="clear" w:color="auto" w:fill="auto"/>
                  <w:noWrap w:val="0"/>
                  <w:vAlign w:val="center"/>
                </w:tcPr>
                <w:p w14:paraId="6DCAB4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75" w:type="pct"/>
                  <w:vMerge w:val="continue"/>
                  <w:shd w:val="clear" w:color="auto" w:fill="FFFFFF"/>
                  <w:noWrap w:val="0"/>
                  <w:vAlign w:val="center"/>
                </w:tcPr>
                <w:p w14:paraId="0C41BA25">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50444A3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28</w:t>
                  </w:r>
                </w:p>
              </w:tc>
              <w:tc>
                <w:tcPr>
                  <w:tcW w:w="642" w:type="pct"/>
                  <w:shd w:val="clear" w:color="auto" w:fill="auto"/>
                  <w:noWrap w:val="0"/>
                  <w:vAlign w:val="center"/>
                </w:tcPr>
                <w:p w14:paraId="2AC0E1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611" w:type="pct"/>
                  <w:shd w:val="clear" w:color="auto" w:fill="FFFFFF"/>
                  <w:noWrap w:val="0"/>
                  <w:vAlign w:val="center"/>
                </w:tcPr>
                <w:p w14:paraId="620E09EB">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34D74A8C">
                  <w:pPr>
                    <w:jc w:val="center"/>
                    <w:rPr>
                      <w:rFonts w:hint="default" w:ascii="Times New Roman" w:hAnsi="Times New Roman" w:eastAsia="宋体" w:cs="Times New Roman"/>
                      <w:color w:val="000000"/>
                      <w:sz w:val="21"/>
                      <w:szCs w:val="21"/>
                      <w:lang w:val="en-US" w:eastAsia="zh-CN"/>
                    </w:rPr>
                  </w:pPr>
                </w:p>
              </w:tc>
            </w:tr>
            <w:tr w14:paraId="1C4E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3569F4EA">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03F3898C">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175509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交流弧焊机</w:t>
                  </w:r>
                </w:p>
              </w:tc>
              <w:tc>
                <w:tcPr>
                  <w:tcW w:w="676" w:type="pct"/>
                  <w:shd w:val="clear" w:color="auto" w:fill="auto"/>
                  <w:noWrap w:val="0"/>
                  <w:vAlign w:val="center"/>
                </w:tcPr>
                <w:p w14:paraId="578152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75" w:type="pct"/>
                  <w:vMerge w:val="continue"/>
                  <w:shd w:val="clear" w:color="auto" w:fill="FFFFFF"/>
                  <w:noWrap w:val="0"/>
                  <w:vAlign w:val="center"/>
                </w:tcPr>
                <w:p w14:paraId="7763B4B8">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3AA5589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28</w:t>
                  </w:r>
                </w:p>
              </w:tc>
              <w:tc>
                <w:tcPr>
                  <w:tcW w:w="642" w:type="pct"/>
                  <w:shd w:val="clear" w:color="auto" w:fill="auto"/>
                  <w:noWrap w:val="0"/>
                  <w:vAlign w:val="center"/>
                </w:tcPr>
                <w:p w14:paraId="4B4C60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611" w:type="pct"/>
                  <w:shd w:val="clear" w:color="auto" w:fill="FFFFFF"/>
                  <w:noWrap w:val="0"/>
                  <w:vAlign w:val="center"/>
                </w:tcPr>
                <w:p w14:paraId="5432B63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0092366B">
                  <w:pPr>
                    <w:jc w:val="center"/>
                    <w:rPr>
                      <w:rFonts w:hint="default" w:ascii="Times New Roman" w:hAnsi="Times New Roman" w:eastAsia="宋体" w:cs="Times New Roman"/>
                      <w:color w:val="000000"/>
                      <w:sz w:val="21"/>
                      <w:szCs w:val="21"/>
                      <w:lang w:val="en-US" w:eastAsia="zh-CN"/>
                    </w:rPr>
                  </w:pPr>
                </w:p>
              </w:tc>
            </w:tr>
            <w:tr w14:paraId="2A79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0770B080">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7FBF32AE">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0136FB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三辊对称机械式卷板机</w:t>
                  </w:r>
                </w:p>
              </w:tc>
              <w:tc>
                <w:tcPr>
                  <w:tcW w:w="676" w:type="pct"/>
                  <w:shd w:val="clear" w:color="auto" w:fill="auto"/>
                  <w:noWrap w:val="0"/>
                  <w:vAlign w:val="center"/>
                </w:tcPr>
                <w:p w14:paraId="24AC15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75" w:type="pct"/>
                  <w:vMerge w:val="continue"/>
                  <w:shd w:val="clear" w:color="auto" w:fill="FFFFFF"/>
                  <w:noWrap w:val="0"/>
                  <w:vAlign w:val="center"/>
                </w:tcPr>
                <w:p w14:paraId="5B85AD0E">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0AA76129">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28</w:t>
                  </w:r>
                </w:p>
              </w:tc>
              <w:tc>
                <w:tcPr>
                  <w:tcW w:w="642" w:type="pct"/>
                  <w:shd w:val="clear" w:color="auto" w:fill="auto"/>
                  <w:noWrap w:val="0"/>
                  <w:vAlign w:val="center"/>
                </w:tcPr>
                <w:p w14:paraId="43B8BDB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611" w:type="pct"/>
                  <w:shd w:val="clear" w:color="auto" w:fill="FFFFFF"/>
                  <w:noWrap w:val="0"/>
                  <w:vAlign w:val="center"/>
                </w:tcPr>
                <w:p w14:paraId="2198A73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253E58B0">
                  <w:pPr>
                    <w:jc w:val="center"/>
                    <w:rPr>
                      <w:rFonts w:hint="default" w:ascii="Times New Roman" w:hAnsi="Times New Roman" w:eastAsia="宋体" w:cs="Times New Roman"/>
                      <w:color w:val="000000"/>
                      <w:sz w:val="21"/>
                      <w:szCs w:val="21"/>
                      <w:lang w:val="en-US" w:eastAsia="zh-CN"/>
                    </w:rPr>
                  </w:pPr>
                </w:p>
              </w:tc>
            </w:tr>
            <w:tr w14:paraId="1F9A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1074ACF9">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59AF40B6">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3C2720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线圈焊接机</w:t>
                  </w:r>
                </w:p>
              </w:tc>
              <w:tc>
                <w:tcPr>
                  <w:tcW w:w="676" w:type="pct"/>
                  <w:shd w:val="clear" w:color="auto" w:fill="auto"/>
                  <w:noWrap w:val="0"/>
                  <w:vAlign w:val="center"/>
                </w:tcPr>
                <w:p w14:paraId="18C6C6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75" w:type="pct"/>
                  <w:vMerge w:val="continue"/>
                  <w:shd w:val="clear" w:color="auto" w:fill="FFFFFF"/>
                  <w:noWrap w:val="0"/>
                  <w:vAlign w:val="center"/>
                </w:tcPr>
                <w:p w14:paraId="63136679">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7FAC8AC4">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28</w:t>
                  </w:r>
                </w:p>
              </w:tc>
              <w:tc>
                <w:tcPr>
                  <w:tcW w:w="642" w:type="pct"/>
                  <w:shd w:val="clear" w:color="auto" w:fill="auto"/>
                  <w:noWrap w:val="0"/>
                  <w:vAlign w:val="center"/>
                </w:tcPr>
                <w:p w14:paraId="22D2B6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611" w:type="pct"/>
                  <w:shd w:val="clear" w:color="auto" w:fill="FFFFFF"/>
                  <w:noWrap w:val="0"/>
                  <w:vAlign w:val="center"/>
                </w:tcPr>
                <w:p w14:paraId="425F9A29">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08999ED1">
                  <w:pPr>
                    <w:jc w:val="center"/>
                    <w:rPr>
                      <w:rFonts w:hint="default" w:ascii="Times New Roman" w:hAnsi="Times New Roman" w:eastAsia="宋体" w:cs="Times New Roman"/>
                      <w:color w:val="000000"/>
                      <w:sz w:val="21"/>
                      <w:szCs w:val="21"/>
                      <w:lang w:val="en-US" w:eastAsia="zh-CN"/>
                    </w:rPr>
                  </w:pPr>
                </w:p>
              </w:tc>
            </w:tr>
            <w:tr w14:paraId="4A02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1B0FBE6A">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restart"/>
                  <w:shd w:val="clear" w:color="auto" w:fill="FFFFFF"/>
                  <w:noWrap w:val="0"/>
                  <w:vAlign w:val="center"/>
                </w:tcPr>
                <w:p w14:paraId="4527E269">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B车间</w:t>
                  </w:r>
                </w:p>
              </w:tc>
              <w:tc>
                <w:tcPr>
                  <w:tcW w:w="839" w:type="pct"/>
                  <w:shd w:val="clear" w:color="auto" w:fill="auto"/>
                  <w:noWrap w:val="0"/>
                  <w:vAlign w:val="center"/>
                </w:tcPr>
                <w:p w14:paraId="651489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精密剪板机</w:t>
                  </w:r>
                </w:p>
              </w:tc>
              <w:tc>
                <w:tcPr>
                  <w:tcW w:w="676" w:type="pct"/>
                  <w:shd w:val="clear" w:color="auto" w:fill="auto"/>
                  <w:noWrap w:val="0"/>
                  <w:vAlign w:val="center"/>
                </w:tcPr>
                <w:p w14:paraId="15C10A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75" w:type="pct"/>
                  <w:vMerge w:val="continue"/>
                  <w:shd w:val="clear" w:color="auto" w:fill="FFFFFF"/>
                  <w:noWrap w:val="0"/>
                  <w:vAlign w:val="center"/>
                </w:tcPr>
                <w:p w14:paraId="64CFC359">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1213E7CD">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55</w:t>
                  </w:r>
                </w:p>
              </w:tc>
              <w:tc>
                <w:tcPr>
                  <w:tcW w:w="642" w:type="pct"/>
                  <w:shd w:val="clear" w:color="auto" w:fill="FFFFFF"/>
                  <w:noWrap w:val="0"/>
                  <w:vAlign w:val="center"/>
                </w:tcPr>
                <w:p w14:paraId="0878C7E5">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212</w:t>
                  </w:r>
                </w:p>
              </w:tc>
              <w:tc>
                <w:tcPr>
                  <w:tcW w:w="611" w:type="pct"/>
                  <w:shd w:val="clear" w:color="auto" w:fill="FFFFFF"/>
                  <w:noWrap w:val="0"/>
                  <w:vAlign w:val="center"/>
                </w:tcPr>
                <w:p w14:paraId="5AE63FD2">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08CF2B4A">
                  <w:pPr>
                    <w:jc w:val="center"/>
                    <w:rPr>
                      <w:rFonts w:hint="default" w:ascii="Times New Roman" w:hAnsi="Times New Roman" w:eastAsia="宋体" w:cs="Times New Roman"/>
                      <w:color w:val="000000"/>
                      <w:kern w:val="2"/>
                      <w:sz w:val="21"/>
                      <w:szCs w:val="21"/>
                      <w:lang w:val="en-US" w:eastAsia="zh-CN" w:bidi="ar-SA"/>
                    </w:rPr>
                  </w:pPr>
                </w:p>
              </w:tc>
            </w:tr>
            <w:tr w14:paraId="2C88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3C4C18BA">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65FDEC41">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2BA8DE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数控横剪机</w:t>
                  </w:r>
                </w:p>
              </w:tc>
              <w:tc>
                <w:tcPr>
                  <w:tcW w:w="676" w:type="pct"/>
                  <w:shd w:val="clear" w:color="auto" w:fill="auto"/>
                  <w:noWrap w:val="0"/>
                  <w:vAlign w:val="center"/>
                </w:tcPr>
                <w:p w14:paraId="61E8B0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75" w:type="pct"/>
                  <w:vMerge w:val="continue"/>
                  <w:shd w:val="clear" w:color="auto" w:fill="FFFFFF"/>
                  <w:noWrap w:val="0"/>
                  <w:vAlign w:val="center"/>
                </w:tcPr>
                <w:p w14:paraId="31F2D2F5">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482474C1">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57</w:t>
                  </w:r>
                </w:p>
              </w:tc>
              <w:tc>
                <w:tcPr>
                  <w:tcW w:w="642" w:type="pct"/>
                  <w:shd w:val="clear" w:color="auto" w:fill="FFFFFF"/>
                  <w:noWrap w:val="0"/>
                  <w:vAlign w:val="center"/>
                </w:tcPr>
                <w:p w14:paraId="330D9200">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212</w:t>
                  </w:r>
                </w:p>
              </w:tc>
              <w:tc>
                <w:tcPr>
                  <w:tcW w:w="611" w:type="pct"/>
                  <w:shd w:val="clear" w:color="auto" w:fill="FFFFFF"/>
                  <w:noWrap w:val="0"/>
                  <w:vAlign w:val="center"/>
                </w:tcPr>
                <w:p w14:paraId="65545ECD">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53FC979D">
                  <w:pPr>
                    <w:jc w:val="center"/>
                    <w:rPr>
                      <w:rFonts w:hint="default" w:ascii="Times New Roman" w:hAnsi="Times New Roman" w:eastAsia="宋体" w:cs="Times New Roman"/>
                      <w:color w:val="000000"/>
                      <w:kern w:val="2"/>
                      <w:sz w:val="21"/>
                      <w:szCs w:val="21"/>
                      <w:lang w:val="en-US" w:eastAsia="zh-CN" w:bidi="ar-SA"/>
                    </w:rPr>
                  </w:pPr>
                </w:p>
              </w:tc>
            </w:tr>
            <w:tr w14:paraId="43E9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3D5634D3">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1CD291C4">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592A87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多条板料剪切床</w:t>
                  </w:r>
                </w:p>
              </w:tc>
              <w:tc>
                <w:tcPr>
                  <w:tcW w:w="676" w:type="pct"/>
                  <w:shd w:val="clear" w:color="auto" w:fill="auto"/>
                  <w:noWrap w:val="0"/>
                  <w:vAlign w:val="center"/>
                </w:tcPr>
                <w:p w14:paraId="68D197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75" w:type="pct"/>
                  <w:vMerge w:val="continue"/>
                  <w:shd w:val="clear" w:color="auto" w:fill="FFFFFF"/>
                  <w:noWrap w:val="0"/>
                  <w:vAlign w:val="center"/>
                </w:tcPr>
                <w:p w14:paraId="6183A170">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5155BFD7">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111</w:t>
                  </w:r>
                </w:p>
              </w:tc>
              <w:tc>
                <w:tcPr>
                  <w:tcW w:w="642" w:type="pct"/>
                  <w:shd w:val="clear" w:color="auto" w:fill="FFFFFF"/>
                  <w:noWrap w:val="0"/>
                  <w:vAlign w:val="center"/>
                </w:tcPr>
                <w:p w14:paraId="08F684AF">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234</w:t>
                  </w:r>
                </w:p>
              </w:tc>
              <w:tc>
                <w:tcPr>
                  <w:tcW w:w="611" w:type="pct"/>
                  <w:shd w:val="clear" w:color="auto" w:fill="FFFFFF"/>
                  <w:noWrap w:val="0"/>
                  <w:vAlign w:val="center"/>
                </w:tcPr>
                <w:p w14:paraId="2DFAC077">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1</w:t>
                  </w:r>
                </w:p>
              </w:tc>
              <w:tc>
                <w:tcPr>
                  <w:tcW w:w="409" w:type="pct"/>
                  <w:vMerge w:val="continue"/>
                  <w:shd w:val="clear" w:color="auto" w:fill="FFFFFF"/>
                  <w:noWrap w:val="0"/>
                  <w:vAlign w:val="center"/>
                </w:tcPr>
                <w:p w14:paraId="01ADD98C">
                  <w:pPr>
                    <w:jc w:val="center"/>
                    <w:rPr>
                      <w:rFonts w:hint="default" w:ascii="Times New Roman" w:hAnsi="Times New Roman" w:eastAsia="宋体" w:cs="Times New Roman"/>
                      <w:color w:val="000000"/>
                      <w:kern w:val="2"/>
                      <w:sz w:val="21"/>
                      <w:szCs w:val="21"/>
                      <w:lang w:val="en-US" w:eastAsia="zh-CN" w:bidi="ar-SA"/>
                    </w:rPr>
                  </w:pPr>
                </w:p>
              </w:tc>
            </w:tr>
            <w:tr w14:paraId="54F9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4B42D6D0">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restart"/>
                  <w:shd w:val="clear" w:color="auto" w:fill="FFFFFF"/>
                  <w:noWrap w:val="0"/>
                  <w:vAlign w:val="center"/>
                </w:tcPr>
                <w:p w14:paraId="4888315A">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A车间</w:t>
                  </w:r>
                </w:p>
              </w:tc>
              <w:tc>
                <w:tcPr>
                  <w:tcW w:w="839" w:type="pct"/>
                  <w:shd w:val="clear" w:color="auto" w:fill="auto"/>
                  <w:noWrap w:val="0"/>
                  <w:vAlign w:val="center"/>
                </w:tcPr>
                <w:p w14:paraId="56A5D6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板料折弯压力机</w:t>
                  </w:r>
                </w:p>
              </w:tc>
              <w:tc>
                <w:tcPr>
                  <w:tcW w:w="676" w:type="pct"/>
                  <w:shd w:val="clear" w:color="auto" w:fill="auto"/>
                  <w:noWrap w:val="0"/>
                  <w:vAlign w:val="center"/>
                </w:tcPr>
                <w:p w14:paraId="17104D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90</w:t>
                  </w:r>
                </w:p>
              </w:tc>
              <w:tc>
                <w:tcPr>
                  <w:tcW w:w="575" w:type="pct"/>
                  <w:vMerge w:val="continue"/>
                  <w:shd w:val="clear" w:color="auto" w:fill="FFFFFF"/>
                  <w:noWrap w:val="0"/>
                  <w:vAlign w:val="center"/>
                </w:tcPr>
                <w:p w14:paraId="2487C657">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7C2F8FEA">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65</w:t>
                  </w:r>
                </w:p>
              </w:tc>
              <w:tc>
                <w:tcPr>
                  <w:tcW w:w="642" w:type="pct"/>
                  <w:shd w:val="clear" w:color="auto" w:fill="FFFFFF"/>
                  <w:noWrap w:val="0"/>
                  <w:vAlign w:val="center"/>
                </w:tcPr>
                <w:p w14:paraId="6E7F12AD">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128</w:t>
                  </w:r>
                </w:p>
              </w:tc>
              <w:tc>
                <w:tcPr>
                  <w:tcW w:w="611" w:type="pct"/>
                  <w:shd w:val="clear" w:color="auto" w:fill="FFFFFF"/>
                  <w:noWrap w:val="0"/>
                  <w:vAlign w:val="center"/>
                </w:tcPr>
                <w:p w14:paraId="3D0E3400">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w:t>
                  </w:r>
                </w:p>
              </w:tc>
              <w:tc>
                <w:tcPr>
                  <w:tcW w:w="409" w:type="pct"/>
                  <w:vMerge w:val="continue"/>
                  <w:shd w:val="clear" w:color="auto" w:fill="FFFFFF"/>
                  <w:noWrap w:val="0"/>
                  <w:vAlign w:val="center"/>
                </w:tcPr>
                <w:p w14:paraId="44D374BD">
                  <w:pPr>
                    <w:jc w:val="center"/>
                    <w:rPr>
                      <w:rFonts w:hint="default" w:ascii="Times New Roman" w:hAnsi="Times New Roman" w:eastAsia="宋体" w:cs="Times New Roman"/>
                      <w:color w:val="000000"/>
                      <w:kern w:val="2"/>
                      <w:sz w:val="21"/>
                      <w:szCs w:val="21"/>
                      <w:lang w:val="en-US" w:eastAsia="zh-CN" w:bidi="ar-SA"/>
                    </w:rPr>
                  </w:pPr>
                </w:p>
              </w:tc>
            </w:tr>
            <w:tr w14:paraId="43C8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661C2394">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16A224E5">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043E14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摇臂钻床</w:t>
                  </w:r>
                </w:p>
              </w:tc>
              <w:tc>
                <w:tcPr>
                  <w:tcW w:w="676" w:type="pct"/>
                  <w:shd w:val="clear" w:color="auto" w:fill="auto"/>
                  <w:noWrap w:val="0"/>
                  <w:vAlign w:val="center"/>
                </w:tcPr>
                <w:p w14:paraId="3CD6B9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75" w:type="pct"/>
                  <w:vMerge w:val="continue"/>
                  <w:shd w:val="clear" w:color="auto" w:fill="FFFFFF"/>
                  <w:noWrap w:val="0"/>
                  <w:vAlign w:val="center"/>
                </w:tcPr>
                <w:p w14:paraId="75FD0E5C">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4CF80B60">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60</w:t>
                  </w:r>
                </w:p>
              </w:tc>
              <w:tc>
                <w:tcPr>
                  <w:tcW w:w="642" w:type="pct"/>
                  <w:shd w:val="clear" w:color="auto" w:fill="FFFFFF"/>
                  <w:noWrap w:val="0"/>
                  <w:vAlign w:val="center"/>
                </w:tcPr>
                <w:p w14:paraId="5F2D177C">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128</w:t>
                  </w:r>
                </w:p>
              </w:tc>
              <w:tc>
                <w:tcPr>
                  <w:tcW w:w="611" w:type="pct"/>
                  <w:shd w:val="clear" w:color="auto" w:fill="FFFFFF"/>
                  <w:noWrap w:val="0"/>
                  <w:vAlign w:val="center"/>
                </w:tcPr>
                <w:p w14:paraId="23BA97FA">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w:t>
                  </w:r>
                </w:p>
              </w:tc>
              <w:tc>
                <w:tcPr>
                  <w:tcW w:w="409" w:type="pct"/>
                  <w:vMerge w:val="continue"/>
                  <w:shd w:val="clear" w:color="auto" w:fill="FFFFFF"/>
                  <w:noWrap w:val="0"/>
                  <w:vAlign w:val="center"/>
                </w:tcPr>
                <w:p w14:paraId="15754616">
                  <w:pPr>
                    <w:jc w:val="center"/>
                    <w:rPr>
                      <w:rFonts w:hint="default" w:ascii="Times New Roman" w:hAnsi="Times New Roman" w:eastAsia="宋体" w:cs="Times New Roman"/>
                      <w:color w:val="000000"/>
                      <w:kern w:val="2"/>
                      <w:sz w:val="21"/>
                      <w:szCs w:val="21"/>
                      <w:lang w:val="en-US" w:eastAsia="zh-CN" w:bidi="ar-SA"/>
                    </w:rPr>
                  </w:pPr>
                </w:p>
              </w:tc>
            </w:tr>
            <w:tr w14:paraId="359A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shd w:val="clear" w:color="auto" w:fill="FFFFFF"/>
                  <w:noWrap w:val="0"/>
                  <w:vAlign w:val="center"/>
                </w:tcPr>
                <w:p w14:paraId="1880F216">
                  <w:pPr>
                    <w:numPr>
                      <w:ilvl w:val="0"/>
                      <w:numId w:val="9"/>
                    </w:numPr>
                    <w:ind w:left="425" w:leftChars="0" w:hanging="425" w:firstLineChars="0"/>
                    <w:jc w:val="center"/>
                    <w:rPr>
                      <w:rFonts w:hint="default" w:ascii="Times New Roman" w:hAnsi="Times New Roman" w:eastAsia="宋体" w:cs="Times New Roman"/>
                      <w:color w:val="000000"/>
                      <w:sz w:val="21"/>
                      <w:szCs w:val="21"/>
                      <w:lang w:val="en-US" w:eastAsia="zh-CN"/>
                    </w:rPr>
                  </w:pPr>
                </w:p>
              </w:tc>
              <w:tc>
                <w:tcPr>
                  <w:tcW w:w="340" w:type="pct"/>
                  <w:vMerge w:val="continue"/>
                  <w:shd w:val="clear" w:color="auto" w:fill="FFFFFF"/>
                  <w:noWrap w:val="0"/>
                  <w:vAlign w:val="center"/>
                </w:tcPr>
                <w:p w14:paraId="598044F9">
                  <w:pPr>
                    <w:jc w:val="center"/>
                    <w:rPr>
                      <w:rFonts w:hint="default" w:ascii="Times New Roman" w:hAnsi="Times New Roman" w:eastAsia="宋体" w:cs="Times New Roman"/>
                      <w:color w:val="000000"/>
                      <w:sz w:val="21"/>
                      <w:szCs w:val="21"/>
                      <w:lang w:val="en-US" w:eastAsia="zh-CN"/>
                    </w:rPr>
                  </w:pPr>
                </w:p>
              </w:tc>
              <w:tc>
                <w:tcPr>
                  <w:tcW w:w="839" w:type="pct"/>
                  <w:shd w:val="clear" w:color="auto" w:fill="auto"/>
                  <w:noWrap w:val="0"/>
                  <w:vAlign w:val="center"/>
                </w:tcPr>
                <w:p w14:paraId="72FE39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摇臂钻床</w:t>
                  </w:r>
                </w:p>
              </w:tc>
              <w:tc>
                <w:tcPr>
                  <w:tcW w:w="676" w:type="pct"/>
                  <w:shd w:val="clear" w:color="auto" w:fill="auto"/>
                  <w:noWrap w:val="0"/>
                  <w:vAlign w:val="center"/>
                </w:tcPr>
                <w:p w14:paraId="446084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75" w:type="pct"/>
                  <w:vMerge w:val="continue"/>
                  <w:shd w:val="clear" w:color="auto" w:fill="FFFFFF"/>
                  <w:noWrap w:val="0"/>
                  <w:vAlign w:val="center"/>
                </w:tcPr>
                <w:p w14:paraId="65DFCAF0">
                  <w:pPr>
                    <w:jc w:val="center"/>
                    <w:rPr>
                      <w:rFonts w:hint="default" w:ascii="Times New Roman" w:hAnsi="Times New Roman" w:eastAsia="宋体" w:cs="Times New Roman"/>
                      <w:color w:val="000000"/>
                      <w:sz w:val="21"/>
                      <w:szCs w:val="21"/>
                    </w:rPr>
                  </w:pPr>
                </w:p>
              </w:tc>
              <w:tc>
                <w:tcPr>
                  <w:tcW w:w="567" w:type="pct"/>
                  <w:shd w:val="clear" w:color="auto" w:fill="FFFFFF"/>
                  <w:noWrap w:val="0"/>
                  <w:vAlign w:val="center"/>
                </w:tcPr>
                <w:p w14:paraId="6D40E7FE">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60</w:t>
                  </w:r>
                </w:p>
              </w:tc>
              <w:tc>
                <w:tcPr>
                  <w:tcW w:w="642" w:type="pct"/>
                  <w:shd w:val="clear" w:color="auto" w:fill="FFFFFF"/>
                  <w:noWrap w:val="0"/>
                  <w:vAlign w:val="center"/>
                </w:tcPr>
                <w:p w14:paraId="7685FE60">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130</w:t>
                  </w:r>
                </w:p>
              </w:tc>
              <w:tc>
                <w:tcPr>
                  <w:tcW w:w="611" w:type="pct"/>
                  <w:shd w:val="clear" w:color="auto" w:fill="FFFFFF"/>
                  <w:noWrap w:val="0"/>
                  <w:vAlign w:val="center"/>
                </w:tcPr>
                <w:p w14:paraId="2B4B784C">
                  <w:pPr>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1</w:t>
                  </w:r>
                </w:p>
              </w:tc>
              <w:tc>
                <w:tcPr>
                  <w:tcW w:w="409" w:type="pct"/>
                  <w:vMerge w:val="continue"/>
                  <w:shd w:val="clear" w:color="auto" w:fill="FFFFFF"/>
                  <w:noWrap w:val="0"/>
                  <w:vAlign w:val="center"/>
                </w:tcPr>
                <w:p w14:paraId="0D03EEAE">
                  <w:pPr>
                    <w:jc w:val="center"/>
                    <w:rPr>
                      <w:rFonts w:hint="default" w:ascii="Times New Roman" w:hAnsi="Times New Roman" w:eastAsia="宋体" w:cs="Times New Roman"/>
                      <w:color w:val="000000"/>
                      <w:kern w:val="2"/>
                      <w:sz w:val="21"/>
                      <w:szCs w:val="21"/>
                      <w:lang w:val="en-US" w:eastAsia="zh-CN" w:bidi="ar-SA"/>
                    </w:rPr>
                  </w:pPr>
                </w:p>
              </w:tc>
            </w:tr>
          </w:tbl>
          <w:p w14:paraId="5163EAAC">
            <w:pPr>
              <w:bidi w:val="0"/>
              <w:rPr>
                <w:rFonts w:hint="eastAsia"/>
                <w:lang w:eastAsia="zh-CN"/>
              </w:rPr>
            </w:pPr>
          </w:p>
          <w:p w14:paraId="4D89A35D">
            <w:pPr>
              <w:autoSpaceDE w:val="0"/>
              <w:autoSpaceDN w:val="0"/>
              <w:adjustRightInd w:val="0"/>
              <w:snapToGrid w:val="0"/>
              <w:spacing w:line="360" w:lineRule="auto"/>
              <w:ind w:firstLine="480" w:firstLineChars="200"/>
              <w:jc w:val="left"/>
              <w:rPr>
                <w:rFonts w:hint="default"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注：①以车间西南角作为坐标原点，东西向为X轴，南北向为Y轴，建立空间坐标系。</w:t>
            </w:r>
          </w:p>
          <w:p w14:paraId="5547842E">
            <w:pPr>
              <w:autoSpaceDE w:val="0"/>
              <w:autoSpaceDN w:val="0"/>
              <w:adjustRightInd w:val="0"/>
              <w:snapToGrid w:val="0"/>
              <w:spacing w:line="360" w:lineRule="auto"/>
              <w:ind w:firstLine="480" w:firstLineChars="200"/>
              <w:jc w:val="left"/>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②</w:t>
            </w:r>
            <w:r>
              <w:rPr>
                <w:rFonts w:hint="default" w:ascii="Times New Roman" w:hAnsi="Times New Roman" w:eastAsia="宋体" w:cs="Times New Roman"/>
                <w:b w:val="0"/>
                <w:bCs w:val="0"/>
                <w:sz w:val="24"/>
                <w:lang w:val="en-US" w:eastAsia="zh-CN"/>
              </w:rPr>
              <w:t>空间相对位置</w:t>
            </w:r>
            <w:r>
              <w:rPr>
                <w:rFonts w:hint="eastAsia" w:ascii="Times New Roman" w:hAnsi="Times New Roman" w:eastAsia="宋体" w:cs="Times New Roman"/>
                <w:b w:val="0"/>
                <w:bCs w:val="0"/>
                <w:sz w:val="24"/>
                <w:lang w:val="en-US" w:eastAsia="zh-CN"/>
              </w:rPr>
              <w:t>以厂区西南角作为坐标原点，东西向为X轴，南北向为Y轴，厂区内室外标高为Z轴零点，建立空间坐标系。</w:t>
            </w:r>
          </w:p>
          <w:p w14:paraId="32CD054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kern w:val="0"/>
                <w:sz w:val="24"/>
                <w:szCs w:val="24"/>
                <w:lang w:eastAsia="zh-CN"/>
              </w:rPr>
            </w:pPr>
          </w:p>
        </w:tc>
      </w:tr>
    </w:tbl>
    <w:p w14:paraId="1EB0F382">
      <w:pPr>
        <w:autoSpaceDE w:val="0"/>
        <w:autoSpaceDN w:val="0"/>
        <w:adjustRightInd w:val="0"/>
        <w:snapToGrid w:val="0"/>
        <w:jc w:val="center"/>
        <w:rPr>
          <w:rFonts w:hint="eastAsia" w:ascii="宋体" w:hAnsi="宋体" w:cs="宋体"/>
          <w:kern w:val="0"/>
          <w:sz w:val="24"/>
          <w:szCs w:val="24"/>
        </w:rPr>
        <w:sectPr>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108" w:type="dxa"/>
          <w:bottom w:w="57" w:type="dxa"/>
          <w:right w:w="108" w:type="dxa"/>
        </w:tblCellMar>
      </w:tblPr>
      <w:tblGrid>
        <w:gridCol w:w="296"/>
        <w:gridCol w:w="8703"/>
      </w:tblGrid>
      <w:tr w14:paraId="7CC8B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810" w:hRule="atLeast"/>
          <w:jc w:val="center"/>
        </w:trPr>
        <w:tc>
          <w:tcPr>
            <w:tcW w:w="509" w:type="dxa"/>
            <w:noWrap w:val="0"/>
            <w:tcMar>
              <w:left w:w="28" w:type="dxa"/>
              <w:right w:w="28" w:type="dxa"/>
            </w:tcMar>
            <w:vAlign w:val="center"/>
          </w:tcPr>
          <w:p w14:paraId="0D2D7A8F">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运营期环境影响和保护措施</w:t>
            </w:r>
          </w:p>
        </w:tc>
        <w:tc>
          <w:tcPr>
            <w:tcW w:w="8399" w:type="dxa"/>
            <w:noWrap w:val="0"/>
            <w:vAlign w:val="center"/>
          </w:tcPr>
          <w:p w14:paraId="5607C8B7">
            <w:pPr>
              <w:adjustRightInd w:val="0"/>
              <w:snapToGrid w:val="0"/>
              <w:spacing w:line="360" w:lineRule="auto"/>
              <w:ind w:firstLine="480" w:firstLineChars="200"/>
              <w:rPr>
                <w:rFonts w:hint="default" w:ascii="Times New Roman" w:hAnsi="Times New Roman" w:cs="Times New Roman"/>
                <w:color w:val="auto"/>
                <w:sz w:val="24"/>
                <w:lang w:val="en-US"/>
              </w:rPr>
            </w:pPr>
            <w:r>
              <w:rPr>
                <w:rFonts w:hint="eastAsia"/>
                <w:b w:val="0"/>
                <w:bCs w:val="0"/>
                <w:sz w:val="24"/>
                <w:lang w:val="en-US" w:eastAsia="zh-CN"/>
              </w:rPr>
              <w:t>3.2噪声预测</w:t>
            </w:r>
          </w:p>
          <w:p w14:paraId="55CD5C3E">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根据《环境影响评价技术导则—声环境》（HJ2.4-2021）的要求，采用的模型为《环境影响评价技术导则 声环境》（HJ2.4.2021）附录A（规范性附录）户外声传播的衰减和附录B（规范性附录）中“B.1工业噪声预测计算模型”。</w:t>
            </w:r>
          </w:p>
          <w:p w14:paraId="55EA9F2E">
            <w:pPr>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根据设备噪声强度，采用距离衰减模式分析该项目对声环境的影响。预测模式采用《环境影响评价技术导则</w:t>
            </w:r>
            <w:r>
              <w:rPr>
                <w:rFonts w:hint="default" w:ascii="Times New Roman" w:hAnsi="Times New Roman" w:cs="Times New Roman"/>
                <w:color w:val="auto"/>
                <w:sz w:val="24"/>
              </w:rPr>
              <w:t>-</w:t>
            </w:r>
            <w:r>
              <w:rPr>
                <w:rFonts w:hint="default" w:ascii="Times New Roman" w:hAnsi="Times New Roman" w:cs="Times New Roman"/>
                <w:color w:val="auto"/>
                <w:sz w:val="24"/>
                <w:lang w:val="zh-CN"/>
              </w:rPr>
              <w:t>声环境》（HJ2.4</w:t>
            </w:r>
            <w:r>
              <w:rPr>
                <w:rFonts w:hint="default" w:ascii="Times New Roman" w:hAnsi="Times New Roman" w:cs="Times New Roman"/>
                <w:color w:val="auto"/>
                <w:sz w:val="24"/>
              </w:rPr>
              <w:t>-</w:t>
            </w:r>
            <w:r>
              <w:rPr>
                <w:rFonts w:hint="default" w:ascii="Times New Roman" w:hAnsi="Times New Roman" w:cs="Times New Roman"/>
                <w:color w:val="auto"/>
                <w:sz w:val="24"/>
                <w:lang w:val="zh-CN"/>
              </w:rPr>
              <w:t>20</w:t>
            </w:r>
            <w:r>
              <w:rPr>
                <w:rFonts w:hint="default" w:ascii="Times New Roman" w:hAnsi="Times New Roman" w:cs="Times New Roman"/>
                <w:color w:val="auto"/>
                <w:sz w:val="24"/>
              </w:rPr>
              <w:t>21</w:t>
            </w:r>
            <w:r>
              <w:rPr>
                <w:rFonts w:hint="default" w:ascii="Times New Roman" w:hAnsi="Times New Roman" w:cs="Times New Roman"/>
                <w:color w:val="auto"/>
                <w:sz w:val="24"/>
                <w:lang w:val="zh-CN"/>
              </w:rPr>
              <w:t>）中推荐的噪声预测模式，噪声衰减公式：</w:t>
            </w:r>
          </w:p>
          <w:p w14:paraId="1E25FF6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①单个室外的点声源在预测点产生的声级计算基本公式</w:t>
            </w:r>
          </w:p>
          <w:p w14:paraId="12AD8ABD">
            <w:pPr>
              <w:spacing w:line="360" w:lineRule="auto"/>
              <w:ind w:firstLine="480" w:firstLineChars="200"/>
              <w:jc w:val="center"/>
              <w:rPr>
                <w:rFonts w:hint="default" w:ascii="Times New Roman" w:hAnsi="Times New Roman" w:cs="Times New Roman"/>
                <w:color w:val="auto"/>
                <w:sz w:val="24"/>
                <w:lang w:val="zh-CN"/>
              </w:rPr>
            </w:pPr>
            <w:r>
              <w:rPr>
                <w:rFonts w:hint="default" w:ascii="Times New Roman" w:hAnsi="Times New Roman" w:cs="Times New Roman"/>
                <w:color w:val="000000"/>
                <w:sz w:val="24"/>
                <w:szCs w:val="24"/>
              </w:rPr>
              <w:object>
                <v:shape id="_x0000_i1026" o:spt="75" type="#_x0000_t75" style="height:18.4pt;width:252.85pt;" o:ole="t" filled="f" o:preferrelative="t" stroked="f" coordsize="21600,21600">
                  <v:path/>
                  <v:fill on="f" focussize="0,0"/>
                  <v:stroke on="f" joinstyle="miter"/>
                  <v:imagedata r:id="rId30" o:title=""/>
                  <o:lock v:ext="edit" aspectratio="t"/>
                  <w10:wrap type="none"/>
                  <w10:anchorlock/>
                </v:shape>
                <o:OLEObject Type="Embed" ProgID="Equation.3" ShapeID="_x0000_i1026" DrawAspect="Content" ObjectID="_1468075726" r:id="rId29">
                  <o:LockedField>false</o:LockedField>
                </o:OLEObject>
              </w:object>
            </w:r>
          </w:p>
          <w:p w14:paraId="4C7E77A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（r）——预测点处声压级，dB；</w:t>
            </w:r>
          </w:p>
          <w:p w14:paraId="4ACB0608">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w</w:t>
            </w:r>
            <w:r>
              <w:rPr>
                <w:rFonts w:hint="default" w:ascii="Times New Roman" w:hAnsi="Times New Roman" w:cs="Times New Roman"/>
                <w:color w:val="auto"/>
                <w:sz w:val="24"/>
              </w:rPr>
              <w:t>——由点声源产生的声功率级（A计权或倍频带），dB；</w:t>
            </w:r>
          </w:p>
          <w:p w14:paraId="6A234292">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D</w:t>
            </w:r>
            <w:r>
              <w:rPr>
                <w:rFonts w:hint="default" w:ascii="Times New Roman" w:hAnsi="Times New Roman" w:cs="Times New Roman"/>
                <w:color w:val="auto"/>
                <w:sz w:val="24"/>
                <w:vertAlign w:val="subscript"/>
              </w:rPr>
              <w:t>C</w:t>
            </w:r>
            <w:r>
              <w:rPr>
                <w:rFonts w:hint="default" w:ascii="Times New Roman" w:hAnsi="Times New Roman" w:cs="Times New Roman"/>
                <w:color w:val="auto"/>
                <w:sz w:val="24"/>
              </w:rPr>
              <w:t>——指向性校正，它描述点声源的等效连续声压级与产生声功率级L</w:t>
            </w:r>
            <w:r>
              <w:rPr>
                <w:rFonts w:hint="default" w:ascii="Times New Roman" w:hAnsi="Times New Roman" w:cs="Times New Roman"/>
                <w:color w:val="auto"/>
                <w:sz w:val="24"/>
                <w:vertAlign w:val="subscript"/>
              </w:rPr>
              <w:t>w</w:t>
            </w:r>
            <w:r>
              <w:rPr>
                <w:rFonts w:hint="default" w:ascii="Times New Roman" w:hAnsi="Times New Roman" w:cs="Times New Roman"/>
                <w:color w:val="auto"/>
                <w:sz w:val="24"/>
              </w:rPr>
              <w:t>的全向点声源在规定方向的声级的偏差程度，dB；</w:t>
            </w:r>
          </w:p>
          <w:p w14:paraId="067E6796">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div</w:t>
            </w:r>
            <w:r>
              <w:rPr>
                <w:rFonts w:hint="default" w:ascii="Times New Roman" w:hAnsi="Times New Roman" w:cs="Times New Roman"/>
                <w:color w:val="auto"/>
                <w:sz w:val="24"/>
              </w:rPr>
              <w:t>——几何发散引起的衰减，dB；</w:t>
            </w:r>
          </w:p>
          <w:p w14:paraId="49439F1E">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atm</w:t>
            </w:r>
            <w:r>
              <w:rPr>
                <w:rFonts w:hint="default" w:ascii="Times New Roman" w:hAnsi="Times New Roman" w:cs="Times New Roman"/>
                <w:color w:val="auto"/>
                <w:sz w:val="24"/>
              </w:rPr>
              <w:t>——大气吸收引起的衰减，dB；</w:t>
            </w:r>
          </w:p>
          <w:p w14:paraId="15AA6DF3">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gr</w:t>
            </w:r>
            <w:r>
              <w:rPr>
                <w:rFonts w:hint="default" w:ascii="Times New Roman" w:hAnsi="Times New Roman" w:cs="Times New Roman"/>
                <w:color w:val="auto"/>
                <w:sz w:val="24"/>
              </w:rPr>
              <w:t>——地面效应引起的衰减，dB；</w:t>
            </w:r>
          </w:p>
          <w:p w14:paraId="704C9C76">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bar</w:t>
            </w:r>
            <w:r>
              <w:rPr>
                <w:rFonts w:hint="default" w:ascii="Times New Roman" w:hAnsi="Times New Roman" w:cs="Times New Roman"/>
                <w:color w:val="auto"/>
                <w:sz w:val="24"/>
              </w:rPr>
              <w:t>——障碍物屏蔽引起的衰减，dB；</w:t>
            </w:r>
          </w:p>
          <w:p w14:paraId="04A6B727">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vertAlign w:val="subscript"/>
              </w:rPr>
              <w:t>misc</w:t>
            </w:r>
            <w:r>
              <w:rPr>
                <w:rFonts w:hint="default" w:ascii="Times New Roman" w:hAnsi="Times New Roman" w:cs="Times New Roman"/>
                <w:color w:val="auto"/>
                <w:sz w:val="24"/>
              </w:rPr>
              <w:t>——其他多方面效应引起的衰减，dB。</w:t>
            </w:r>
          </w:p>
          <w:p w14:paraId="3761E7A9">
            <w:pPr>
              <w:tabs>
                <w:tab w:val="left" w:pos="900"/>
              </w:tabs>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②室内声源等效室外声源声功率级计算方法</w:t>
            </w:r>
          </w:p>
          <w:p w14:paraId="59E9D220">
            <w:pPr>
              <w:tabs>
                <w:tab w:val="left" w:pos="90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声源位于室内，室内声源可采用等效室外声源声功率级法进行计算。设靠近开口处（或窗户）室内、室外某倍频带的声压级或A声级分别为L</w:t>
            </w:r>
            <w:r>
              <w:rPr>
                <w:rFonts w:hint="default" w:ascii="Times New Roman" w:hAnsi="Times New Roman" w:cs="Times New Roman"/>
                <w:color w:val="auto"/>
                <w:sz w:val="24"/>
                <w:vertAlign w:val="subscript"/>
              </w:rPr>
              <w:t>p1</w:t>
            </w:r>
            <w:r>
              <w:rPr>
                <w:rFonts w:hint="default" w:ascii="Times New Roman" w:hAnsi="Times New Roman" w:cs="Times New Roman"/>
                <w:color w:val="auto"/>
                <w:sz w:val="24"/>
              </w:rPr>
              <w:t>和L</w:t>
            </w:r>
            <w:r>
              <w:rPr>
                <w:rFonts w:hint="default" w:ascii="Times New Roman" w:hAnsi="Times New Roman" w:cs="Times New Roman"/>
                <w:color w:val="auto"/>
                <w:sz w:val="24"/>
                <w:vertAlign w:val="subscript"/>
              </w:rPr>
              <w:t>p2</w:t>
            </w:r>
            <w:r>
              <w:rPr>
                <w:rFonts w:hint="default" w:ascii="Times New Roman" w:hAnsi="Times New Roman" w:cs="Times New Roman"/>
                <w:color w:val="auto"/>
                <w:sz w:val="24"/>
              </w:rPr>
              <w:t>。若声源所在室内声场为近似扩散声场，则室外的倍频带声压级可按下式近似求出：</w:t>
            </w:r>
          </w:p>
          <w:p w14:paraId="76B7D7E5">
            <w:pPr>
              <w:tabs>
                <w:tab w:val="left" w:pos="900"/>
              </w:tabs>
              <w:spacing w:line="360" w:lineRule="auto"/>
              <w:ind w:firstLine="480" w:firstLineChars="200"/>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L</w:t>
            </w:r>
            <w:r>
              <w:rPr>
                <w:rFonts w:hint="eastAsia" w:ascii="Times New Roman" w:hAnsi="Times New Roman" w:cs="Times New Roman"/>
                <w:color w:val="auto"/>
                <w:sz w:val="24"/>
                <w:szCs w:val="24"/>
                <w:vertAlign w:val="subscript"/>
                <w:lang w:val="en-US" w:eastAsia="zh-CN"/>
              </w:rPr>
              <w:t>p2</w:t>
            </w:r>
            <w:r>
              <w:rPr>
                <w:rFonts w:hint="eastAsia" w:ascii="Times New Roman" w:hAnsi="Times New Roman" w:cs="Times New Roman"/>
                <w:color w:val="auto"/>
                <w:sz w:val="24"/>
                <w:szCs w:val="24"/>
                <w:lang w:val="en-US" w:eastAsia="zh-CN"/>
              </w:rPr>
              <w:t>=L</w:t>
            </w:r>
            <w:r>
              <w:rPr>
                <w:rFonts w:hint="eastAsia" w:ascii="Times New Roman" w:hAnsi="Times New Roman" w:cs="Times New Roman"/>
                <w:color w:val="auto"/>
                <w:sz w:val="24"/>
                <w:szCs w:val="24"/>
                <w:vertAlign w:val="subscript"/>
                <w:lang w:val="en-US" w:eastAsia="zh-CN"/>
              </w:rPr>
              <w:t>p1</w:t>
            </w:r>
            <w:r>
              <w:rPr>
                <w:rFonts w:hint="eastAsia" w:ascii="Times New Roman" w:hAnsi="Times New Roman" w:cs="Times New Roman"/>
                <w:color w:val="auto"/>
                <w:sz w:val="24"/>
                <w:szCs w:val="24"/>
                <w:lang w:val="en-US" w:eastAsia="zh-CN"/>
              </w:rPr>
              <w:t>-(TL+6)</w:t>
            </w:r>
          </w:p>
          <w:p w14:paraId="399CAA83">
            <w:pPr>
              <w:pStyle w:val="13"/>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p1</w:t>
            </w:r>
            <w:r>
              <w:rPr>
                <w:rFonts w:hint="default" w:ascii="Times New Roman" w:hAnsi="Times New Roman" w:cs="Times New Roman"/>
                <w:color w:val="auto"/>
                <w:sz w:val="24"/>
                <w:szCs w:val="24"/>
              </w:rPr>
              <w:t>——靠近开口处（或窗户）室内某倍频带的声压级或A声级，dB；</w:t>
            </w:r>
          </w:p>
          <w:p w14:paraId="75B88290">
            <w:pPr>
              <w:pStyle w:val="13"/>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p2</w:t>
            </w:r>
            <w:r>
              <w:rPr>
                <w:rFonts w:hint="default" w:ascii="Times New Roman" w:hAnsi="Times New Roman" w:cs="Times New Roman"/>
                <w:color w:val="auto"/>
                <w:sz w:val="24"/>
                <w:szCs w:val="24"/>
              </w:rPr>
              <w:t>——靠近开口处（或窗户）室外某倍频带的声压级或A声级，dB；</w:t>
            </w:r>
          </w:p>
          <w:p w14:paraId="72C91F93">
            <w:pPr>
              <w:pStyle w:val="13"/>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TL——隔墙（或窗户）倍频带或A声级的隔声量，dB。</w:t>
            </w:r>
          </w:p>
          <w:p w14:paraId="4D6C9113">
            <w:pPr>
              <w:pStyle w:val="13"/>
              <w:spacing w:line="360" w:lineRule="auto"/>
              <w:jc w:val="center"/>
              <w:rPr>
                <w:rFonts w:hint="default" w:ascii="Times New Roman" w:hAnsi="Times New Roman" w:cs="Times New Roman"/>
                <w:color w:val="auto"/>
              </w:rPr>
            </w:pPr>
            <w:r>
              <w:drawing>
                <wp:inline distT="0" distB="0" distL="114300" distR="114300">
                  <wp:extent cx="3486150" cy="1771650"/>
                  <wp:effectExtent l="0" t="0" r="0" b="0"/>
                  <wp:docPr id="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pic:cNvPicPr>
                            <a:picLocks noChangeAspect="1"/>
                          </pic:cNvPicPr>
                        </pic:nvPicPr>
                        <pic:blipFill>
                          <a:blip r:embed="rId31"/>
                          <a:stretch>
                            <a:fillRect/>
                          </a:stretch>
                        </pic:blipFill>
                        <pic:spPr>
                          <a:xfrm>
                            <a:off x="0" y="0"/>
                            <a:ext cx="3486150" cy="1771650"/>
                          </a:xfrm>
                          <a:prstGeom prst="rect">
                            <a:avLst/>
                          </a:prstGeom>
                          <a:noFill/>
                          <a:ln>
                            <a:noFill/>
                          </a:ln>
                        </pic:spPr>
                      </pic:pic>
                    </a:graphicData>
                  </a:graphic>
                </wp:inline>
              </w:drawing>
            </w:r>
          </w:p>
          <w:p w14:paraId="5DC04923">
            <w:pPr>
              <w:pStyle w:val="13"/>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图4</w:t>
            </w:r>
            <w:r>
              <w:rPr>
                <w:rFonts w:hint="eastAsia"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rPr>
              <w:t xml:space="preserve">  室内声源等效为室外声源图例</w:t>
            </w:r>
          </w:p>
          <w:p w14:paraId="22F9FC1A">
            <w:pPr>
              <w:pStyle w:val="13"/>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也可按下式计算某一室内声源靠近围护结构处产生的倍频带声压级：</w:t>
            </w:r>
          </w:p>
          <w:p w14:paraId="0CF0A69B">
            <w:pPr>
              <w:tabs>
                <w:tab w:val="left" w:pos="900"/>
              </w:tabs>
              <w:spacing w:line="360" w:lineRule="auto"/>
              <w:ind w:firstLine="480" w:firstLineChars="200"/>
              <w:jc w:val="center"/>
              <w:rPr>
                <w:rFonts w:hint="default" w:ascii="Times New Roman" w:hAnsi="Times New Roman" w:cs="Times New Roman"/>
                <w:color w:val="auto"/>
                <w:sz w:val="24"/>
              </w:rPr>
            </w:pPr>
            <w:r>
              <w:drawing>
                <wp:inline distT="0" distB="0" distL="114300" distR="114300">
                  <wp:extent cx="2066925" cy="476250"/>
                  <wp:effectExtent l="0" t="0" r="9525" b="0"/>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32"/>
                          <a:stretch>
                            <a:fillRect/>
                          </a:stretch>
                        </pic:blipFill>
                        <pic:spPr>
                          <a:xfrm>
                            <a:off x="0" y="0"/>
                            <a:ext cx="2066925" cy="476250"/>
                          </a:xfrm>
                          <a:prstGeom prst="rect">
                            <a:avLst/>
                          </a:prstGeom>
                          <a:noFill/>
                          <a:ln>
                            <a:noFill/>
                          </a:ln>
                        </pic:spPr>
                      </pic:pic>
                    </a:graphicData>
                  </a:graphic>
                </wp:inline>
              </w:drawing>
            </w:r>
          </w:p>
          <w:p w14:paraId="3831021F">
            <w:pPr>
              <w:tabs>
                <w:tab w:val="left" w:pos="90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p1</w:t>
            </w:r>
            <w:r>
              <w:rPr>
                <w:rFonts w:hint="default" w:ascii="Times New Roman" w:hAnsi="Times New Roman" w:cs="Times New Roman"/>
                <w:color w:val="auto"/>
                <w:sz w:val="24"/>
              </w:rPr>
              <w:t>——靠近开口处（或窗户）室内某倍频带的声压级或A声级，dB；</w:t>
            </w:r>
          </w:p>
          <w:p w14:paraId="1E932765">
            <w:pPr>
              <w:tabs>
                <w:tab w:val="left" w:pos="900"/>
              </w:tabs>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w</w:t>
            </w:r>
            <w:r>
              <w:rPr>
                <w:rFonts w:hint="default" w:ascii="Times New Roman" w:hAnsi="Times New Roman" w:cs="Times New Roman"/>
                <w:color w:val="auto"/>
                <w:sz w:val="24"/>
              </w:rPr>
              <w:t xml:space="preserve"> ——点声源声功率级（A计权或倍频带），dB；</w:t>
            </w:r>
          </w:p>
          <w:p w14:paraId="7CBD4BB9">
            <w:pPr>
              <w:tabs>
                <w:tab w:val="left" w:pos="900"/>
              </w:tabs>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Q——指向性因数；通常对无指向性声源，当声源放在房间中心时，Q=1；当放在一面墙的中心时，Q=2；当放在两面墙夹角处时，Q=4；当放在三面墙夹角处时，Q=8；</w:t>
            </w:r>
          </w:p>
          <w:p w14:paraId="504AE276">
            <w:pPr>
              <w:tabs>
                <w:tab w:val="left" w:pos="900"/>
              </w:tabs>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R——房间常数；RS /（1-α）1，S为房间内表面面积，m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；α为平均吸声系数；</w:t>
            </w:r>
          </w:p>
          <w:p w14:paraId="3B4EC36A">
            <w:pPr>
              <w:tabs>
                <w:tab w:val="left" w:pos="900"/>
              </w:tabs>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r——声源到靠近围护结构某点处的距离，m。</w:t>
            </w:r>
          </w:p>
          <w:p w14:paraId="25559A18">
            <w:pPr>
              <w:pStyle w:val="13"/>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然后按下式计算出所有室内声源在围护结构处产生的i倍频带叠加声压级。</w:t>
            </w:r>
          </w:p>
          <w:p w14:paraId="61002597">
            <w:pPr>
              <w:spacing w:line="360" w:lineRule="auto"/>
              <w:jc w:val="center"/>
              <w:rPr>
                <w:rFonts w:hint="default" w:ascii="Times New Roman" w:hAnsi="Times New Roman" w:cs="Times New Roman"/>
                <w:color w:val="auto"/>
                <w:sz w:val="24"/>
              </w:rPr>
            </w:pPr>
            <w:r>
              <w:drawing>
                <wp:inline distT="0" distB="0" distL="114300" distR="114300">
                  <wp:extent cx="2171700" cy="581025"/>
                  <wp:effectExtent l="0" t="0" r="0" b="9525"/>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33"/>
                          <a:stretch>
                            <a:fillRect/>
                          </a:stretch>
                        </pic:blipFill>
                        <pic:spPr>
                          <a:xfrm>
                            <a:off x="0" y="0"/>
                            <a:ext cx="2171700" cy="581025"/>
                          </a:xfrm>
                          <a:prstGeom prst="rect">
                            <a:avLst/>
                          </a:prstGeom>
                          <a:noFill/>
                          <a:ln>
                            <a:noFill/>
                          </a:ln>
                        </pic:spPr>
                      </pic:pic>
                    </a:graphicData>
                  </a:graphic>
                </wp:inline>
              </w:drawing>
            </w:r>
          </w:p>
          <w:p w14:paraId="029219B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pli</w:t>
            </w:r>
            <w:r>
              <w:rPr>
                <w:rFonts w:hint="default" w:ascii="Times New Roman" w:hAnsi="Times New Roman" w:cs="Times New Roman"/>
                <w:color w:val="auto"/>
                <w:sz w:val="24"/>
              </w:rPr>
              <w:t>（T）——靠近围护结构处室内N个声源i倍频带的叠加声压级，dB；</w:t>
            </w:r>
          </w:p>
          <w:p w14:paraId="326CBB1C">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 xml:space="preserve">pli </w:t>
            </w:r>
            <w:r>
              <w:rPr>
                <w:rFonts w:hint="default" w:ascii="Times New Roman" w:hAnsi="Times New Roman" w:cs="Times New Roman"/>
                <w:color w:val="auto"/>
                <w:sz w:val="24"/>
              </w:rPr>
              <w:t>——室内j声源i倍频带的声压级，dB；</w:t>
            </w:r>
          </w:p>
          <w:p w14:paraId="68A5153B">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N——室内声源总数。</w:t>
            </w:r>
          </w:p>
          <w:p w14:paraId="3232D46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在室内近似为扩散声场时，按下式计算出靠近室外围护结构处的声压级：</w:t>
            </w:r>
          </w:p>
          <w:p w14:paraId="28E853B2">
            <w:pPr>
              <w:spacing w:line="360" w:lineRule="auto"/>
              <w:jc w:val="center"/>
              <w:rPr>
                <w:rFonts w:hint="default" w:ascii="Times New Roman" w:hAnsi="Times New Roman" w:cs="Times New Roman"/>
                <w:color w:val="auto"/>
                <w:sz w:val="24"/>
              </w:rPr>
            </w:pPr>
            <w:r>
              <w:drawing>
                <wp:inline distT="0" distB="0" distL="114300" distR="114300">
                  <wp:extent cx="2209800" cy="323850"/>
                  <wp:effectExtent l="0" t="0" r="0" b="0"/>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34"/>
                          <a:stretch>
                            <a:fillRect/>
                          </a:stretch>
                        </pic:blipFill>
                        <pic:spPr>
                          <a:xfrm>
                            <a:off x="0" y="0"/>
                            <a:ext cx="2209800" cy="323850"/>
                          </a:xfrm>
                          <a:prstGeom prst="rect">
                            <a:avLst/>
                          </a:prstGeom>
                          <a:noFill/>
                          <a:ln>
                            <a:noFill/>
                          </a:ln>
                        </pic:spPr>
                      </pic:pic>
                    </a:graphicData>
                  </a:graphic>
                </wp:inline>
              </w:drawing>
            </w:r>
          </w:p>
          <w:p w14:paraId="4D7FB3F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p2i</w:t>
            </w:r>
            <w:r>
              <w:rPr>
                <w:rFonts w:hint="default" w:ascii="Times New Roman" w:hAnsi="Times New Roman" w:cs="Times New Roman"/>
                <w:color w:val="auto"/>
                <w:sz w:val="24"/>
              </w:rPr>
              <w:t>（T）——靠近围护结构处室外N个声源i倍频带的叠加声压级，dB；</w:t>
            </w:r>
          </w:p>
          <w:p w14:paraId="6DE1C059">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pli</w:t>
            </w:r>
            <w:r>
              <w:rPr>
                <w:rFonts w:hint="default" w:ascii="Times New Roman" w:hAnsi="Times New Roman" w:cs="Times New Roman"/>
                <w:color w:val="auto"/>
                <w:sz w:val="24"/>
              </w:rPr>
              <w:t>（T）——靠近围护结构处室内N个声源i倍频带的叠加声压级，dB；</w:t>
            </w:r>
          </w:p>
          <w:p w14:paraId="714371AF">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TL</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 xml:space="preserve"> ——围护结构i倍频带的隔声量，dB。</w:t>
            </w:r>
          </w:p>
          <w:p w14:paraId="6CD9DF7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③噪声贡献值计算</w:t>
            </w:r>
          </w:p>
          <w:p w14:paraId="4B8D9FD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设第i个室外声源在预测点产生的A声级为L</w:t>
            </w:r>
            <w:r>
              <w:rPr>
                <w:rFonts w:hint="default" w:ascii="Times New Roman" w:hAnsi="Times New Roman" w:cs="Times New Roman"/>
                <w:color w:val="auto"/>
                <w:sz w:val="24"/>
                <w:vertAlign w:val="subscript"/>
              </w:rPr>
              <w:t>Ai</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；第j个等效室外声源在预测点产生的A声级为LA</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，在T时间内该声源工作时间为t</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，则拟建工程声源对预测点产生的贡献值（Leqg）为：</w:t>
            </w:r>
          </w:p>
          <w:p w14:paraId="0D1D1185">
            <w:pPr>
              <w:spacing w:line="360" w:lineRule="auto"/>
              <w:jc w:val="center"/>
              <w:rPr>
                <w:rFonts w:hint="default" w:ascii="Times New Roman" w:hAnsi="Times New Roman" w:cs="Times New Roman"/>
                <w:color w:val="auto"/>
                <w:sz w:val="24"/>
              </w:rPr>
            </w:pPr>
            <w:r>
              <w:drawing>
                <wp:inline distT="0" distB="0" distL="114300" distR="114300">
                  <wp:extent cx="3067050" cy="619125"/>
                  <wp:effectExtent l="0" t="0" r="0" b="952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35"/>
                          <a:stretch>
                            <a:fillRect/>
                          </a:stretch>
                        </pic:blipFill>
                        <pic:spPr>
                          <a:xfrm>
                            <a:off x="0" y="0"/>
                            <a:ext cx="3067050" cy="619125"/>
                          </a:xfrm>
                          <a:prstGeom prst="rect">
                            <a:avLst/>
                          </a:prstGeom>
                          <a:noFill/>
                          <a:ln>
                            <a:noFill/>
                          </a:ln>
                        </pic:spPr>
                      </pic:pic>
                    </a:graphicData>
                  </a:graphic>
                </wp:inline>
              </w:drawing>
            </w:r>
          </w:p>
          <w:p w14:paraId="251ADB9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eqg</w:t>
            </w:r>
            <w:r>
              <w:rPr>
                <w:rFonts w:hint="default" w:ascii="Times New Roman" w:hAnsi="Times New Roman" w:cs="Times New Roman"/>
                <w:color w:val="auto"/>
                <w:sz w:val="24"/>
              </w:rPr>
              <w:t>——建设项目声源在预测点产生的噪声贡献值，dB；</w:t>
            </w:r>
          </w:p>
          <w:p w14:paraId="25E748E9">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T——用于计算等效声级的时间，s；</w:t>
            </w:r>
          </w:p>
          <w:p w14:paraId="30EBE1A9">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N——室外声源个数；</w:t>
            </w:r>
          </w:p>
          <w:p w14:paraId="0FF9BE05">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——在T时间内i声源工作时间，s；</w:t>
            </w:r>
          </w:p>
          <w:p w14:paraId="7E3A94F8">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M ——等效室外声源个数；</w:t>
            </w:r>
          </w:p>
          <w:p w14:paraId="1ECC7873">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——在T时间内j声源工作时间，s。</w:t>
            </w:r>
          </w:p>
          <w:p w14:paraId="1994D57E">
            <w:pPr>
              <w:tabs>
                <w:tab w:val="left" w:pos="1219"/>
              </w:tabs>
              <w:autoSpaceDE w:val="0"/>
              <w:autoSpaceDN w:val="0"/>
              <w:adjustRightInd w:val="0"/>
              <w:spacing w:line="360" w:lineRule="auto"/>
              <w:ind w:right="193" w:firstLine="436" w:firstLineChars="182"/>
              <w:rPr>
                <w:rFonts w:hint="default" w:ascii="Times New Roman" w:hAnsi="Times New Roman" w:cs="Times New Roman"/>
                <w:color w:val="auto"/>
                <w:sz w:val="24"/>
              </w:rPr>
            </w:pPr>
            <w:r>
              <w:rPr>
                <w:rFonts w:hint="default" w:ascii="Times New Roman" w:hAnsi="Times New Roman" w:cs="Times New Roman"/>
                <w:color w:val="auto"/>
                <w:sz w:val="24"/>
              </w:rPr>
              <w:t>④噪声预测值计算</w:t>
            </w:r>
          </w:p>
          <w:p w14:paraId="7F196D69">
            <w:pPr>
              <w:tabs>
                <w:tab w:val="left" w:pos="1219"/>
              </w:tabs>
              <w:autoSpaceDE w:val="0"/>
              <w:autoSpaceDN w:val="0"/>
              <w:adjustRightInd w:val="0"/>
              <w:spacing w:line="360" w:lineRule="auto"/>
              <w:ind w:right="193" w:firstLine="436" w:firstLineChars="182"/>
              <w:rPr>
                <w:rFonts w:hint="default" w:ascii="Times New Roman" w:hAnsi="Times New Roman" w:cs="Times New Roman"/>
                <w:color w:val="auto"/>
                <w:sz w:val="24"/>
              </w:rPr>
            </w:pPr>
            <w:r>
              <w:rPr>
                <w:rFonts w:hint="default" w:ascii="Times New Roman" w:hAnsi="Times New Roman" w:cs="Times New Roman"/>
                <w:color w:val="auto"/>
                <w:sz w:val="24"/>
              </w:rPr>
              <w:t>预测点的贡献值和背景值按能量叠加方法计算得到的声级。</w:t>
            </w:r>
          </w:p>
          <w:p w14:paraId="57EE8532">
            <w:pPr>
              <w:tabs>
                <w:tab w:val="left" w:pos="1219"/>
              </w:tabs>
              <w:autoSpaceDE w:val="0"/>
              <w:autoSpaceDN w:val="0"/>
              <w:adjustRightInd w:val="0"/>
              <w:spacing w:line="360" w:lineRule="auto"/>
              <w:ind w:right="193" w:firstLine="436" w:firstLineChars="182"/>
              <w:rPr>
                <w:rFonts w:hint="default" w:ascii="Times New Roman" w:hAnsi="Times New Roman" w:cs="Times New Roman"/>
                <w:color w:val="auto"/>
                <w:sz w:val="24"/>
              </w:rPr>
            </w:pPr>
            <w:r>
              <w:rPr>
                <w:rFonts w:hint="default" w:ascii="Times New Roman" w:hAnsi="Times New Roman" w:cs="Times New Roman"/>
                <w:color w:val="auto"/>
                <w:sz w:val="24"/>
              </w:rPr>
              <w:t>噪声预测值（Leq）计算公式为：</w:t>
            </w:r>
          </w:p>
          <w:p w14:paraId="7D6F0B3A">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28900" cy="523875"/>
                  <wp:effectExtent l="0" t="0" r="0" b="9525"/>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36"/>
                          <a:stretch>
                            <a:fillRect/>
                          </a:stretch>
                        </pic:blipFill>
                        <pic:spPr>
                          <a:xfrm>
                            <a:off x="0" y="0"/>
                            <a:ext cx="2628900" cy="523875"/>
                          </a:xfrm>
                          <a:prstGeom prst="rect">
                            <a:avLst/>
                          </a:prstGeom>
                          <a:noFill/>
                          <a:ln>
                            <a:noFill/>
                          </a:ln>
                        </pic:spPr>
                      </pic:pic>
                    </a:graphicData>
                  </a:graphic>
                </wp:inline>
              </w:drawing>
            </w:r>
          </w:p>
          <w:p w14:paraId="10DCDD98">
            <w:pPr>
              <w:pStyle w:val="8"/>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式中：Leq</w:t>
            </w:r>
            <w:r>
              <w:rPr>
                <w:rFonts w:hint="default" w:ascii="Times New Roman" w:hAnsi="Times New Roman" w:cs="Times New Roman"/>
                <w:color w:val="auto"/>
                <w:sz w:val="24"/>
              </w:rPr>
              <w:t>——</w:t>
            </w:r>
            <w:r>
              <w:rPr>
                <w:rFonts w:hint="default" w:ascii="Times New Roman" w:hAnsi="Times New Roman" w:cs="Times New Roman"/>
                <w:color w:val="auto"/>
                <w:sz w:val="24"/>
                <w:szCs w:val="24"/>
              </w:rPr>
              <w:t>预测点的噪声预测值，dB；</w:t>
            </w:r>
          </w:p>
          <w:p w14:paraId="7A96E79E">
            <w:pPr>
              <w:pStyle w:val="8"/>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Leqg</w:t>
            </w:r>
            <w:r>
              <w:rPr>
                <w:rFonts w:hint="default" w:ascii="Times New Roman" w:hAnsi="Times New Roman" w:cs="Times New Roman"/>
                <w:color w:val="auto"/>
                <w:sz w:val="24"/>
              </w:rPr>
              <w:t>——</w:t>
            </w:r>
            <w:r>
              <w:rPr>
                <w:rFonts w:hint="default" w:ascii="Times New Roman" w:hAnsi="Times New Roman" w:cs="Times New Roman"/>
                <w:color w:val="auto"/>
                <w:sz w:val="24"/>
                <w:szCs w:val="24"/>
              </w:rPr>
              <w:t>建设项目声源在预测点产生的噪声贡献值，dB；</w:t>
            </w:r>
          </w:p>
          <w:p w14:paraId="2B7D623D">
            <w:pPr>
              <w:pStyle w:val="8"/>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Leqb</w:t>
            </w:r>
            <w:r>
              <w:rPr>
                <w:rFonts w:hint="default" w:ascii="Times New Roman" w:hAnsi="Times New Roman" w:cs="Times New Roman"/>
                <w:color w:val="auto"/>
                <w:sz w:val="24"/>
              </w:rPr>
              <w:t>——</w:t>
            </w:r>
            <w:r>
              <w:rPr>
                <w:rFonts w:hint="default" w:ascii="Times New Roman" w:hAnsi="Times New Roman" w:cs="Times New Roman"/>
                <w:color w:val="auto"/>
                <w:sz w:val="24"/>
                <w:szCs w:val="24"/>
              </w:rPr>
              <w:t>预测点的背景噪声值，dB。</w:t>
            </w:r>
          </w:p>
          <w:p w14:paraId="216C8551">
            <w:pPr>
              <w:tabs>
                <w:tab w:val="left" w:pos="1219"/>
              </w:tabs>
              <w:autoSpaceDE w:val="0"/>
              <w:autoSpaceDN w:val="0"/>
              <w:adjustRightInd w:val="0"/>
              <w:spacing w:line="360" w:lineRule="auto"/>
              <w:ind w:right="193" w:firstLine="436" w:firstLineChars="182"/>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5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rPr>
              <w:t>⑤</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预测结果</w:t>
            </w:r>
          </w:p>
          <w:p w14:paraId="7ACA849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预测结果详见下表4-</w:t>
            </w:r>
            <w:r>
              <w:rPr>
                <w:rFonts w:hint="eastAsia" w:ascii="Times New Roman" w:hAnsi="Times New Roman" w:cs="Times New Roman"/>
                <w:color w:val="auto"/>
                <w:sz w:val="24"/>
                <w:lang w:val="en-US" w:eastAsia="zh-CN"/>
              </w:rPr>
              <w:t>1</w:t>
            </w:r>
            <w:r>
              <w:rPr>
                <w:rFonts w:hint="eastAsia" w:cs="Times New Roman"/>
                <w:color w:val="auto"/>
                <w:sz w:val="24"/>
                <w:lang w:val="en-US" w:eastAsia="zh-CN"/>
              </w:rPr>
              <w:t>1</w:t>
            </w:r>
            <w:r>
              <w:rPr>
                <w:rFonts w:hint="default" w:ascii="Times New Roman" w:hAnsi="Times New Roman" w:cs="Times New Roman"/>
                <w:color w:val="auto"/>
                <w:sz w:val="24"/>
              </w:rPr>
              <w:t>。</w:t>
            </w:r>
          </w:p>
          <w:p w14:paraId="586624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表4-</w:t>
            </w:r>
            <w:r>
              <w:rPr>
                <w:rFonts w:hint="eastAsia" w:cs="Times New Roman"/>
                <w:b/>
                <w:bCs/>
                <w:color w:val="auto"/>
                <w:sz w:val="22"/>
                <w:szCs w:val="22"/>
                <w:lang w:val="en-US" w:eastAsia="zh-CN"/>
              </w:rPr>
              <w:t>8</w:t>
            </w:r>
            <w:r>
              <w:rPr>
                <w:rFonts w:hint="default" w:ascii="Times New Roman" w:hAnsi="Times New Roman" w:eastAsia="宋体" w:cs="Times New Roman"/>
                <w:b/>
                <w:bCs/>
                <w:color w:val="auto"/>
                <w:sz w:val="22"/>
                <w:szCs w:val="22"/>
                <w:highlight w:val="none"/>
                <w:lang w:val="en-US" w:eastAsia="zh-CN"/>
              </w:rPr>
              <w:t xml:space="preserve"> </w:t>
            </w:r>
            <w:r>
              <w:rPr>
                <w:rFonts w:hint="default" w:ascii="Times New Roman" w:hAnsi="Times New Roman" w:eastAsia="宋体" w:cs="Times New Roman"/>
                <w:b/>
                <w:bCs/>
                <w:color w:val="auto"/>
                <w:sz w:val="22"/>
                <w:szCs w:val="22"/>
                <w:highlight w:val="none"/>
              </w:rPr>
              <w:t>厂界噪声预测结果一览表dB</w:t>
            </w:r>
            <w:r>
              <w:rPr>
                <w:rFonts w:hint="default" w:ascii="Times New Roman" w:hAnsi="Times New Roman" w:eastAsia="宋体" w:cs="Times New Roman"/>
                <w:b/>
                <w:bCs/>
                <w:color w:val="auto"/>
                <w:sz w:val="22"/>
                <w:szCs w:val="22"/>
                <w:highlight w:val="none"/>
                <w:lang w:val="zh-CN"/>
              </w:rPr>
              <w:t>（A</w:t>
            </w:r>
            <w:r>
              <w:rPr>
                <w:rFonts w:hint="default" w:ascii="Times New Roman" w:hAnsi="Times New Roman" w:eastAsia="宋体" w:cs="Times New Roman"/>
                <w:b/>
                <w:bCs/>
                <w:color w:val="auto"/>
                <w:sz w:val="22"/>
                <w:szCs w:val="22"/>
                <w:lang w:val="zh-CN"/>
              </w:rPr>
              <w:t>）</w:t>
            </w:r>
          </w:p>
          <w:tbl>
            <w:tblPr>
              <w:tblStyle w:val="24"/>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1428"/>
              <w:gridCol w:w="1560"/>
              <w:gridCol w:w="1512"/>
              <w:gridCol w:w="1368"/>
              <w:gridCol w:w="918"/>
            </w:tblGrid>
            <w:tr w14:paraId="04EA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691" w:type="dxa"/>
                  <w:vMerge w:val="restart"/>
                  <w:vAlign w:val="center"/>
                </w:tcPr>
                <w:p w14:paraId="204621C4">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厂界</w:t>
                  </w:r>
                </w:p>
              </w:tc>
              <w:tc>
                <w:tcPr>
                  <w:tcW w:w="1428" w:type="dxa"/>
                  <w:vMerge w:val="restart"/>
                  <w:vAlign w:val="center"/>
                </w:tcPr>
                <w:p w14:paraId="5665E2F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贡献值</w:t>
                  </w:r>
                </w:p>
              </w:tc>
              <w:tc>
                <w:tcPr>
                  <w:tcW w:w="1560" w:type="dxa"/>
                  <w:vAlign w:val="center"/>
                </w:tcPr>
                <w:p w14:paraId="5B33453A">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现状值</w:t>
                  </w:r>
                  <w:r>
                    <w:rPr>
                      <w:rFonts w:hint="default" w:ascii="Times New Roman" w:hAnsi="Times New Roman" w:cs="Times New Roman"/>
                      <w:b/>
                      <w:bCs/>
                      <w:color w:val="auto"/>
                      <w:sz w:val="21"/>
                      <w:szCs w:val="21"/>
                      <w:highlight w:val="none"/>
                      <w:lang w:val="en-US" w:eastAsia="zh-CN"/>
                    </w:rPr>
                    <w:t xml:space="preserve">                                                                                                                   </w:t>
                  </w:r>
                </w:p>
              </w:tc>
              <w:tc>
                <w:tcPr>
                  <w:tcW w:w="1512" w:type="dxa"/>
                  <w:vAlign w:val="center"/>
                </w:tcPr>
                <w:p w14:paraId="5026E1D1">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预测值</w:t>
                  </w:r>
                </w:p>
              </w:tc>
              <w:tc>
                <w:tcPr>
                  <w:tcW w:w="1368" w:type="dxa"/>
                  <w:vAlign w:val="center"/>
                </w:tcPr>
                <w:p w14:paraId="694F07B7">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评价标准</w:t>
                  </w:r>
                </w:p>
              </w:tc>
              <w:tc>
                <w:tcPr>
                  <w:tcW w:w="918" w:type="dxa"/>
                  <w:vMerge w:val="restart"/>
                  <w:vAlign w:val="center"/>
                </w:tcPr>
                <w:p w14:paraId="056D320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14:paraId="399F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691" w:type="dxa"/>
                  <w:vMerge w:val="continue"/>
                  <w:vAlign w:val="center"/>
                </w:tcPr>
                <w:p w14:paraId="05E84C72">
                  <w:pPr>
                    <w:jc w:val="center"/>
                    <w:rPr>
                      <w:rFonts w:hint="default" w:ascii="Times New Roman" w:hAnsi="Times New Roman" w:cs="Times New Roman"/>
                      <w:b/>
                      <w:bCs/>
                      <w:color w:val="auto"/>
                      <w:sz w:val="21"/>
                      <w:szCs w:val="21"/>
                    </w:rPr>
                  </w:pPr>
                </w:p>
              </w:tc>
              <w:tc>
                <w:tcPr>
                  <w:tcW w:w="1428" w:type="dxa"/>
                  <w:vMerge w:val="continue"/>
                  <w:vAlign w:val="center"/>
                </w:tcPr>
                <w:p w14:paraId="53809178">
                  <w:pPr>
                    <w:jc w:val="center"/>
                    <w:rPr>
                      <w:rFonts w:hint="default" w:ascii="Times New Roman" w:hAnsi="Times New Roman" w:cs="Times New Roman"/>
                      <w:b/>
                      <w:bCs/>
                      <w:color w:val="auto"/>
                      <w:sz w:val="21"/>
                      <w:szCs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4F1A4445">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1512" w:type="dxa"/>
                  <w:vAlign w:val="center"/>
                </w:tcPr>
                <w:p w14:paraId="2FC7FD75">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1368" w:type="dxa"/>
                  <w:vAlign w:val="center"/>
                </w:tcPr>
                <w:p w14:paraId="2510A791">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918" w:type="dxa"/>
                  <w:vMerge w:val="continue"/>
                  <w:vAlign w:val="center"/>
                </w:tcPr>
                <w:p w14:paraId="6023C1D3">
                  <w:pPr>
                    <w:jc w:val="center"/>
                    <w:rPr>
                      <w:rFonts w:hint="default" w:ascii="Times New Roman" w:hAnsi="Times New Roman" w:cs="Times New Roman"/>
                      <w:b/>
                      <w:bCs/>
                      <w:color w:val="auto"/>
                      <w:sz w:val="21"/>
                      <w:szCs w:val="21"/>
                    </w:rPr>
                  </w:pPr>
                </w:p>
              </w:tc>
            </w:tr>
            <w:tr w14:paraId="022E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691" w:type="dxa"/>
                  <w:vAlign w:val="center"/>
                </w:tcPr>
                <w:p w14:paraId="136DE91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厂界东侧</w:t>
                  </w:r>
                </w:p>
              </w:tc>
              <w:tc>
                <w:tcPr>
                  <w:tcW w:w="1428" w:type="dxa"/>
                  <w:vAlign w:val="center"/>
                </w:tcPr>
                <w:p w14:paraId="7F119BE9">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25.84</w:t>
                  </w:r>
                </w:p>
              </w:tc>
              <w:tc>
                <w:tcPr>
                  <w:tcW w:w="1560" w:type="dxa"/>
                  <w:tcBorders>
                    <w:top w:val="single" w:color="auto" w:sz="4" w:space="0"/>
                    <w:left w:val="single" w:color="auto" w:sz="4" w:space="0"/>
                    <w:bottom w:val="single" w:color="auto" w:sz="4" w:space="0"/>
                    <w:right w:val="single" w:color="auto" w:sz="4" w:space="0"/>
                  </w:tcBorders>
                  <w:vAlign w:val="center"/>
                </w:tcPr>
                <w:p w14:paraId="1DCACA24">
                  <w:pPr>
                    <w:autoSpaceDE w:val="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sz w:val="21"/>
                      <w:szCs w:val="21"/>
                      <w:highlight w:val="none"/>
                      <w:lang w:val="en-US" w:eastAsia="zh-CN"/>
                    </w:rPr>
                    <w:t>55</w:t>
                  </w:r>
                </w:p>
              </w:tc>
              <w:tc>
                <w:tcPr>
                  <w:tcW w:w="1512" w:type="dxa"/>
                  <w:vAlign w:val="center"/>
                </w:tcPr>
                <w:p w14:paraId="7EDF97F0">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55.57</w:t>
                  </w:r>
                </w:p>
              </w:tc>
              <w:tc>
                <w:tcPr>
                  <w:tcW w:w="1368" w:type="dxa"/>
                  <w:vAlign w:val="center"/>
                </w:tcPr>
                <w:p w14:paraId="2AB99BC1">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6</w:t>
                  </w:r>
                  <w:r>
                    <w:rPr>
                      <w:rFonts w:hint="eastAsia" w:cs="Times New Roman"/>
                      <w:color w:val="auto"/>
                      <w:sz w:val="21"/>
                      <w:szCs w:val="21"/>
                      <w:lang w:val="en-US" w:eastAsia="zh-CN"/>
                    </w:rPr>
                    <w:t>5</w:t>
                  </w:r>
                </w:p>
              </w:tc>
              <w:tc>
                <w:tcPr>
                  <w:tcW w:w="918" w:type="dxa"/>
                  <w:vAlign w:val="center"/>
                </w:tcPr>
                <w:p w14:paraId="3F9EB78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0E6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91" w:type="dxa"/>
                  <w:vAlign w:val="center"/>
                </w:tcPr>
                <w:p w14:paraId="69A340A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厂界南侧</w:t>
                  </w:r>
                </w:p>
              </w:tc>
              <w:tc>
                <w:tcPr>
                  <w:tcW w:w="1428" w:type="dxa"/>
                  <w:vAlign w:val="center"/>
                </w:tcPr>
                <w:p w14:paraId="44B2C629">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31.1</w:t>
                  </w:r>
                </w:p>
              </w:tc>
              <w:tc>
                <w:tcPr>
                  <w:tcW w:w="1560" w:type="dxa"/>
                  <w:tcBorders>
                    <w:top w:val="single" w:color="auto" w:sz="4" w:space="0"/>
                    <w:left w:val="single" w:color="auto" w:sz="4" w:space="0"/>
                    <w:bottom w:val="single" w:color="auto" w:sz="4" w:space="0"/>
                    <w:right w:val="single" w:color="auto" w:sz="4" w:space="0"/>
                  </w:tcBorders>
                  <w:vAlign w:val="center"/>
                </w:tcPr>
                <w:p w14:paraId="6B8528F2">
                  <w:pPr>
                    <w:autoSpaceDE w:val="0"/>
                    <w:jc w:val="center"/>
                    <w:rPr>
                      <w:rFonts w:hint="default" w:ascii="Times New Roman" w:hAnsi="Times New Roman" w:cs="Times New Roman"/>
                      <w:color w:val="auto"/>
                      <w:sz w:val="21"/>
                      <w:szCs w:val="21"/>
                      <w:highlight w:val="none"/>
                      <w:lang w:val="en-US"/>
                    </w:rPr>
                  </w:pPr>
                  <w:r>
                    <w:rPr>
                      <w:rFonts w:hint="eastAsia" w:cs="Times New Roman"/>
                      <w:sz w:val="21"/>
                      <w:szCs w:val="21"/>
                      <w:highlight w:val="none"/>
                      <w:lang w:val="en-US" w:eastAsia="zh-CN"/>
                    </w:rPr>
                    <w:t>56</w:t>
                  </w:r>
                </w:p>
              </w:tc>
              <w:tc>
                <w:tcPr>
                  <w:tcW w:w="1512" w:type="dxa"/>
                  <w:vAlign w:val="center"/>
                </w:tcPr>
                <w:p w14:paraId="78947BD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56.21</w:t>
                  </w:r>
                </w:p>
              </w:tc>
              <w:tc>
                <w:tcPr>
                  <w:tcW w:w="1368" w:type="dxa"/>
                  <w:vAlign w:val="center"/>
                </w:tcPr>
                <w:p w14:paraId="27F3A4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eastAsia" w:cs="Times New Roman"/>
                      <w:color w:val="auto"/>
                      <w:sz w:val="21"/>
                      <w:szCs w:val="21"/>
                      <w:lang w:val="en-US" w:eastAsia="zh-CN"/>
                    </w:rPr>
                    <w:t>5</w:t>
                  </w:r>
                </w:p>
              </w:tc>
              <w:tc>
                <w:tcPr>
                  <w:tcW w:w="918" w:type="dxa"/>
                  <w:vAlign w:val="center"/>
                </w:tcPr>
                <w:p w14:paraId="6A5226F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4DD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691" w:type="dxa"/>
                  <w:vAlign w:val="center"/>
                </w:tcPr>
                <w:p w14:paraId="2B1CB26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厂界西侧</w:t>
                  </w:r>
                </w:p>
              </w:tc>
              <w:tc>
                <w:tcPr>
                  <w:tcW w:w="1428" w:type="dxa"/>
                  <w:vAlign w:val="center"/>
                </w:tcPr>
                <w:p w14:paraId="419B153A">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56.08</w:t>
                  </w:r>
                </w:p>
              </w:tc>
              <w:tc>
                <w:tcPr>
                  <w:tcW w:w="1560" w:type="dxa"/>
                  <w:tcBorders>
                    <w:top w:val="single" w:color="auto" w:sz="4" w:space="0"/>
                    <w:left w:val="single" w:color="auto" w:sz="4" w:space="0"/>
                    <w:bottom w:val="single" w:color="auto" w:sz="4" w:space="0"/>
                    <w:right w:val="single" w:color="auto" w:sz="4" w:space="0"/>
                  </w:tcBorders>
                  <w:vAlign w:val="center"/>
                </w:tcPr>
                <w:p w14:paraId="0265CEB3">
                  <w:pPr>
                    <w:autoSpaceDE w:val="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sz w:val="21"/>
                      <w:szCs w:val="21"/>
                      <w:highlight w:val="none"/>
                      <w:lang w:val="en-US" w:eastAsia="zh-CN"/>
                    </w:rPr>
                    <w:t>5</w:t>
                  </w:r>
                  <w:r>
                    <w:rPr>
                      <w:rFonts w:hint="eastAsia" w:cs="Times New Roman"/>
                      <w:sz w:val="21"/>
                      <w:szCs w:val="21"/>
                      <w:highlight w:val="none"/>
                      <w:lang w:val="en-US" w:eastAsia="zh-CN"/>
                    </w:rPr>
                    <w:t>3</w:t>
                  </w:r>
                </w:p>
              </w:tc>
              <w:tc>
                <w:tcPr>
                  <w:tcW w:w="1512" w:type="dxa"/>
                  <w:vAlign w:val="center"/>
                </w:tcPr>
                <w:p w14:paraId="61B208C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54.79</w:t>
                  </w:r>
                </w:p>
              </w:tc>
              <w:tc>
                <w:tcPr>
                  <w:tcW w:w="1368" w:type="dxa"/>
                  <w:vAlign w:val="center"/>
                </w:tcPr>
                <w:p w14:paraId="27EB716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eastAsia" w:cs="Times New Roman"/>
                      <w:color w:val="auto"/>
                      <w:sz w:val="21"/>
                      <w:szCs w:val="21"/>
                      <w:lang w:val="en-US" w:eastAsia="zh-CN"/>
                    </w:rPr>
                    <w:t>5</w:t>
                  </w:r>
                </w:p>
              </w:tc>
              <w:tc>
                <w:tcPr>
                  <w:tcW w:w="918" w:type="dxa"/>
                  <w:vAlign w:val="center"/>
                </w:tcPr>
                <w:p w14:paraId="0C4BB7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95B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691" w:type="dxa"/>
                  <w:vAlign w:val="center"/>
                </w:tcPr>
                <w:p w14:paraId="666011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厂界北侧</w:t>
                  </w:r>
                </w:p>
              </w:tc>
              <w:tc>
                <w:tcPr>
                  <w:tcW w:w="1428" w:type="dxa"/>
                  <w:vAlign w:val="center"/>
                </w:tcPr>
                <w:p w14:paraId="6F87ABDD">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29.23</w:t>
                  </w:r>
                </w:p>
              </w:tc>
              <w:tc>
                <w:tcPr>
                  <w:tcW w:w="1560" w:type="dxa"/>
                  <w:tcBorders>
                    <w:top w:val="single" w:color="auto" w:sz="4" w:space="0"/>
                    <w:left w:val="single" w:color="auto" w:sz="4" w:space="0"/>
                    <w:bottom w:val="single" w:color="auto" w:sz="4" w:space="0"/>
                    <w:right w:val="single" w:color="auto" w:sz="4" w:space="0"/>
                  </w:tcBorders>
                  <w:vAlign w:val="center"/>
                </w:tcPr>
                <w:p w14:paraId="685D4717">
                  <w:pPr>
                    <w:autoSpaceDE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48</w:t>
                  </w:r>
                </w:p>
              </w:tc>
              <w:tc>
                <w:tcPr>
                  <w:tcW w:w="1512" w:type="dxa"/>
                  <w:vAlign w:val="center"/>
                </w:tcPr>
                <w:p w14:paraId="3E622D1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50.09</w:t>
                  </w:r>
                </w:p>
              </w:tc>
              <w:tc>
                <w:tcPr>
                  <w:tcW w:w="1368" w:type="dxa"/>
                  <w:vAlign w:val="center"/>
                </w:tcPr>
                <w:p w14:paraId="6D8636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eastAsia" w:cs="Times New Roman"/>
                      <w:color w:val="auto"/>
                      <w:sz w:val="21"/>
                      <w:szCs w:val="21"/>
                      <w:lang w:val="en-US" w:eastAsia="zh-CN"/>
                    </w:rPr>
                    <w:t>5</w:t>
                  </w:r>
                </w:p>
              </w:tc>
              <w:tc>
                <w:tcPr>
                  <w:tcW w:w="918" w:type="dxa"/>
                  <w:vAlign w:val="center"/>
                </w:tcPr>
                <w:p w14:paraId="57F1654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015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691" w:type="dxa"/>
                  <w:vAlign w:val="center"/>
                </w:tcPr>
                <w:p w14:paraId="228C33FA">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纵楼</w:t>
                  </w:r>
                </w:p>
              </w:tc>
              <w:tc>
                <w:tcPr>
                  <w:tcW w:w="1428" w:type="dxa"/>
                  <w:vAlign w:val="center"/>
                </w:tcPr>
                <w:p w14:paraId="5A83F160">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5.7</w:t>
                  </w:r>
                </w:p>
              </w:tc>
              <w:tc>
                <w:tcPr>
                  <w:tcW w:w="1560" w:type="dxa"/>
                  <w:tcBorders>
                    <w:top w:val="single" w:color="auto" w:sz="4" w:space="0"/>
                    <w:left w:val="single" w:color="auto" w:sz="4" w:space="0"/>
                    <w:bottom w:val="single" w:color="auto" w:sz="4" w:space="0"/>
                    <w:right w:val="single" w:color="auto" w:sz="4" w:space="0"/>
                  </w:tcBorders>
                  <w:vAlign w:val="center"/>
                </w:tcPr>
                <w:p w14:paraId="1883E8C7">
                  <w:pPr>
                    <w:autoSpaceDE w:val="0"/>
                    <w:jc w:val="center"/>
                    <w:rPr>
                      <w:rFonts w:hint="default" w:ascii="Times New Roman" w:hAnsi="Times New Roman" w:eastAsia="宋体" w:cs="Times New Roman"/>
                      <w:sz w:val="21"/>
                      <w:szCs w:val="21"/>
                      <w:highlight w:val="yellow"/>
                      <w:lang w:val="en-US" w:eastAsia="zh-CN"/>
                    </w:rPr>
                  </w:pPr>
                  <w:r>
                    <w:rPr>
                      <w:rFonts w:hint="eastAsia" w:cs="Times New Roman"/>
                      <w:sz w:val="21"/>
                      <w:szCs w:val="21"/>
                      <w:highlight w:val="none"/>
                      <w:lang w:val="en-US" w:eastAsia="zh-CN"/>
                    </w:rPr>
                    <w:t>57.8</w:t>
                  </w:r>
                </w:p>
              </w:tc>
              <w:tc>
                <w:tcPr>
                  <w:tcW w:w="1512" w:type="dxa"/>
                  <w:vAlign w:val="center"/>
                </w:tcPr>
                <w:p w14:paraId="357070B8">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57.8</w:t>
                  </w:r>
                </w:p>
              </w:tc>
              <w:tc>
                <w:tcPr>
                  <w:tcW w:w="1368" w:type="dxa"/>
                  <w:vAlign w:val="center"/>
                </w:tcPr>
                <w:p w14:paraId="707873B0">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918" w:type="dxa"/>
                  <w:vAlign w:val="center"/>
                </w:tcPr>
                <w:p w14:paraId="7443B87C">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达标</w:t>
                  </w:r>
                </w:p>
              </w:tc>
            </w:tr>
          </w:tbl>
          <w:p w14:paraId="4086FED6">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highlight w:val="none"/>
                <w:shd w:val="clear"/>
              </w:rPr>
            </w:pPr>
            <w:r>
              <w:rPr>
                <w:rFonts w:hint="eastAsia"/>
                <w:color w:val="000000"/>
                <w:kern w:val="0"/>
                <w:sz w:val="24"/>
                <w:lang w:val="en-US" w:eastAsia="zh-CN"/>
              </w:rPr>
              <w:t>根据上表预测数值，本项目厂界处噪声能够满足《工业企业厂界环境噪声排放标准》（GB12348-2008）中3类标准。</w:t>
            </w:r>
          </w:p>
          <w:p w14:paraId="138D8D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highlight w:val="none"/>
                <w:lang w:val="en-US" w:eastAsia="zh-CN"/>
              </w:rPr>
            </w:pPr>
            <w:r>
              <w:rPr>
                <w:rFonts w:hint="eastAsia"/>
                <w:b w:val="0"/>
                <w:bCs w:val="0"/>
                <w:sz w:val="24"/>
                <w:lang w:val="en-US" w:eastAsia="zh-CN"/>
              </w:rPr>
              <w:t>3.3本项</w:t>
            </w:r>
            <w:r>
              <w:rPr>
                <w:rFonts w:hint="eastAsia"/>
                <w:b w:val="0"/>
                <w:bCs w:val="0"/>
                <w:sz w:val="24"/>
                <w:highlight w:val="none"/>
                <w:lang w:val="en-US" w:eastAsia="zh-CN"/>
              </w:rPr>
              <w:t>目厂界噪声监测要求如下。</w:t>
            </w:r>
          </w:p>
          <w:p w14:paraId="7E94C4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2"/>
                <w:szCs w:val="22"/>
                <w:highlight w:val="none"/>
              </w:rPr>
              <w:t>表4-</w:t>
            </w:r>
            <w:r>
              <w:rPr>
                <w:rFonts w:hint="eastAsia" w:cs="Times New Roman"/>
                <w:b/>
                <w:bCs/>
                <w:color w:val="auto"/>
                <w:sz w:val="22"/>
                <w:szCs w:val="22"/>
                <w:highlight w:val="none"/>
                <w:lang w:val="en-US" w:eastAsia="zh-CN"/>
              </w:rPr>
              <w:t>9</w:t>
            </w:r>
            <w:r>
              <w:rPr>
                <w:rFonts w:hint="eastAsia"/>
                <w:b/>
                <w:kern w:val="0"/>
                <w:sz w:val="22"/>
                <w:szCs w:val="22"/>
                <w:highlight w:val="none"/>
              </w:rPr>
              <w:t>项目</w:t>
            </w:r>
            <w:r>
              <w:rPr>
                <w:rFonts w:hint="eastAsia"/>
                <w:b/>
                <w:kern w:val="0"/>
                <w:sz w:val="22"/>
                <w:szCs w:val="22"/>
                <w:highlight w:val="none"/>
                <w:lang w:val="en-US" w:eastAsia="zh-CN"/>
              </w:rPr>
              <w:t>厂界噪声监测要求</w:t>
            </w:r>
            <w:r>
              <w:rPr>
                <w:rFonts w:hint="eastAsia"/>
                <w:b/>
                <w:kern w:val="0"/>
                <w:sz w:val="22"/>
                <w:szCs w:val="22"/>
                <w:highlight w:val="none"/>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101"/>
              <w:gridCol w:w="2081"/>
              <w:gridCol w:w="2181"/>
            </w:tblGrid>
            <w:tr w14:paraId="1734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245" w:type="pct"/>
                  <w:vAlign w:val="center"/>
                </w:tcPr>
                <w:p w14:paraId="79D9E247">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检</w:t>
                  </w:r>
                  <w:r>
                    <w:rPr>
                      <w:rFonts w:hint="default" w:ascii="Times New Roman" w:hAnsi="Times New Roman" w:cs="Times New Roman"/>
                      <w:b/>
                      <w:bCs/>
                      <w:color w:val="auto"/>
                      <w:sz w:val="21"/>
                      <w:szCs w:val="21"/>
                      <w:highlight w:val="none"/>
                      <w:lang w:eastAsia="zh-CN"/>
                    </w:rPr>
                    <w:t>测</w:t>
                  </w:r>
                  <w:r>
                    <w:rPr>
                      <w:rFonts w:hint="default" w:ascii="Times New Roman" w:hAnsi="Times New Roman" w:cs="Times New Roman"/>
                      <w:b/>
                      <w:bCs/>
                      <w:color w:val="auto"/>
                      <w:sz w:val="21"/>
                      <w:szCs w:val="21"/>
                      <w:highlight w:val="none"/>
                      <w:lang w:val="en-US" w:eastAsia="zh-CN"/>
                    </w:rPr>
                    <w:t>点位</w:t>
                  </w:r>
                </w:p>
              </w:tc>
              <w:tc>
                <w:tcPr>
                  <w:tcW w:w="1239" w:type="pct"/>
                  <w:vAlign w:val="center"/>
                </w:tcPr>
                <w:p w14:paraId="27CDBF96">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 xml:space="preserve">检测项目                                                                                                                </w:t>
                  </w:r>
                </w:p>
              </w:tc>
              <w:tc>
                <w:tcPr>
                  <w:tcW w:w="1227" w:type="pct"/>
                  <w:vAlign w:val="center"/>
                </w:tcPr>
                <w:p w14:paraId="71EABF5C">
                  <w:pPr>
                    <w:jc w:val="center"/>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检测频次</w:t>
                  </w:r>
                </w:p>
              </w:tc>
              <w:tc>
                <w:tcPr>
                  <w:tcW w:w="1286" w:type="pct"/>
                  <w:vAlign w:val="center"/>
                </w:tcPr>
                <w:p w14:paraId="56B3FD03">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执行标准</w:t>
                  </w:r>
                </w:p>
              </w:tc>
            </w:tr>
            <w:tr w14:paraId="69AE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245" w:type="pct"/>
                  <w:vAlign w:val="center"/>
                </w:tcPr>
                <w:p w14:paraId="43856A8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厂界东</w:t>
                  </w:r>
                </w:p>
              </w:tc>
              <w:tc>
                <w:tcPr>
                  <w:tcW w:w="1239" w:type="pct"/>
                  <w:vMerge w:val="restart"/>
                  <w:tcBorders>
                    <w:top w:val="single" w:color="auto" w:sz="4" w:space="0"/>
                    <w:left w:val="single" w:color="auto" w:sz="4" w:space="0"/>
                  </w:tcBorders>
                  <w:vAlign w:val="center"/>
                </w:tcPr>
                <w:p w14:paraId="6C61939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连续等效A声级Leq</w:t>
                  </w:r>
                </w:p>
              </w:tc>
              <w:tc>
                <w:tcPr>
                  <w:tcW w:w="1227" w:type="pct"/>
                  <w:vMerge w:val="restart"/>
                  <w:vAlign w:val="center"/>
                </w:tcPr>
                <w:p w14:paraId="1AEBD722">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000000"/>
                      <w:kern w:val="2"/>
                      <w:sz w:val="21"/>
                      <w:szCs w:val="21"/>
                      <w:highlight w:val="none"/>
                      <w:lang w:val="en-US" w:eastAsia="zh-CN"/>
                    </w:rPr>
                    <w:t>1次/季度</w:t>
                  </w:r>
                </w:p>
              </w:tc>
              <w:tc>
                <w:tcPr>
                  <w:tcW w:w="1286" w:type="pct"/>
                  <w:vMerge w:val="restart"/>
                  <w:vAlign w:val="center"/>
                </w:tcPr>
                <w:p w14:paraId="69FA2A59">
                  <w:pPr>
                    <w:jc w:val="center"/>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sz w:val="21"/>
                      <w:szCs w:val="21"/>
                      <w:highlight w:val="none"/>
                      <w:lang w:val="en-US" w:eastAsia="zh-CN"/>
                    </w:rPr>
                    <w:t>《工业企业厂界环境噪声排放标准》（GB12348-2008）3类标准</w:t>
                  </w:r>
                </w:p>
              </w:tc>
            </w:tr>
            <w:tr w14:paraId="30C6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245" w:type="pct"/>
                  <w:vAlign w:val="center"/>
                </w:tcPr>
                <w:p w14:paraId="484F5DA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厂界南</w:t>
                  </w:r>
                </w:p>
              </w:tc>
              <w:tc>
                <w:tcPr>
                  <w:tcW w:w="1239" w:type="pct"/>
                  <w:vMerge w:val="continue"/>
                  <w:tcBorders>
                    <w:left w:val="single" w:color="auto" w:sz="4" w:space="0"/>
                  </w:tcBorders>
                  <w:vAlign w:val="center"/>
                </w:tcPr>
                <w:p w14:paraId="56D5B18A">
                  <w:pPr>
                    <w:jc w:val="center"/>
                    <w:rPr>
                      <w:rFonts w:hint="default" w:ascii="Times New Roman" w:hAnsi="Times New Roman" w:eastAsia="宋体" w:cs="Times New Roman"/>
                      <w:color w:val="auto"/>
                      <w:sz w:val="21"/>
                      <w:szCs w:val="21"/>
                      <w:highlight w:val="none"/>
                      <w:lang w:val="en-US" w:eastAsia="zh-CN"/>
                    </w:rPr>
                  </w:pPr>
                </w:p>
              </w:tc>
              <w:tc>
                <w:tcPr>
                  <w:tcW w:w="1227" w:type="pct"/>
                  <w:vMerge w:val="continue"/>
                  <w:vAlign w:val="center"/>
                </w:tcPr>
                <w:p w14:paraId="4698E6FC">
                  <w:pPr>
                    <w:jc w:val="center"/>
                    <w:rPr>
                      <w:rFonts w:hint="default" w:ascii="Times New Roman" w:hAnsi="Times New Roman" w:eastAsia="宋体" w:cs="Times New Roman"/>
                      <w:b w:val="0"/>
                      <w:bCs w:val="0"/>
                      <w:color w:val="auto"/>
                      <w:sz w:val="21"/>
                      <w:szCs w:val="21"/>
                      <w:highlight w:val="none"/>
                      <w:lang w:val="en-US" w:eastAsia="zh-CN"/>
                    </w:rPr>
                  </w:pPr>
                </w:p>
              </w:tc>
              <w:tc>
                <w:tcPr>
                  <w:tcW w:w="1286" w:type="pct"/>
                  <w:vMerge w:val="continue"/>
                  <w:vAlign w:val="center"/>
                </w:tcPr>
                <w:p w14:paraId="12F562E7">
                  <w:pPr>
                    <w:jc w:val="center"/>
                    <w:rPr>
                      <w:rFonts w:hint="default" w:ascii="Times New Roman" w:hAnsi="Times New Roman" w:cs="Times New Roman"/>
                      <w:b w:val="0"/>
                      <w:bCs w:val="0"/>
                      <w:color w:val="auto"/>
                      <w:sz w:val="21"/>
                      <w:szCs w:val="21"/>
                      <w:highlight w:val="none"/>
                    </w:rPr>
                  </w:pPr>
                </w:p>
              </w:tc>
            </w:tr>
            <w:tr w14:paraId="65E0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245" w:type="pct"/>
                  <w:vAlign w:val="center"/>
                </w:tcPr>
                <w:p w14:paraId="53D93C1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厂界西</w:t>
                  </w:r>
                </w:p>
              </w:tc>
              <w:tc>
                <w:tcPr>
                  <w:tcW w:w="1239" w:type="pct"/>
                  <w:vMerge w:val="continue"/>
                  <w:tcBorders>
                    <w:left w:val="single" w:color="auto" w:sz="4" w:space="0"/>
                  </w:tcBorders>
                  <w:vAlign w:val="center"/>
                </w:tcPr>
                <w:p w14:paraId="4ECF57D0">
                  <w:pPr>
                    <w:jc w:val="center"/>
                    <w:rPr>
                      <w:rFonts w:hint="default" w:ascii="Times New Roman" w:hAnsi="Times New Roman" w:eastAsia="宋体" w:cs="Times New Roman"/>
                      <w:color w:val="auto"/>
                      <w:sz w:val="21"/>
                      <w:szCs w:val="21"/>
                      <w:highlight w:val="none"/>
                      <w:lang w:val="en-US" w:eastAsia="zh-CN"/>
                    </w:rPr>
                  </w:pPr>
                </w:p>
              </w:tc>
              <w:tc>
                <w:tcPr>
                  <w:tcW w:w="1227" w:type="pct"/>
                  <w:vMerge w:val="continue"/>
                  <w:vAlign w:val="center"/>
                </w:tcPr>
                <w:p w14:paraId="4B1AC68C">
                  <w:pPr>
                    <w:jc w:val="center"/>
                    <w:rPr>
                      <w:rFonts w:hint="default" w:ascii="Times New Roman" w:hAnsi="Times New Roman" w:eastAsia="宋体" w:cs="Times New Roman"/>
                      <w:b w:val="0"/>
                      <w:bCs w:val="0"/>
                      <w:color w:val="auto"/>
                      <w:sz w:val="21"/>
                      <w:szCs w:val="21"/>
                      <w:highlight w:val="none"/>
                      <w:lang w:val="en-US" w:eastAsia="zh-CN"/>
                    </w:rPr>
                  </w:pPr>
                </w:p>
              </w:tc>
              <w:tc>
                <w:tcPr>
                  <w:tcW w:w="1286" w:type="pct"/>
                  <w:vMerge w:val="continue"/>
                  <w:vAlign w:val="center"/>
                </w:tcPr>
                <w:p w14:paraId="49B7C925">
                  <w:pPr>
                    <w:jc w:val="center"/>
                    <w:rPr>
                      <w:rFonts w:hint="default" w:ascii="Times New Roman" w:hAnsi="Times New Roman" w:cs="Times New Roman"/>
                      <w:b w:val="0"/>
                      <w:bCs w:val="0"/>
                      <w:color w:val="auto"/>
                      <w:sz w:val="21"/>
                      <w:szCs w:val="21"/>
                      <w:highlight w:val="none"/>
                    </w:rPr>
                  </w:pPr>
                </w:p>
              </w:tc>
            </w:tr>
            <w:tr w14:paraId="0C4A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245" w:type="pct"/>
                  <w:vAlign w:val="center"/>
                </w:tcPr>
                <w:p w14:paraId="3D6254B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厂界北</w:t>
                  </w:r>
                </w:p>
              </w:tc>
              <w:tc>
                <w:tcPr>
                  <w:tcW w:w="1239" w:type="pct"/>
                  <w:vMerge w:val="continue"/>
                  <w:tcBorders>
                    <w:left w:val="single" w:color="auto" w:sz="4" w:space="0"/>
                  </w:tcBorders>
                  <w:vAlign w:val="center"/>
                </w:tcPr>
                <w:p w14:paraId="321C2AC1">
                  <w:pPr>
                    <w:jc w:val="center"/>
                    <w:rPr>
                      <w:rFonts w:hint="default" w:ascii="Times New Roman" w:hAnsi="Times New Roman" w:eastAsia="宋体" w:cs="Times New Roman"/>
                      <w:color w:val="auto"/>
                      <w:sz w:val="21"/>
                      <w:szCs w:val="21"/>
                      <w:highlight w:val="none"/>
                      <w:lang w:val="en-US" w:eastAsia="zh-CN"/>
                    </w:rPr>
                  </w:pPr>
                </w:p>
              </w:tc>
              <w:tc>
                <w:tcPr>
                  <w:tcW w:w="1227" w:type="pct"/>
                  <w:vMerge w:val="continue"/>
                  <w:vAlign w:val="center"/>
                </w:tcPr>
                <w:p w14:paraId="601550A0">
                  <w:pPr>
                    <w:jc w:val="center"/>
                    <w:rPr>
                      <w:rFonts w:hint="default" w:ascii="Times New Roman" w:hAnsi="Times New Roman" w:eastAsia="宋体" w:cs="Times New Roman"/>
                      <w:b w:val="0"/>
                      <w:bCs w:val="0"/>
                      <w:color w:val="auto"/>
                      <w:sz w:val="21"/>
                      <w:szCs w:val="21"/>
                      <w:highlight w:val="none"/>
                      <w:lang w:val="en-US" w:eastAsia="zh-CN"/>
                    </w:rPr>
                  </w:pPr>
                </w:p>
              </w:tc>
              <w:tc>
                <w:tcPr>
                  <w:tcW w:w="1286" w:type="pct"/>
                  <w:vMerge w:val="continue"/>
                  <w:vAlign w:val="center"/>
                </w:tcPr>
                <w:p w14:paraId="717CBEA6">
                  <w:pPr>
                    <w:jc w:val="center"/>
                    <w:rPr>
                      <w:rFonts w:hint="default" w:ascii="Times New Roman" w:hAnsi="Times New Roman" w:cs="Times New Roman"/>
                      <w:b w:val="0"/>
                      <w:bCs w:val="0"/>
                      <w:color w:val="auto"/>
                      <w:sz w:val="21"/>
                      <w:szCs w:val="21"/>
                      <w:highlight w:val="none"/>
                    </w:rPr>
                  </w:pPr>
                </w:p>
              </w:tc>
            </w:tr>
          </w:tbl>
          <w:p w14:paraId="186059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sz w:val="24"/>
                <w:lang w:val="en-US" w:eastAsia="zh-CN"/>
              </w:rPr>
            </w:pPr>
          </w:p>
          <w:p w14:paraId="20959677">
            <w:pPr>
              <w:autoSpaceDE w:val="0"/>
              <w:autoSpaceDN w:val="0"/>
              <w:adjustRightInd w:val="0"/>
              <w:snapToGrid w:val="0"/>
              <w:spacing w:line="360" w:lineRule="auto"/>
              <w:jc w:val="left"/>
              <w:rPr>
                <w:rFonts w:hint="eastAsia" w:ascii="宋体" w:hAnsi="宋体" w:cs="宋体"/>
                <w:kern w:val="0"/>
                <w:sz w:val="24"/>
                <w:szCs w:val="24"/>
                <w:lang w:eastAsia="zh-CN"/>
              </w:rPr>
            </w:pPr>
            <w:r>
              <w:rPr>
                <w:rFonts w:hint="eastAsia"/>
                <w:b/>
                <w:bCs/>
                <w:sz w:val="24"/>
                <w:lang w:val="en-US" w:eastAsia="zh-CN"/>
              </w:rPr>
              <w:t>4、固体废物</w:t>
            </w:r>
          </w:p>
          <w:p w14:paraId="1804944C">
            <w:pPr>
              <w:autoSpaceDE w:val="0"/>
              <w:autoSpaceDN w:val="0"/>
              <w:adjustRightInd w:val="0"/>
              <w:snapToGrid w:val="0"/>
              <w:spacing w:line="360" w:lineRule="auto"/>
              <w:ind w:firstLine="480" w:firstLineChars="200"/>
              <w:jc w:val="left"/>
              <w:rPr>
                <w:rFonts w:hint="eastAsia"/>
                <w:b w:val="0"/>
                <w:bCs w:val="0"/>
                <w:sz w:val="24"/>
                <w:lang w:val="en-US" w:eastAsia="zh-CN"/>
              </w:rPr>
            </w:pPr>
            <w:r>
              <w:rPr>
                <w:rFonts w:hint="eastAsia"/>
                <w:b w:val="0"/>
                <w:bCs w:val="0"/>
                <w:sz w:val="24"/>
                <w:lang w:val="en-US" w:eastAsia="zh-CN"/>
              </w:rPr>
              <w:t>（一）本项目固废产生情况如下。</w:t>
            </w:r>
          </w:p>
          <w:p w14:paraId="2412999F">
            <w:pPr>
              <w:autoSpaceDE w:val="0"/>
              <w:autoSpaceDN w:val="0"/>
              <w:adjustRightInd w:val="0"/>
              <w:snapToGrid w:val="0"/>
              <w:spacing w:line="360" w:lineRule="auto"/>
              <w:ind w:firstLine="480" w:firstLineChars="200"/>
              <w:jc w:val="left"/>
              <w:rPr>
                <w:rFonts w:hint="default"/>
                <w:b w:val="0"/>
                <w:bCs w:val="0"/>
                <w:sz w:val="24"/>
                <w:lang w:val="en-US" w:eastAsia="zh-CN"/>
              </w:rPr>
            </w:pPr>
            <w:r>
              <w:rPr>
                <w:rFonts w:hint="eastAsia"/>
                <w:b w:val="0"/>
                <w:bCs w:val="0"/>
                <w:sz w:val="24"/>
                <w:lang w:val="en-US" w:eastAsia="zh-CN"/>
              </w:rPr>
              <w:t>（1）生活垃圾</w:t>
            </w:r>
          </w:p>
          <w:p w14:paraId="61B9FE12">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color w:val="000000"/>
                <w:kern w:val="0"/>
                <w:sz w:val="24"/>
                <w:lang w:val="en-US" w:eastAsia="zh-CN"/>
              </w:rPr>
              <w:t>本项目员工生活垃圾产生量按0.5kg/d计</w:t>
            </w:r>
            <w:r>
              <w:rPr>
                <w:rFonts w:ascii="Times New Roman" w:hAnsi="Times New Roman" w:eastAsia="宋体" w:cs="Times New Roman"/>
                <w:color w:val="auto"/>
                <w:kern w:val="2"/>
                <w:sz w:val="24"/>
                <w:szCs w:val="24"/>
                <w:lang w:val="en-US" w:eastAsia="zh-CN" w:bidi="ar-SA"/>
              </w:rPr>
              <w:t>，</w:t>
            </w:r>
            <w:r>
              <w:rPr>
                <w:rFonts w:hint="eastAsia"/>
                <w:color w:val="000000"/>
                <w:kern w:val="0"/>
                <w:sz w:val="24"/>
                <w:lang w:val="en-US" w:eastAsia="zh-CN"/>
              </w:rPr>
              <w:t>项目人数共</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0人</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年工作300天，</w:t>
            </w:r>
            <w:r>
              <w:rPr>
                <w:rFonts w:ascii="Times New Roman" w:hAnsi="Times New Roman" w:eastAsia="宋体" w:cs="Times New Roman"/>
                <w:color w:val="auto"/>
                <w:kern w:val="2"/>
                <w:sz w:val="24"/>
                <w:szCs w:val="24"/>
                <w:lang w:val="en-US" w:eastAsia="zh-CN" w:bidi="ar-SA"/>
              </w:rPr>
              <w:t>生活垃圾产生量为</w:t>
            </w:r>
            <w:r>
              <w:rPr>
                <w:rFonts w:hint="eastAsia" w:cs="Times New Roman"/>
                <w:color w:val="auto"/>
                <w:kern w:val="2"/>
                <w:sz w:val="24"/>
                <w:szCs w:val="24"/>
                <w:lang w:val="en-US" w:eastAsia="zh-CN" w:bidi="ar-SA"/>
              </w:rPr>
              <w:t>7.5</w:t>
            </w:r>
            <w:r>
              <w:rPr>
                <w:rFonts w:ascii="Times New Roman" w:hAnsi="Times New Roman" w:eastAsia="宋体" w:cs="Times New Roman"/>
                <w:color w:val="auto"/>
                <w:kern w:val="2"/>
                <w:sz w:val="24"/>
                <w:szCs w:val="24"/>
                <w:lang w:val="en-US" w:eastAsia="zh-CN" w:bidi="ar-SA"/>
              </w:rPr>
              <w:t>t/a</w:t>
            </w:r>
            <w:r>
              <w:rPr>
                <w:rFonts w:hint="eastAsia" w:cs="Times New Roman"/>
                <w:color w:val="auto"/>
                <w:kern w:val="2"/>
                <w:sz w:val="24"/>
                <w:szCs w:val="24"/>
                <w:lang w:val="en-US" w:eastAsia="zh-CN" w:bidi="ar-SA"/>
              </w:rPr>
              <w:t>。</w:t>
            </w:r>
            <w:r>
              <w:rPr>
                <w:rFonts w:hint="eastAsia"/>
                <w:color w:val="000000"/>
                <w:kern w:val="0"/>
                <w:sz w:val="24"/>
                <w:lang w:val="en-US" w:eastAsia="zh-CN"/>
              </w:rPr>
              <w:t>对照《固体废物分类与代码目录》（2024版）文件，生活垃圾属于SW64其他垃圾—非特定行业—其他生活垃圾，固废代码为900-099-S64。生活垃圾集中到垃圾桶内收集，交由环卫部门处置</w:t>
            </w:r>
            <w:r>
              <w:rPr>
                <w:rFonts w:hint="eastAsia" w:ascii="Times New Roman" w:hAnsi="Times New Roman" w:eastAsia="宋体" w:cs="Times New Roman"/>
                <w:color w:val="auto"/>
                <w:kern w:val="2"/>
                <w:sz w:val="24"/>
                <w:szCs w:val="24"/>
                <w:lang w:val="en-US" w:eastAsia="zh-CN" w:bidi="ar-SA"/>
              </w:rPr>
              <w:t>。</w:t>
            </w:r>
          </w:p>
          <w:p w14:paraId="425D1628">
            <w:pPr>
              <w:autoSpaceDE w:val="0"/>
              <w:autoSpaceDN w:val="0"/>
              <w:adjustRightInd w:val="0"/>
              <w:snapToGrid w:val="0"/>
              <w:spacing w:line="360" w:lineRule="auto"/>
              <w:ind w:firstLine="480" w:firstLineChars="200"/>
              <w:jc w:val="left"/>
              <w:rPr>
                <w:rFonts w:hint="default"/>
                <w:b w:val="0"/>
                <w:bCs w:val="0"/>
                <w:sz w:val="24"/>
                <w:lang w:val="en-US" w:eastAsia="zh-CN"/>
              </w:rPr>
            </w:pPr>
            <w:r>
              <w:rPr>
                <w:rFonts w:hint="eastAsia"/>
                <w:b w:val="0"/>
                <w:bCs w:val="0"/>
                <w:sz w:val="24"/>
                <w:lang w:val="en-US" w:eastAsia="zh-CN"/>
              </w:rPr>
              <w:t>（2）废边角料</w:t>
            </w:r>
          </w:p>
          <w:p w14:paraId="3291FA0B">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项目</w:t>
            </w:r>
            <w:r>
              <w:rPr>
                <w:rFonts w:hint="eastAsia" w:cs="Times New Roman"/>
                <w:color w:val="auto"/>
                <w:kern w:val="2"/>
                <w:sz w:val="24"/>
                <w:szCs w:val="24"/>
                <w:lang w:val="en-US" w:eastAsia="zh-CN" w:bidi="ar-SA"/>
              </w:rPr>
              <w:t>下料</w:t>
            </w:r>
            <w:r>
              <w:rPr>
                <w:rFonts w:ascii="Times New Roman" w:hAnsi="Times New Roman" w:eastAsia="宋体" w:cs="Times New Roman"/>
                <w:color w:val="auto"/>
                <w:kern w:val="2"/>
                <w:sz w:val="24"/>
                <w:szCs w:val="24"/>
                <w:lang w:val="en-US" w:eastAsia="zh-CN" w:bidi="ar-SA"/>
              </w:rPr>
              <w:t>工序会产生废边角料，</w:t>
            </w:r>
            <w:r>
              <w:rPr>
                <w:rFonts w:hint="eastAsia"/>
                <w:color w:val="000000"/>
                <w:kern w:val="0"/>
                <w:sz w:val="24"/>
                <w:lang w:val="en-US" w:eastAsia="zh-CN"/>
              </w:rPr>
              <w:t>产生量约为原料的10%</w:t>
            </w:r>
            <w:r>
              <w:rPr>
                <w:rFonts w:hint="eastAsia" w:cs="Times New Roman"/>
                <w:color w:val="auto"/>
                <w:kern w:val="2"/>
                <w:sz w:val="24"/>
                <w:szCs w:val="24"/>
                <w:lang w:val="en-US" w:eastAsia="zh-CN" w:bidi="ar-SA"/>
              </w:rPr>
              <w:t>，本项目原料使用量为500</w:t>
            </w:r>
            <w:r>
              <w:rPr>
                <w:rFonts w:ascii="Times New Roman" w:hAnsi="Times New Roman" w:eastAsia="宋体" w:cs="Times New Roman"/>
                <w:color w:val="auto"/>
                <w:kern w:val="2"/>
                <w:sz w:val="24"/>
                <w:szCs w:val="24"/>
                <w:lang w:val="en-US" w:eastAsia="zh-CN" w:bidi="ar-SA"/>
              </w:rPr>
              <w:t>t/a，</w:t>
            </w:r>
            <w:r>
              <w:rPr>
                <w:rFonts w:hint="eastAsia" w:cs="Times New Roman"/>
                <w:color w:val="auto"/>
                <w:kern w:val="2"/>
                <w:sz w:val="24"/>
                <w:szCs w:val="24"/>
                <w:lang w:val="en-US" w:eastAsia="zh-CN" w:bidi="ar-SA"/>
              </w:rPr>
              <w:t>则</w:t>
            </w:r>
            <w:r>
              <w:rPr>
                <w:rFonts w:ascii="Times New Roman" w:hAnsi="Times New Roman" w:eastAsia="宋体" w:cs="Times New Roman"/>
                <w:color w:val="auto"/>
                <w:kern w:val="2"/>
                <w:sz w:val="24"/>
                <w:szCs w:val="24"/>
                <w:lang w:val="en-US" w:eastAsia="zh-CN" w:bidi="ar-SA"/>
              </w:rPr>
              <w:t>废边角料产生量</w:t>
            </w:r>
            <w:r>
              <w:rPr>
                <w:rFonts w:hint="eastAsia" w:ascii="Times New Roman" w:hAnsi="Times New Roman" w:eastAsia="宋体" w:cs="Times New Roman"/>
                <w:color w:val="auto"/>
                <w:kern w:val="2"/>
                <w:sz w:val="24"/>
                <w:szCs w:val="24"/>
                <w:lang w:val="en-US" w:eastAsia="zh-CN" w:bidi="ar-SA"/>
              </w:rPr>
              <w:t>约</w:t>
            </w:r>
            <w:r>
              <w:rPr>
                <w:rFonts w:ascii="Times New Roman" w:hAnsi="Times New Roman" w:eastAsia="宋体" w:cs="Times New Roman"/>
                <w:color w:val="auto"/>
                <w:kern w:val="2"/>
                <w:sz w:val="24"/>
                <w:szCs w:val="24"/>
                <w:lang w:val="en-US" w:eastAsia="zh-CN" w:bidi="ar-SA"/>
              </w:rPr>
              <w:t>为</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0</w:t>
            </w:r>
            <w:r>
              <w:rPr>
                <w:rFonts w:ascii="Times New Roman" w:hAnsi="Times New Roman" w:eastAsia="宋体" w:cs="Times New Roman"/>
                <w:color w:val="auto"/>
                <w:kern w:val="2"/>
                <w:sz w:val="24"/>
                <w:szCs w:val="24"/>
                <w:lang w:val="en-US" w:eastAsia="zh-CN" w:bidi="ar-SA"/>
              </w:rPr>
              <w:t>t/a</w:t>
            </w:r>
            <w:r>
              <w:rPr>
                <w:rFonts w:hint="eastAsia" w:cs="Times New Roman"/>
                <w:color w:val="auto"/>
                <w:kern w:val="2"/>
                <w:sz w:val="24"/>
                <w:szCs w:val="24"/>
                <w:lang w:val="en-US" w:eastAsia="zh-CN" w:bidi="ar-SA"/>
              </w:rPr>
              <w:t>。</w:t>
            </w:r>
            <w:r>
              <w:rPr>
                <w:rFonts w:ascii="Times New Roman" w:hAnsi="Times New Roman" w:eastAsia="宋体"/>
                <w:color w:val="auto"/>
              </w:rPr>
              <w:t>根据</w:t>
            </w:r>
            <w:r>
              <w:rPr>
                <w:rFonts w:hint="eastAsia" w:ascii="Times New Roman" w:hAnsi="Times New Roman" w:eastAsia="宋体" w:cs="Times New Roman"/>
                <w:color w:val="auto"/>
                <w:kern w:val="2"/>
                <w:sz w:val="24"/>
                <w:szCs w:val="24"/>
                <w:lang w:val="en-US" w:eastAsia="zh-CN" w:bidi="ar-SA"/>
              </w:rPr>
              <w:t>《固体废物分类与代码目录》（2024年1月22日实施）</w:t>
            </w:r>
            <w:r>
              <w:rPr>
                <w:rFonts w:ascii="Times New Roman" w:hAnsi="Times New Roman" w:eastAsia="宋体"/>
                <w:color w:val="auto"/>
              </w:rPr>
              <w:t>，</w:t>
            </w:r>
            <w:r>
              <w:rPr>
                <w:rFonts w:hint="eastAsia" w:ascii="Times New Roman" w:hAnsi="Times New Roman" w:eastAsia="宋体"/>
                <w:color w:val="auto"/>
              </w:rPr>
              <w:t>废物种类为SW17可再生类废物，废物代码为900-001-S17</w:t>
            </w:r>
            <w:r>
              <w:rPr>
                <w:rFonts w:ascii="Times New Roman" w:hAnsi="Times New Roman" w:eastAsia="宋体"/>
                <w:color w:val="auto"/>
              </w:rPr>
              <w:t>。</w:t>
            </w:r>
            <w:r>
              <w:rPr>
                <w:rFonts w:hint="eastAsia" w:ascii="Times New Roman" w:hAnsi="Times New Roman" w:eastAsia="宋体" w:cs="Times New Roman"/>
                <w:color w:val="auto"/>
                <w:kern w:val="2"/>
                <w:sz w:val="24"/>
                <w:szCs w:val="24"/>
                <w:lang w:val="en-US" w:eastAsia="zh-CN" w:bidi="ar-SA"/>
              </w:rPr>
              <w:t>收集后暂存于一般固废暂存间，</w:t>
            </w:r>
            <w:r>
              <w:rPr>
                <w:rFonts w:hint="eastAsia" w:cs="Times New Roman"/>
                <w:color w:val="auto"/>
                <w:kern w:val="2"/>
                <w:sz w:val="24"/>
                <w:szCs w:val="24"/>
                <w:lang w:val="en-US" w:eastAsia="zh-CN" w:bidi="ar-SA"/>
              </w:rPr>
              <w:t>定期</w:t>
            </w:r>
            <w:r>
              <w:rPr>
                <w:rFonts w:hint="eastAsia" w:ascii="Times New Roman" w:hAnsi="Times New Roman" w:eastAsia="宋体" w:cs="Times New Roman"/>
                <w:color w:val="auto"/>
                <w:kern w:val="2"/>
                <w:sz w:val="24"/>
                <w:szCs w:val="24"/>
                <w:lang w:val="en-US" w:eastAsia="zh-CN" w:bidi="ar-SA"/>
              </w:rPr>
              <w:t>外售给物资回收部门。</w:t>
            </w:r>
          </w:p>
          <w:p w14:paraId="054D79E8">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收集尘</w:t>
            </w:r>
          </w:p>
          <w:p w14:paraId="3A00F41C">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根据前文计算，布袋除尘器收集的粉尘以及降尘的产生量为</w:t>
            </w:r>
            <w:r>
              <w:rPr>
                <w:rFonts w:hint="eastAsia" w:cs="Times New Roman"/>
                <w:color w:val="auto"/>
                <w:kern w:val="2"/>
                <w:sz w:val="24"/>
                <w:szCs w:val="24"/>
                <w:highlight w:val="none"/>
                <w:lang w:val="en-US" w:eastAsia="zh-CN" w:bidi="ar-SA"/>
              </w:rPr>
              <w:t>1.0507</w:t>
            </w:r>
            <w:r>
              <w:rPr>
                <w:rFonts w:hint="eastAsia" w:ascii="Times New Roman" w:hAnsi="Times New Roman" w:eastAsia="宋体" w:cs="Times New Roman"/>
                <w:color w:val="auto"/>
                <w:kern w:val="2"/>
                <w:sz w:val="24"/>
                <w:szCs w:val="24"/>
                <w:highlight w:val="none"/>
                <w:lang w:val="en-US" w:eastAsia="zh-CN" w:bidi="ar-SA"/>
              </w:rPr>
              <w:t>t/a，属于一般工业固废。</w:t>
            </w:r>
            <w:r>
              <w:rPr>
                <w:rFonts w:ascii="Times New Roman" w:hAnsi="Times New Roman" w:eastAsia="宋体" w:cs="Times New Roman"/>
                <w:color w:val="auto"/>
                <w:kern w:val="2"/>
                <w:sz w:val="24"/>
                <w:szCs w:val="24"/>
                <w:highlight w:val="none"/>
                <w:lang w:val="en-US" w:eastAsia="zh-CN" w:bidi="ar-SA"/>
              </w:rPr>
              <w:t>根据</w:t>
            </w:r>
            <w:r>
              <w:rPr>
                <w:rFonts w:hint="eastAsia"/>
                <w:color w:val="000000"/>
                <w:kern w:val="0"/>
                <w:sz w:val="24"/>
                <w:lang w:val="en-US" w:eastAsia="zh-CN"/>
              </w:rPr>
              <w:t>《固体废物分类与代码目录》（2024版）文件，布袋除尘器收集的粉尘属于SW59其他工业固体废物—非特定行业—其他工业生产过程中产生的固体废物，固废代码为900-099-S59</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收集后暂存于一般固废暂存间，外售给物资回收部门。</w:t>
            </w:r>
          </w:p>
          <w:p w14:paraId="1A91516B">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（4）废布袋</w:t>
            </w:r>
          </w:p>
          <w:p w14:paraId="14AC1681">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使用布袋除尘器处理粉尘，布袋经过一段时间的使用除尘效率降低，因此定期更换布袋产生废布袋，产生量约为0.1t/a，属于一般工业固废。根据《固体废物分类与代码目录》（2024年1月22日实施），废物种类为SW59其他工业固体废物，废物代码为900-009-S59。收集后暂存于一般固废暂存间，外售给物资回收部门。</w:t>
            </w:r>
          </w:p>
          <w:p w14:paraId="39AF2F73">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粉末涂料包装袋</w:t>
            </w:r>
          </w:p>
          <w:p w14:paraId="029BC5AC">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本项目粉末涂料年用量为1t，规格为10kg/袋，袋子重量约为0.05kg，粉末涂料包装袋的产生量为0.005t。</w:t>
            </w:r>
            <w:r>
              <w:rPr>
                <w:rFonts w:hint="eastAsia" w:ascii="Times New Roman" w:hAnsi="Times New Roman" w:eastAsia="宋体" w:cs="Times New Roman"/>
                <w:color w:val="auto"/>
                <w:kern w:val="2"/>
                <w:sz w:val="24"/>
                <w:szCs w:val="24"/>
                <w:lang w:val="en-US" w:eastAsia="zh-CN" w:bidi="ar-SA"/>
              </w:rPr>
              <w:t>根据《固体废物分类与代码目录》（2024年1月22日实施），废物种类为SW</w:t>
            </w:r>
            <w:r>
              <w:rPr>
                <w:rFonts w:hint="eastAsia" w:cs="Times New Roman"/>
                <w:color w:val="auto"/>
                <w:kern w:val="2"/>
                <w:sz w:val="24"/>
                <w:szCs w:val="24"/>
                <w:lang w:val="en-US" w:eastAsia="zh-CN" w:bidi="ar-SA"/>
              </w:rPr>
              <w:t>17</w:t>
            </w:r>
            <w:r>
              <w:rPr>
                <w:rFonts w:hint="eastAsia" w:ascii="Times New Roman" w:hAnsi="Times New Roman" w:eastAsia="宋体" w:cs="Times New Roman"/>
                <w:color w:val="auto"/>
                <w:kern w:val="2"/>
                <w:sz w:val="24"/>
                <w:szCs w:val="24"/>
                <w:lang w:val="en-US" w:eastAsia="zh-CN" w:bidi="ar-SA"/>
              </w:rPr>
              <w:t>其他工业固体废物，废物代码为900-00</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17</w:t>
            </w:r>
            <w:r>
              <w:rPr>
                <w:rFonts w:hint="eastAsia" w:ascii="Times New Roman" w:hAnsi="Times New Roman" w:eastAsia="宋体" w:cs="Times New Roman"/>
                <w:color w:val="auto"/>
                <w:kern w:val="2"/>
                <w:sz w:val="24"/>
                <w:szCs w:val="24"/>
                <w:lang w:val="en-US" w:eastAsia="zh-CN" w:bidi="ar-SA"/>
              </w:rPr>
              <w:t>。收集后暂存于一般固废暂存间，外售给物资回收部门</w:t>
            </w:r>
          </w:p>
          <w:p w14:paraId="216EC034">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6</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废液压油</w:t>
            </w:r>
          </w:p>
          <w:p w14:paraId="37448EAD">
            <w:pPr>
              <w:autoSpaceDE w:val="0"/>
              <w:autoSpaceDN w:val="0"/>
              <w:adjustRightInd w:val="0"/>
              <w:snapToGrid w:val="0"/>
              <w:spacing w:line="360" w:lineRule="auto"/>
              <w:ind w:firstLine="480" w:firstLineChars="200"/>
              <w:jc w:val="left"/>
              <w:rPr>
                <w:rFonts w:hint="default" w:ascii="Times New Roman" w:hAnsi="Times New Roman" w:cs="Times New Roman"/>
                <w:sz w:val="24"/>
                <w:shd w:val="clear" w:color="auto" w:fill="FFFFFF"/>
              </w:rPr>
            </w:pPr>
            <w:r>
              <w:rPr>
                <w:rFonts w:hint="eastAsia"/>
                <w:color w:val="000000"/>
                <w:kern w:val="0"/>
                <w:sz w:val="24"/>
                <w:lang w:val="en-US" w:eastAsia="zh-CN"/>
              </w:rPr>
              <w:t>本项目用到液压油，根据企业提供资料，液压油定期更换，其废液压油产生量约为2t/a。废液压油属于《国家危险废物名录》（2025年版）中HW08废矿物油与含矿物油废物，危废代码为900-249-08。机器内液压油定期更换，废液压油暂存于厂区内危险废物暂存库，定期交由有资质单位处理</w:t>
            </w:r>
            <w:r>
              <w:rPr>
                <w:rFonts w:hint="eastAsia" w:ascii="Times New Roman" w:hAnsi="Times New Roman" w:eastAsia="宋体" w:cs="Times New Roman"/>
                <w:color w:val="auto"/>
                <w:kern w:val="2"/>
                <w:sz w:val="24"/>
                <w:szCs w:val="24"/>
                <w:lang w:val="en-US" w:eastAsia="zh-CN" w:bidi="ar-SA"/>
              </w:rPr>
              <w:t>。</w:t>
            </w:r>
          </w:p>
          <w:p w14:paraId="2D873BE3">
            <w:pPr>
              <w:adjustRightInd w:val="0"/>
              <w:snapToGrid w:val="0"/>
              <w:spacing w:line="360" w:lineRule="auto"/>
              <w:ind w:firstLine="480" w:firstLineChars="200"/>
              <w:rPr>
                <w:rFonts w:hint="default" w:ascii="Times New Roman" w:hAnsi="Times New Roman" w:cs="Times New Roman"/>
                <w:sz w:val="24"/>
                <w:shd w:val="clear" w:color="auto" w:fill="FFFFFF"/>
              </w:rPr>
            </w:pPr>
            <w:r>
              <w:rPr>
                <w:rFonts w:hint="default" w:ascii="Times New Roman" w:hAnsi="Times New Roman" w:cs="Times New Roman"/>
                <w:sz w:val="24"/>
                <w:shd w:val="clear" w:color="auto" w:fill="FFFFFF"/>
              </w:rPr>
              <w:t>（</w:t>
            </w:r>
            <w:r>
              <w:rPr>
                <w:rFonts w:hint="eastAsia" w:cs="Times New Roman"/>
                <w:sz w:val="24"/>
                <w:shd w:val="clear" w:color="auto" w:fill="FFFFFF"/>
                <w:lang w:val="en-US" w:eastAsia="zh-CN"/>
              </w:rPr>
              <w:t>7</w:t>
            </w:r>
            <w:r>
              <w:rPr>
                <w:rFonts w:hint="default" w:ascii="Times New Roman" w:hAnsi="Times New Roman" w:cs="Times New Roman"/>
                <w:sz w:val="24"/>
                <w:shd w:val="clear" w:color="auto" w:fill="FFFFFF"/>
              </w:rPr>
              <w:t>）废漆桶</w:t>
            </w:r>
          </w:p>
          <w:p w14:paraId="5266C4D3">
            <w:pPr>
              <w:adjustRightInd w:val="0"/>
              <w:snapToGrid w:val="0"/>
              <w:spacing w:line="360" w:lineRule="auto"/>
              <w:ind w:firstLine="480" w:firstLineChars="200"/>
              <w:rPr>
                <w:rFonts w:hint="default" w:ascii="Times New Roman" w:hAnsi="Times New Roman" w:cs="Times New Roman"/>
                <w:sz w:val="24"/>
                <w:shd w:val="clear" w:color="auto" w:fill="FFFFFF"/>
              </w:rPr>
            </w:pPr>
            <w:r>
              <w:rPr>
                <w:rFonts w:hint="default" w:ascii="Times New Roman" w:hAnsi="Times New Roman" w:cs="Times New Roman"/>
                <w:sz w:val="24"/>
                <w:shd w:val="clear" w:color="auto" w:fill="FFFFFF"/>
              </w:rPr>
              <w:t>项目</w:t>
            </w:r>
            <w:r>
              <w:rPr>
                <w:rFonts w:hint="eastAsia" w:cs="Times New Roman"/>
                <w:sz w:val="24"/>
                <w:shd w:val="clear" w:color="auto" w:fill="FFFFFF"/>
                <w:lang w:val="en-US" w:eastAsia="zh-CN"/>
              </w:rPr>
              <w:t>油漆</w:t>
            </w:r>
            <w:r>
              <w:rPr>
                <w:rFonts w:hint="default" w:ascii="Times New Roman" w:hAnsi="Times New Roman" w:cs="Times New Roman"/>
                <w:sz w:val="24"/>
                <w:shd w:val="clear" w:color="auto" w:fill="FFFFFF"/>
              </w:rPr>
              <w:t>桶容量为20kg，</w:t>
            </w:r>
            <w:r>
              <w:rPr>
                <w:rFonts w:hint="eastAsia" w:cs="Times New Roman"/>
                <w:sz w:val="24"/>
                <w:shd w:val="clear" w:color="auto" w:fill="FFFFFF"/>
                <w:lang w:val="en-US" w:eastAsia="zh-CN"/>
              </w:rPr>
              <w:t>单</w:t>
            </w:r>
            <w:r>
              <w:rPr>
                <w:rFonts w:hint="default" w:ascii="Times New Roman" w:hAnsi="Times New Roman" w:cs="Times New Roman"/>
                <w:sz w:val="24"/>
                <w:shd w:val="clear" w:color="auto" w:fill="FFFFFF"/>
              </w:rPr>
              <w:t>个漆桶重</w:t>
            </w:r>
            <w:r>
              <w:rPr>
                <w:rFonts w:hint="eastAsia" w:cs="Times New Roman"/>
                <w:sz w:val="24"/>
                <w:shd w:val="clear" w:color="auto" w:fill="FFFFFF"/>
                <w:lang w:val="en-US" w:eastAsia="zh-CN"/>
              </w:rPr>
              <w:t>约</w:t>
            </w:r>
            <w:r>
              <w:rPr>
                <w:rFonts w:hint="default" w:ascii="Times New Roman" w:hAnsi="Times New Roman" w:cs="Times New Roman"/>
                <w:sz w:val="24"/>
                <w:shd w:val="clear" w:color="auto" w:fill="FFFFFF"/>
              </w:rPr>
              <w:t>0.5kg。漆年用</w:t>
            </w:r>
            <w:r>
              <w:rPr>
                <w:rFonts w:hint="eastAsia" w:cs="Times New Roman"/>
                <w:sz w:val="24"/>
                <w:shd w:val="clear" w:color="auto" w:fill="FFFFFF"/>
                <w:lang w:val="en-US" w:eastAsia="zh-CN"/>
              </w:rPr>
              <w:t>总</w:t>
            </w:r>
            <w:r>
              <w:rPr>
                <w:rFonts w:hint="default" w:ascii="Times New Roman" w:hAnsi="Times New Roman" w:cs="Times New Roman"/>
                <w:sz w:val="24"/>
                <w:shd w:val="clear" w:color="auto" w:fill="FFFFFF"/>
              </w:rPr>
              <w:t>量</w:t>
            </w:r>
            <w:r>
              <w:rPr>
                <w:rFonts w:hint="eastAsia" w:cs="Times New Roman"/>
                <w:sz w:val="24"/>
                <w:shd w:val="clear" w:color="auto" w:fill="FFFFFF"/>
                <w:lang w:val="en-US" w:eastAsia="zh-CN"/>
              </w:rPr>
              <w:t>为5.01</w:t>
            </w:r>
            <w:r>
              <w:rPr>
                <w:rFonts w:hint="default" w:ascii="Times New Roman" w:hAnsi="Times New Roman" w:cs="Times New Roman"/>
                <w:sz w:val="24"/>
                <w:shd w:val="clear" w:color="auto" w:fill="FFFFFF"/>
              </w:rPr>
              <w:t>t，则废漆桶产生量为</w:t>
            </w:r>
            <w:bookmarkStart w:id="2" w:name="OLE_LINK34"/>
            <w:r>
              <w:rPr>
                <w:rFonts w:hint="default" w:ascii="Times New Roman" w:hAnsi="Times New Roman" w:cs="Times New Roman"/>
                <w:sz w:val="24"/>
                <w:shd w:val="clear" w:color="auto" w:fill="FFFFFF"/>
              </w:rPr>
              <w:t>0.</w:t>
            </w:r>
            <w:r>
              <w:rPr>
                <w:rFonts w:hint="eastAsia" w:cs="Times New Roman"/>
                <w:sz w:val="24"/>
                <w:shd w:val="clear" w:color="auto" w:fill="FFFFFF"/>
                <w:lang w:val="en-US" w:eastAsia="zh-CN"/>
              </w:rPr>
              <w:t>125</w:t>
            </w:r>
            <w:r>
              <w:rPr>
                <w:rFonts w:hint="default" w:ascii="Times New Roman" w:hAnsi="Times New Roman" w:cs="Times New Roman"/>
                <w:sz w:val="24"/>
                <w:shd w:val="clear" w:color="auto" w:fill="FFFFFF"/>
              </w:rPr>
              <w:t>t/a</w:t>
            </w:r>
            <w:bookmarkEnd w:id="2"/>
            <w:r>
              <w:rPr>
                <w:rFonts w:hint="default" w:ascii="Times New Roman" w:hAnsi="Times New Roman" w:cs="Times New Roman"/>
                <w:sz w:val="24"/>
                <w:shd w:val="clear" w:color="auto" w:fill="FFFFFF"/>
              </w:rPr>
              <w:t>，对照《国家危险废物名录》（2025年版），属于危险废物，</w:t>
            </w:r>
            <w:bookmarkStart w:id="3" w:name="OLE_LINK26"/>
            <w:r>
              <w:rPr>
                <w:rFonts w:hint="default" w:ascii="Times New Roman" w:hAnsi="Times New Roman" w:cs="Times New Roman"/>
                <w:sz w:val="24"/>
                <w:shd w:val="clear" w:color="auto" w:fill="FFFFFF"/>
              </w:rPr>
              <w:t>废物类别为HW49，危废代码900-041-49</w:t>
            </w:r>
            <w:bookmarkEnd w:id="3"/>
            <w:r>
              <w:rPr>
                <w:rFonts w:hint="default" w:ascii="Times New Roman" w:hAnsi="Times New Roman" w:cs="Times New Roman"/>
                <w:sz w:val="24"/>
                <w:shd w:val="clear" w:color="auto" w:fill="FFFFFF"/>
              </w:rPr>
              <w:t>，按照危险废物管理要求进行贮存、转移，</w:t>
            </w:r>
            <w:r>
              <w:rPr>
                <w:rFonts w:hint="default" w:ascii="Times New Roman" w:hAnsi="Times New Roman" w:eastAsia="宋体" w:cs="Times New Roman"/>
                <w:color w:val="auto"/>
                <w:kern w:val="2"/>
                <w:sz w:val="24"/>
                <w:szCs w:val="24"/>
                <w:lang w:val="en-US" w:eastAsia="zh-CN" w:bidi="ar-SA"/>
              </w:rPr>
              <w:t>收集后</w:t>
            </w:r>
            <w:r>
              <w:rPr>
                <w:rFonts w:hint="eastAsia" w:cs="Times New Roman"/>
                <w:color w:val="auto"/>
                <w:kern w:val="2"/>
                <w:sz w:val="24"/>
                <w:szCs w:val="24"/>
                <w:lang w:val="en-US" w:eastAsia="zh-CN" w:bidi="ar-SA"/>
              </w:rPr>
              <w:t>暂存于危废暂存间，</w:t>
            </w:r>
            <w:r>
              <w:rPr>
                <w:rFonts w:hint="default" w:ascii="Times New Roman" w:hAnsi="Times New Roman" w:eastAsia="宋体" w:cs="Times New Roman"/>
                <w:color w:val="auto"/>
                <w:kern w:val="2"/>
                <w:sz w:val="24"/>
                <w:szCs w:val="24"/>
                <w:lang w:val="en-US" w:eastAsia="zh-CN" w:bidi="ar-SA"/>
              </w:rPr>
              <w:t>交由有资质单位</w:t>
            </w:r>
            <w:r>
              <w:rPr>
                <w:rFonts w:hint="eastAsia" w:cs="Times New Roman"/>
                <w:color w:val="auto"/>
                <w:kern w:val="2"/>
                <w:sz w:val="24"/>
                <w:szCs w:val="24"/>
                <w:lang w:val="en-US" w:eastAsia="zh-CN" w:bidi="ar-SA"/>
              </w:rPr>
              <w:t>处置</w:t>
            </w:r>
            <w:r>
              <w:rPr>
                <w:rFonts w:hint="default" w:ascii="Times New Roman" w:hAnsi="Times New Roman" w:cs="Times New Roman"/>
                <w:sz w:val="24"/>
                <w:shd w:val="clear" w:color="auto" w:fill="FFFFFF"/>
              </w:rPr>
              <w:t>。</w:t>
            </w:r>
          </w:p>
          <w:p w14:paraId="6D7408BD">
            <w:pPr>
              <w:numPr>
                <w:ilvl w:val="0"/>
                <w:numId w:val="0"/>
              </w:numPr>
              <w:adjustRightInd w:val="0"/>
              <w:snapToGrid w:val="0"/>
              <w:spacing w:line="360" w:lineRule="auto"/>
              <w:ind w:firstLine="480" w:firstLineChars="200"/>
              <w:rPr>
                <w:rFonts w:hint="eastAsia" w:cs="Times New Roman"/>
                <w:sz w:val="24"/>
                <w:shd w:val="clear" w:color="auto" w:fill="FFFFFF"/>
                <w:lang w:val="en-US" w:eastAsia="zh-CN"/>
              </w:rPr>
            </w:pPr>
            <w:r>
              <w:rPr>
                <w:rFonts w:hint="eastAsia" w:ascii="Times New Roman" w:hAnsi="Times New Roman" w:eastAsia="宋体" w:cs="Times New Roman"/>
                <w:kern w:val="2"/>
                <w:sz w:val="24"/>
                <w:szCs w:val="24"/>
                <w:shd w:val="clear" w:fill="FFFFFF"/>
                <w:lang w:val="en-US" w:eastAsia="zh-CN" w:bidi="ar-SA"/>
              </w:rPr>
              <w:t>（</w:t>
            </w:r>
            <w:r>
              <w:rPr>
                <w:rFonts w:hint="eastAsia" w:cs="Times New Roman"/>
                <w:kern w:val="2"/>
                <w:sz w:val="24"/>
                <w:szCs w:val="24"/>
                <w:shd w:val="clear" w:fill="FFFFFF"/>
                <w:lang w:val="en-US" w:eastAsia="zh-CN" w:bidi="ar-SA"/>
              </w:rPr>
              <w:t>8</w:t>
            </w:r>
            <w:r>
              <w:rPr>
                <w:rFonts w:hint="eastAsia" w:ascii="Times New Roman" w:hAnsi="Times New Roman" w:eastAsia="宋体" w:cs="Times New Roman"/>
                <w:kern w:val="2"/>
                <w:sz w:val="24"/>
                <w:szCs w:val="24"/>
                <w:shd w:val="clear" w:fill="FFFFFF"/>
                <w:lang w:val="en-US" w:eastAsia="zh-CN" w:bidi="ar-SA"/>
              </w:rPr>
              <w:t>）</w:t>
            </w:r>
            <w:r>
              <w:rPr>
                <w:rFonts w:hint="eastAsia" w:cs="Times New Roman"/>
                <w:sz w:val="24"/>
                <w:shd w:val="clear" w:color="auto" w:fill="FFFFFF"/>
                <w:lang w:val="en-US" w:eastAsia="zh-CN"/>
              </w:rPr>
              <w:t>废过滤棉</w:t>
            </w:r>
          </w:p>
          <w:p w14:paraId="213D0AB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sz w:val="24"/>
                <w:shd w:val="clear" w:color="auto" w:fill="FFFFFF"/>
                <w:lang w:val="en-US" w:eastAsia="zh-CN"/>
              </w:rPr>
            </w:pPr>
            <w:r>
              <w:rPr>
                <w:rFonts w:hint="eastAsia" w:cs="Times New Roman"/>
                <w:sz w:val="24"/>
                <w:shd w:val="clear" w:color="auto" w:fill="FFFFFF"/>
                <w:lang w:val="en-US" w:eastAsia="zh-CN"/>
              </w:rPr>
              <w:t>根据前文漆料平衡图中的计算，本项目约有0.907t漆雾颗粒被过滤棉吸附。</w:t>
            </w:r>
            <w:r>
              <w:rPr>
                <w:rFonts w:hint="default" w:ascii="Times New Roman" w:hAnsi="Times New Roman" w:cs="Times New Roman"/>
                <w:sz w:val="24"/>
              </w:rPr>
              <w:t>根据同类企业生产经验</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1t</w:t>
            </w:r>
            <w:r>
              <w:rPr>
                <w:rFonts w:hint="eastAsia" w:cs="Times New Roman"/>
                <w:sz w:val="24"/>
                <w:shd w:val="clear" w:color="auto" w:fill="FFFFFF"/>
                <w:lang w:val="en-US" w:eastAsia="zh-CN"/>
              </w:rPr>
              <w:t>漆雾颗粒约需要0.6吨过滤棉吸附，则本项目废过滤棉产生量约为1.4512t（含0.907t漆雾颗粒）。</w:t>
            </w:r>
            <w:r>
              <w:rPr>
                <w:rFonts w:hint="default" w:ascii="Times New Roman" w:hAnsi="Times New Roman" w:cs="Times New Roman"/>
                <w:sz w:val="24"/>
              </w:rPr>
              <w:t>对照《国家危险废物名录》（2025年版），属于危险废物，废物类别为</w:t>
            </w:r>
            <w:bookmarkStart w:id="4" w:name="OLE_LINK91"/>
            <w:r>
              <w:rPr>
                <w:rFonts w:hint="default" w:ascii="Times New Roman" w:hAnsi="Times New Roman" w:cs="Times New Roman"/>
                <w:sz w:val="24"/>
              </w:rPr>
              <w:t>HW49</w:t>
            </w:r>
            <w:bookmarkEnd w:id="4"/>
            <w:r>
              <w:rPr>
                <w:rFonts w:hint="default" w:ascii="Times New Roman" w:hAnsi="Times New Roman" w:cs="Times New Roman"/>
                <w:sz w:val="24"/>
              </w:rPr>
              <w:t>，危废代码</w:t>
            </w:r>
            <w:bookmarkStart w:id="5" w:name="OLE_LINK92"/>
            <w:r>
              <w:rPr>
                <w:rFonts w:hint="default" w:ascii="Times New Roman" w:hAnsi="Times New Roman" w:cs="Times New Roman"/>
                <w:sz w:val="24"/>
              </w:rPr>
              <w:t>900-041-49</w:t>
            </w:r>
            <w:bookmarkEnd w:id="5"/>
            <w:r>
              <w:rPr>
                <w:rFonts w:hint="default" w:ascii="Times New Roman" w:hAnsi="Times New Roman" w:cs="Times New Roman"/>
                <w:sz w:val="24"/>
              </w:rPr>
              <w:t>，</w:t>
            </w:r>
            <w:r>
              <w:rPr>
                <w:rFonts w:hint="default" w:ascii="Times New Roman" w:hAnsi="Times New Roman" w:eastAsia="宋体" w:cs="Times New Roman"/>
                <w:color w:val="auto"/>
                <w:kern w:val="2"/>
                <w:sz w:val="24"/>
                <w:szCs w:val="24"/>
                <w:lang w:val="en-US" w:eastAsia="zh-CN" w:bidi="ar-SA"/>
              </w:rPr>
              <w:t>收集后</w:t>
            </w:r>
            <w:r>
              <w:rPr>
                <w:rFonts w:hint="eastAsia" w:cs="Times New Roman"/>
                <w:color w:val="auto"/>
                <w:kern w:val="2"/>
                <w:sz w:val="24"/>
                <w:szCs w:val="24"/>
                <w:lang w:val="en-US" w:eastAsia="zh-CN" w:bidi="ar-SA"/>
              </w:rPr>
              <w:t>暂存于危废暂存间，</w:t>
            </w:r>
            <w:r>
              <w:rPr>
                <w:rFonts w:hint="default" w:ascii="Times New Roman" w:hAnsi="Times New Roman" w:eastAsia="宋体" w:cs="Times New Roman"/>
                <w:color w:val="auto"/>
                <w:kern w:val="2"/>
                <w:sz w:val="24"/>
                <w:szCs w:val="24"/>
                <w:lang w:val="en-US" w:eastAsia="zh-CN" w:bidi="ar-SA"/>
              </w:rPr>
              <w:t>交由有资质单位</w:t>
            </w:r>
            <w:r>
              <w:rPr>
                <w:rFonts w:hint="eastAsia" w:cs="Times New Roman"/>
                <w:color w:val="auto"/>
                <w:kern w:val="2"/>
                <w:sz w:val="24"/>
                <w:szCs w:val="24"/>
                <w:lang w:val="en-US" w:eastAsia="zh-CN" w:bidi="ar-SA"/>
              </w:rPr>
              <w:t>处置</w:t>
            </w:r>
            <w:r>
              <w:rPr>
                <w:rFonts w:hint="eastAsia" w:ascii="Times New Roman" w:hAnsi="Times New Roman" w:cs="Times New Roman"/>
                <w:sz w:val="24"/>
                <w:lang w:eastAsia="zh-CN"/>
              </w:rPr>
              <w:t>。</w:t>
            </w:r>
          </w:p>
          <w:p w14:paraId="189A8698">
            <w:pPr>
              <w:numPr>
                <w:ilvl w:val="0"/>
                <w:numId w:val="0"/>
              </w:numPr>
              <w:adjustRightInd w:val="0"/>
              <w:snapToGrid w:val="0"/>
              <w:spacing w:line="360" w:lineRule="auto"/>
              <w:ind w:firstLine="480" w:firstLineChars="200"/>
              <w:rPr>
                <w:rFonts w:hint="default" w:cs="Times New Roman"/>
                <w:sz w:val="24"/>
                <w:shd w:val="clear" w:color="auto" w:fill="FFFFFF"/>
                <w:lang w:val="en-US" w:eastAsia="zh-CN"/>
              </w:rPr>
            </w:pPr>
            <w:r>
              <w:rPr>
                <w:rFonts w:hint="default" w:ascii="Times New Roman" w:hAnsi="Times New Roman" w:eastAsia="宋体" w:cs="Times New Roman"/>
                <w:kern w:val="2"/>
                <w:sz w:val="24"/>
                <w:szCs w:val="24"/>
                <w:shd w:val="clear" w:fill="FFFFFF"/>
                <w:lang w:val="en-US" w:eastAsia="zh-CN" w:bidi="ar-SA"/>
              </w:rPr>
              <w:t>（</w:t>
            </w:r>
            <w:r>
              <w:rPr>
                <w:rFonts w:hint="eastAsia" w:cs="Times New Roman"/>
                <w:kern w:val="2"/>
                <w:sz w:val="24"/>
                <w:szCs w:val="24"/>
                <w:shd w:val="clear" w:fill="FFFFFF"/>
                <w:lang w:val="en-US" w:eastAsia="zh-CN" w:bidi="ar-SA"/>
              </w:rPr>
              <w:t>9</w:t>
            </w:r>
            <w:r>
              <w:rPr>
                <w:rFonts w:hint="default" w:ascii="Times New Roman" w:hAnsi="Times New Roman" w:eastAsia="宋体" w:cs="Times New Roman"/>
                <w:kern w:val="2"/>
                <w:sz w:val="24"/>
                <w:szCs w:val="24"/>
                <w:shd w:val="clear" w:fill="FFFFFF"/>
                <w:lang w:val="en-US" w:eastAsia="zh-CN" w:bidi="ar-SA"/>
              </w:rPr>
              <w:t>）</w:t>
            </w:r>
            <w:r>
              <w:rPr>
                <w:rFonts w:hint="eastAsia" w:cs="Times New Roman"/>
                <w:sz w:val="24"/>
                <w:shd w:val="clear" w:color="auto" w:fill="FFFFFF"/>
                <w:lang w:val="en-US" w:eastAsia="zh-CN"/>
              </w:rPr>
              <w:t>漆渣</w:t>
            </w:r>
          </w:p>
          <w:p w14:paraId="3C37B8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kern w:val="2"/>
                <w:sz w:val="24"/>
                <w:szCs w:val="24"/>
                <w:lang w:val="en-US" w:eastAsia="zh-CN" w:bidi="ar-SA"/>
              </w:rPr>
            </w:pPr>
            <w:r>
              <w:rPr>
                <w:sz w:val="24"/>
              </w:rPr>
              <w:t>根据</w:t>
            </w:r>
            <w:r>
              <w:rPr>
                <w:rFonts w:hint="eastAsia"/>
                <w:sz w:val="24"/>
                <w:lang w:val="en-US" w:eastAsia="zh-CN"/>
              </w:rPr>
              <w:t>前文计算</w:t>
            </w:r>
            <w:r>
              <w:rPr>
                <w:sz w:val="24"/>
              </w:rPr>
              <w:t>，</w:t>
            </w:r>
            <w:r>
              <w:rPr>
                <w:rFonts w:hint="eastAsia" w:ascii="宋体" w:hAnsi="宋体" w:cs="宋体"/>
                <w:sz w:val="24"/>
                <w:lang w:eastAsia="zh-CN"/>
              </w:rPr>
              <w:t>漆渣</w:t>
            </w:r>
            <w:r>
              <w:rPr>
                <w:rFonts w:hint="eastAsia" w:ascii="宋体" w:hAnsi="宋体" w:cs="宋体"/>
                <w:sz w:val="24"/>
              </w:rPr>
              <w:t>产生量为</w:t>
            </w:r>
            <w:r>
              <w:rPr>
                <w:rFonts w:hint="eastAsia"/>
                <w:sz w:val="24"/>
                <w:lang w:val="en-US" w:eastAsia="zh-CN"/>
              </w:rPr>
              <w:t>0.3628</w:t>
            </w:r>
            <w:r>
              <w:rPr>
                <w:sz w:val="24"/>
              </w:rPr>
              <w:t>t/a</w:t>
            </w:r>
            <w:r>
              <w:rPr>
                <w:rFonts w:hint="eastAsia"/>
                <w:sz w:val="24"/>
                <w:lang w:eastAsia="zh-CN"/>
              </w:rPr>
              <w:t>。</w:t>
            </w:r>
            <w:r>
              <w:rPr>
                <w:sz w:val="24"/>
              </w:rPr>
              <w:t>对照《国家危险废物名录》（202</w:t>
            </w:r>
            <w:r>
              <w:rPr>
                <w:rFonts w:hint="eastAsia"/>
                <w:sz w:val="24"/>
                <w:lang w:val="en-US" w:eastAsia="zh-CN"/>
              </w:rPr>
              <w:t>5</w:t>
            </w:r>
            <w:r>
              <w:rPr>
                <w:sz w:val="24"/>
              </w:rPr>
              <w:t>年版）类别为</w:t>
            </w:r>
            <w:r>
              <w:rPr>
                <w:rFonts w:hint="eastAsia"/>
                <w:sz w:val="24"/>
              </w:rPr>
              <w:t>HW49</w:t>
            </w:r>
            <w:r>
              <w:rPr>
                <w:sz w:val="24"/>
              </w:rPr>
              <w:t>，其编号为</w:t>
            </w:r>
            <w:r>
              <w:rPr>
                <w:rFonts w:hint="eastAsia"/>
                <w:sz w:val="24"/>
              </w:rPr>
              <w:t>900-047-49</w:t>
            </w:r>
            <w:r>
              <w:rPr>
                <w:sz w:val="24"/>
              </w:rPr>
              <w:t>，</w:t>
            </w:r>
            <w:r>
              <w:rPr>
                <w:rFonts w:hint="eastAsia"/>
                <w:sz w:val="24"/>
                <w:lang w:eastAsia="zh-CN"/>
              </w:rPr>
              <w:t>漆渣</w:t>
            </w:r>
            <w:r>
              <w:rPr>
                <w:sz w:val="24"/>
              </w:rPr>
              <w:t>由企业集中</w:t>
            </w:r>
            <w:r>
              <w:rPr>
                <w:rFonts w:hint="default" w:ascii="Times New Roman" w:hAnsi="Times New Roman" w:eastAsia="宋体" w:cs="Times New Roman"/>
                <w:color w:val="auto"/>
                <w:kern w:val="2"/>
                <w:sz w:val="24"/>
                <w:szCs w:val="24"/>
                <w:lang w:val="en-US" w:eastAsia="zh-CN" w:bidi="ar-SA"/>
              </w:rPr>
              <w:t>收集后</w:t>
            </w:r>
            <w:r>
              <w:rPr>
                <w:rFonts w:hint="eastAsia" w:cs="Times New Roman"/>
                <w:color w:val="auto"/>
                <w:kern w:val="2"/>
                <w:sz w:val="24"/>
                <w:szCs w:val="24"/>
                <w:lang w:val="en-US" w:eastAsia="zh-CN" w:bidi="ar-SA"/>
              </w:rPr>
              <w:t>暂存于危废暂存间，</w:t>
            </w:r>
            <w:r>
              <w:rPr>
                <w:rFonts w:hint="default" w:ascii="Times New Roman" w:hAnsi="Times New Roman" w:eastAsia="宋体" w:cs="Times New Roman"/>
                <w:color w:val="auto"/>
                <w:kern w:val="2"/>
                <w:sz w:val="24"/>
                <w:szCs w:val="24"/>
                <w:lang w:val="en-US" w:eastAsia="zh-CN" w:bidi="ar-SA"/>
              </w:rPr>
              <w:t>交由有资质单位</w:t>
            </w:r>
            <w:r>
              <w:rPr>
                <w:rFonts w:hint="eastAsia" w:cs="Times New Roman"/>
                <w:color w:val="auto"/>
                <w:kern w:val="2"/>
                <w:sz w:val="24"/>
                <w:szCs w:val="24"/>
                <w:lang w:val="en-US" w:eastAsia="zh-CN" w:bidi="ar-SA"/>
              </w:rPr>
              <w:t>处置。</w:t>
            </w:r>
          </w:p>
          <w:p w14:paraId="27D838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000000"/>
                <w:kern w:val="0"/>
                <w:sz w:val="24"/>
                <w:lang w:val="en-US" w:eastAsia="zh-CN"/>
              </w:rPr>
            </w:pPr>
            <w:r>
              <w:rPr>
                <w:rFonts w:hint="eastAsia"/>
                <w:color w:val="000000"/>
                <w:kern w:val="0"/>
                <w:sz w:val="24"/>
                <w:lang w:val="en-US" w:eastAsia="zh-CN"/>
              </w:rPr>
              <w:t>（10）废切削液</w:t>
            </w:r>
          </w:p>
          <w:p w14:paraId="54A329D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000000"/>
                <w:kern w:val="0"/>
                <w:sz w:val="24"/>
                <w:lang w:val="en-US" w:eastAsia="zh-CN"/>
              </w:rPr>
            </w:pPr>
            <w:r>
              <w:rPr>
                <w:rFonts w:hint="eastAsia"/>
                <w:color w:val="000000"/>
                <w:kern w:val="0"/>
                <w:sz w:val="24"/>
                <w:lang w:val="en-US" w:eastAsia="zh-CN"/>
              </w:rPr>
              <w:t>本项目用到少量机油和切削液，根据企业提供资料，机油在机器内自然损耗，废切削液产生量约为0.2t/a。废矿物油属于《国家危险废物名录》（2025年版）中HW09，危废代码为900-006-09。废切削液暂存于厂区内危险废物暂存库，定期交由有资质单位处理。</w:t>
            </w:r>
          </w:p>
          <w:p w14:paraId="558FF0A6">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000000"/>
                <w:kern w:val="0"/>
                <w:sz w:val="24"/>
                <w:lang w:val="en-US" w:eastAsia="zh-CN"/>
              </w:rPr>
            </w:pPr>
            <w:r>
              <w:rPr>
                <w:rFonts w:hint="default" w:ascii="Times New Roman" w:hAnsi="Times New Roman" w:eastAsia="宋体" w:cs="宋体"/>
                <w:color w:val="000000"/>
                <w:kern w:val="0"/>
                <w:sz w:val="24"/>
                <w:szCs w:val="20"/>
                <w:lang w:val="en-US" w:eastAsia="zh-CN" w:bidi="ar-SA"/>
              </w:rPr>
              <w:t>（1</w:t>
            </w:r>
            <w:r>
              <w:rPr>
                <w:rFonts w:hint="eastAsia" w:cs="宋体"/>
                <w:color w:val="000000"/>
                <w:kern w:val="0"/>
                <w:sz w:val="24"/>
                <w:szCs w:val="20"/>
                <w:lang w:val="en-US" w:eastAsia="zh-CN" w:bidi="ar-SA"/>
              </w:rPr>
              <w:t>1</w:t>
            </w:r>
            <w:r>
              <w:rPr>
                <w:rFonts w:hint="default" w:ascii="Times New Roman" w:hAnsi="Times New Roman" w:eastAsia="宋体" w:cs="宋体"/>
                <w:color w:val="000000"/>
                <w:kern w:val="0"/>
                <w:sz w:val="24"/>
                <w:szCs w:val="20"/>
                <w:lang w:val="en-US" w:eastAsia="zh-CN" w:bidi="ar-SA"/>
              </w:rPr>
              <w:t>）</w:t>
            </w:r>
            <w:r>
              <w:rPr>
                <w:rFonts w:hint="eastAsia" w:cs="宋体"/>
                <w:color w:val="000000"/>
                <w:kern w:val="0"/>
                <w:sz w:val="24"/>
                <w:szCs w:val="20"/>
                <w:lang w:val="en-US" w:eastAsia="zh-CN" w:bidi="ar-SA"/>
              </w:rPr>
              <w:t>含油抹布及手套</w:t>
            </w:r>
          </w:p>
          <w:p w14:paraId="2666AB18">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2"/>
                <w:sz w:val="24"/>
                <w:szCs w:val="24"/>
                <w:lang w:val="en-US" w:eastAsia="zh-CN" w:bidi="ar-SA"/>
              </w:rPr>
            </w:pPr>
            <w:r>
              <w:rPr>
                <w:rFonts w:hint="eastAsia"/>
                <w:color w:val="000000"/>
                <w:kern w:val="0"/>
                <w:sz w:val="24"/>
                <w:lang w:val="en-US" w:eastAsia="zh-CN"/>
              </w:rPr>
              <w:t>建设单位对厂内设备维修保养过程中会产生含油</w:t>
            </w:r>
            <w:r>
              <w:rPr>
                <w:rFonts w:hint="eastAsia" w:cs="宋体"/>
                <w:color w:val="000000"/>
                <w:kern w:val="0"/>
                <w:sz w:val="24"/>
                <w:szCs w:val="20"/>
                <w:lang w:val="en-US" w:eastAsia="zh-CN" w:bidi="ar-SA"/>
              </w:rPr>
              <w:t>抹布及手套</w:t>
            </w:r>
            <w:r>
              <w:rPr>
                <w:rFonts w:hint="eastAsia"/>
                <w:color w:val="000000"/>
                <w:kern w:val="0"/>
                <w:sz w:val="24"/>
                <w:lang w:val="en-US" w:eastAsia="zh-CN"/>
              </w:rPr>
              <w:t>，根据建设单位提供资料显示年产生量为0.01t。统一收集后暂存于危废暂存间内，委托有资质单位处置</w:t>
            </w:r>
            <w:r>
              <w:rPr>
                <w:rFonts w:hint="eastAsia" w:cs="Times New Roman"/>
                <w:color w:val="auto"/>
                <w:kern w:val="2"/>
                <w:sz w:val="24"/>
                <w:szCs w:val="24"/>
                <w:lang w:val="en-US" w:eastAsia="zh-CN" w:bidi="ar-SA"/>
              </w:rPr>
              <w:t>。</w:t>
            </w:r>
          </w:p>
          <w:p w14:paraId="09FFECC6">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废封装料桶</w:t>
            </w:r>
          </w:p>
          <w:p w14:paraId="110BFE07">
            <w:pPr>
              <w:adjustRightInd w:val="0"/>
              <w:snapToGrid w:val="0"/>
              <w:spacing w:line="360" w:lineRule="auto"/>
              <w:ind w:firstLine="480" w:firstLineChars="200"/>
              <w:rPr>
                <w:rFonts w:hint="default" w:ascii="Times New Roman" w:hAnsi="Times New Roman" w:cs="Times New Roman"/>
                <w:sz w:val="24"/>
                <w:shd w:val="clear" w:color="auto" w:fill="FFFFFF"/>
              </w:rPr>
            </w:pPr>
            <w:r>
              <w:rPr>
                <w:rFonts w:hint="default" w:ascii="Times New Roman" w:hAnsi="Times New Roman" w:cs="Times New Roman"/>
                <w:sz w:val="24"/>
                <w:shd w:val="clear" w:color="auto" w:fill="FFFFFF"/>
              </w:rPr>
              <w:t>项目</w:t>
            </w:r>
            <w:r>
              <w:rPr>
                <w:rFonts w:hint="eastAsia" w:cs="Times New Roman"/>
                <w:sz w:val="24"/>
                <w:shd w:val="clear" w:color="auto" w:fill="FFFFFF"/>
                <w:lang w:val="en-US" w:eastAsia="zh-CN"/>
              </w:rPr>
              <w:t>封装料</w:t>
            </w:r>
            <w:r>
              <w:rPr>
                <w:rFonts w:hint="default" w:ascii="Times New Roman" w:hAnsi="Times New Roman" w:cs="Times New Roman"/>
                <w:sz w:val="24"/>
                <w:shd w:val="clear" w:color="auto" w:fill="FFFFFF"/>
              </w:rPr>
              <w:t>桶容量为20kg，</w:t>
            </w:r>
            <w:r>
              <w:rPr>
                <w:rFonts w:hint="eastAsia" w:cs="Times New Roman"/>
                <w:sz w:val="24"/>
                <w:shd w:val="clear" w:color="auto" w:fill="FFFFFF"/>
                <w:lang w:val="en-US" w:eastAsia="zh-CN"/>
              </w:rPr>
              <w:t>单</w:t>
            </w:r>
            <w:r>
              <w:rPr>
                <w:rFonts w:hint="default" w:ascii="Times New Roman" w:hAnsi="Times New Roman" w:cs="Times New Roman"/>
                <w:sz w:val="24"/>
                <w:shd w:val="clear" w:color="auto" w:fill="FFFFFF"/>
              </w:rPr>
              <w:t>个</w:t>
            </w:r>
            <w:r>
              <w:rPr>
                <w:rFonts w:hint="eastAsia" w:cs="Times New Roman"/>
                <w:sz w:val="24"/>
                <w:shd w:val="clear" w:color="auto" w:fill="FFFFFF"/>
                <w:lang w:val="en-US" w:eastAsia="zh-CN"/>
              </w:rPr>
              <w:t>封装料</w:t>
            </w:r>
            <w:r>
              <w:rPr>
                <w:rFonts w:hint="default" w:ascii="Times New Roman" w:hAnsi="Times New Roman" w:cs="Times New Roman"/>
                <w:sz w:val="24"/>
                <w:shd w:val="clear" w:color="auto" w:fill="FFFFFF"/>
              </w:rPr>
              <w:t>桶重</w:t>
            </w:r>
            <w:r>
              <w:rPr>
                <w:rFonts w:hint="eastAsia" w:cs="Times New Roman"/>
                <w:sz w:val="24"/>
                <w:shd w:val="clear" w:color="auto" w:fill="FFFFFF"/>
                <w:lang w:val="en-US" w:eastAsia="zh-CN"/>
              </w:rPr>
              <w:t>约</w:t>
            </w:r>
            <w:r>
              <w:rPr>
                <w:rFonts w:hint="default" w:ascii="Times New Roman" w:hAnsi="Times New Roman" w:cs="Times New Roman"/>
                <w:sz w:val="24"/>
                <w:shd w:val="clear" w:color="auto" w:fill="FFFFFF"/>
              </w:rPr>
              <w:t>0.5kg</w:t>
            </w:r>
            <w:r>
              <w:rPr>
                <w:rFonts w:hint="eastAsia" w:ascii="Times New Roman" w:hAnsi="Times New Roman" w:cs="Times New Roman"/>
                <w:sz w:val="24"/>
                <w:shd w:val="clear" w:color="auto" w:fill="FFFFFF"/>
                <w:lang w:eastAsia="zh-CN"/>
              </w:rPr>
              <w:t>。</w:t>
            </w:r>
            <w:r>
              <w:rPr>
                <w:rFonts w:hint="eastAsia" w:ascii="Times New Roman" w:hAnsi="Times New Roman" w:cs="Times New Roman"/>
                <w:sz w:val="24"/>
                <w:shd w:val="clear" w:color="auto" w:fill="FFFFFF"/>
                <w:lang w:val="en-US" w:eastAsia="zh-CN"/>
              </w:rPr>
              <w:t>封装料用量</w:t>
            </w:r>
            <w:r>
              <w:rPr>
                <w:rFonts w:hint="eastAsia" w:cs="Times New Roman"/>
                <w:sz w:val="24"/>
                <w:shd w:val="clear" w:color="auto" w:fill="FFFFFF"/>
                <w:lang w:val="en-US" w:eastAsia="zh-CN"/>
              </w:rPr>
              <w:t>3.896</w:t>
            </w:r>
            <w:r>
              <w:rPr>
                <w:sz w:val="24"/>
              </w:rPr>
              <w:t>t/a</w:t>
            </w:r>
            <w:r>
              <w:rPr>
                <w:rFonts w:hint="eastAsia"/>
                <w:sz w:val="24"/>
                <w:lang w:eastAsia="zh-CN"/>
              </w:rPr>
              <w:t>，</w:t>
            </w:r>
            <w:r>
              <w:rPr>
                <w:rFonts w:hint="default" w:ascii="Times New Roman" w:hAnsi="Times New Roman" w:cs="Times New Roman"/>
                <w:sz w:val="24"/>
                <w:shd w:val="clear" w:color="auto" w:fill="FFFFFF"/>
              </w:rPr>
              <w:t>则</w:t>
            </w:r>
            <w:r>
              <w:rPr>
                <w:rFonts w:hint="eastAsia" w:cs="Times New Roman"/>
                <w:color w:val="auto"/>
                <w:kern w:val="2"/>
                <w:sz w:val="24"/>
                <w:szCs w:val="24"/>
                <w:lang w:val="en-US" w:eastAsia="zh-CN" w:bidi="ar-SA"/>
              </w:rPr>
              <w:t>废</w:t>
            </w:r>
            <w:r>
              <w:rPr>
                <w:rFonts w:hint="eastAsia" w:cs="Times New Roman"/>
                <w:sz w:val="24"/>
                <w:shd w:val="clear" w:color="auto" w:fill="FFFFFF"/>
                <w:lang w:val="en-US" w:eastAsia="zh-CN"/>
              </w:rPr>
              <w:t>封装料</w:t>
            </w:r>
            <w:r>
              <w:rPr>
                <w:rFonts w:hint="default" w:ascii="Times New Roman" w:hAnsi="Times New Roman" w:cs="Times New Roman"/>
                <w:sz w:val="24"/>
                <w:shd w:val="clear" w:color="auto" w:fill="FFFFFF"/>
              </w:rPr>
              <w:t>桶产生量为0.</w:t>
            </w:r>
            <w:r>
              <w:rPr>
                <w:rFonts w:hint="eastAsia" w:cs="Times New Roman"/>
                <w:sz w:val="24"/>
                <w:shd w:val="clear" w:color="auto" w:fill="FFFFFF"/>
                <w:lang w:val="en-US" w:eastAsia="zh-CN"/>
              </w:rPr>
              <w:t>0974</w:t>
            </w:r>
            <w:r>
              <w:rPr>
                <w:rFonts w:hint="default" w:ascii="Times New Roman" w:hAnsi="Times New Roman" w:cs="Times New Roman"/>
                <w:sz w:val="24"/>
                <w:shd w:val="clear" w:color="auto" w:fill="FFFFFF"/>
              </w:rPr>
              <w:t>t/a，对照《国家危险废物名录》（2025年版），属于危险废物，废物类别为HW49，危废代码900-041-49，按照危险废物管理要求进行贮存、转移，</w:t>
            </w:r>
            <w:r>
              <w:rPr>
                <w:rFonts w:hint="default" w:ascii="Times New Roman" w:hAnsi="Times New Roman" w:eastAsia="宋体" w:cs="Times New Roman"/>
                <w:color w:val="auto"/>
                <w:kern w:val="2"/>
                <w:sz w:val="24"/>
                <w:szCs w:val="24"/>
                <w:lang w:val="en-US" w:eastAsia="zh-CN" w:bidi="ar-SA"/>
              </w:rPr>
              <w:t>收集后</w:t>
            </w:r>
            <w:r>
              <w:rPr>
                <w:rFonts w:hint="eastAsia" w:cs="Times New Roman"/>
                <w:color w:val="auto"/>
                <w:kern w:val="2"/>
                <w:sz w:val="24"/>
                <w:szCs w:val="24"/>
                <w:lang w:val="en-US" w:eastAsia="zh-CN" w:bidi="ar-SA"/>
              </w:rPr>
              <w:t>暂存于危废暂存间，</w:t>
            </w:r>
            <w:r>
              <w:rPr>
                <w:rFonts w:hint="default" w:ascii="Times New Roman" w:hAnsi="Times New Roman" w:eastAsia="宋体" w:cs="Times New Roman"/>
                <w:color w:val="auto"/>
                <w:kern w:val="2"/>
                <w:sz w:val="24"/>
                <w:szCs w:val="24"/>
                <w:lang w:val="en-US" w:eastAsia="zh-CN" w:bidi="ar-SA"/>
              </w:rPr>
              <w:t>交由有资质单位</w:t>
            </w:r>
            <w:r>
              <w:rPr>
                <w:rFonts w:hint="eastAsia" w:cs="Times New Roman"/>
                <w:color w:val="auto"/>
                <w:kern w:val="2"/>
                <w:sz w:val="24"/>
                <w:szCs w:val="24"/>
                <w:lang w:val="en-US" w:eastAsia="zh-CN" w:bidi="ar-SA"/>
              </w:rPr>
              <w:t>处置</w:t>
            </w:r>
            <w:r>
              <w:rPr>
                <w:rFonts w:hint="default" w:ascii="Times New Roman" w:hAnsi="Times New Roman" w:cs="Times New Roman"/>
                <w:sz w:val="24"/>
                <w:shd w:val="clear" w:color="auto" w:fill="FFFFFF"/>
              </w:rPr>
              <w:t>。</w:t>
            </w:r>
          </w:p>
          <w:p w14:paraId="0C4E3C84">
            <w:pPr>
              <w:pStyle w:val="3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废液压油桶</w:t>
            </w:r>
          </w:p>
          <w:p w14:paraId="257ED800">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highlight w:val="none"/>
                <w:shd w:val="clear"/>
              </w:rPr>
            </w:pPr>
            <w:r>
              <w:rPr>
                <w:rFonts w:hint="default" w:ascii="Times New Roman" w:hAnsi="Times New Roman" w:cs="Times New Roman"/>
                <w:sz w:val="24"/>
                <w:shd w:val="clear" w:color="auto" w:fill="FFFFFF"/>
              </w:rPr>
              <w:t>项目</w:t>
            </w:r>
            <w:r>
              <w:rPr>
                <w:rFonts w:hint="eastAsia" w:cs="Times New Roman"/>
                <w:color w:val="auto"/>
                <w:kern w:val="2"/>
                <w:sz w:val="24"/>
                <w:szCs w:val="24"/>
                <w:lang w:val="en-US" w:eastAsia="zh-CN" w:bidi="ar-SA"/>
              </w:rPr>
              <w:t>液压油桶</w:t>
            </w:r>
            <w:r>
              <w:rPr>
                <w:rFonts w:hint="default" w:ascii="Times New Roman" w:hAnsi="Times New Roman" w:cs="Times New Roman"/>
                <w:sz w:val="24"/>
                <w:shd w:val="clear" w:color="auto" w:fill="FFFFFF"/>
              </w:rPr>
              <w:t>容量为</w:t>
            </w:r>
            <w:r>
              <w:rPr>
                <w:rFonts w:hint="eastAsia" w:cs="Times New Roman"/>
                <w:sz w:val="24"/>
                <w:shd w:val="clear" w:color="auto" w:fill="FFFFFF"/>
                <w:lang w:val="en-US" w:eastAsia="zh-CN"/>
              </w:rPr>
              <w:t>1</w:t>
            </w:r>
            <w:r>
              <w:rPr>
                <w:rFonts w:hint="default" w:ascii="Times New Roman" w:hAnsi="Times New Roman" w:cs="Times New Roman"/>
                <w:sz w:val="24"/>
                <w:shd w:val="clear" w:color="auto" w:fill="FFFFFF"/>
              </w:rPr>
              <w:t>0kg，</w:t>
            </w:r>
            <w:r>
              <w:rPr>
                <w:rFonts w:hint="eastAsia" w:cs="Times New Roman"/>
                <w:sz w:val="24"/>
                <w:shd w:val="clear" w:color="auto" w:fill="FFFFFF"/>
                <w:lang w:val="en-US" w:eastAsia="zh-CN"/>
              </w:rPr>
              <w:t>单</w:t>
            </w:r>
            <w:r>
              <w:rPr>
                <w:rFonts w:hint="default" w:ascii="Times New Roman" w:hAnsi="Times New Roman" w:cs="Times New Roman"/>
                <w:sz w:val="24"/>
                <w:shd w:val="clear" w:color="auto" w:fill="FFFFFF"/>
              </w:rPr>
              <w:t>个</w:t>
            </w:r>
            <w:r>
              <w:rPr>
                <w:rFonts w:hint="eastAsia" w:cs="Times New Roman"/>
                <w:color w:val="auto"/>
                <w:kern w:val="2"/>
                <w:sz w:val="24"/>
                <w:szCs w:val="24"/>
                <w:lang w:val="en-US" w:eastAsia="zh-CN" w:bidi="ar-SA"/>
              </w:rPr>
              <w:t>液压油</w:t>
            </w:r>
            <w:r>
              <w:rPr>
                <w:rFonts w:hint="default" w:ascii="Times New Roman" w:hAnsi="Times New Roman" w:cs="Times New Roman"/>
                <w:sz w:val="24"/>
                <w:shd w:val="clear" w:color="auto" w:fill="FFFFFF"/>
              </w:rPr>
              <w:t>桶重</w:t>
            </w:r>
            <w:r>
              <w:rPr>
                <w:rFonts w:hint="eastAsia" w:cs="Times New Roman"/>
                <w:sz w:val="24"/>
                <w:shd w:val="clear" w:color="auto" w:fill="FFFFFF"/>
                <w:lang w:val="en-US" w:eastAsia="zh-CN"/>
              </w:rPr>
              <w:t>约</w:t>
            </w:r>
            <w:r>
              <w:rPr>
                <w:rFonts w:hint="default" w:ascii="Times New Roman" w:hAnsi="Times New Roman" w:cs="Times New Roman"/>
                <w:sz w:val="24"/>
                <w:shd w:val="clear" w:color="auto" w:fill="FFFFFF"/>
              </w:rPr>
              <w:t>0.</w:t>
            </w:r>
            <w:r>
              <w:rPr>
                <w:rFonts w:hint="eastAsia" w:cs="Times New Roman"/>
                <w:sz w:val="24"/>
                <w:shd w:val="clear" w:color="auto" w:fill="FFFFFF"/>
                <w:lang w:val="en-US" w:eastAsia="zh-CN"/>
              </w:rPr>
              <w:t>4</w:t>
            </w:r>
            <w:r>
              <w:rPr>
                <w:rFonts w:hint="default" w:ascii="Times New Roman" w:hAnsi="Times New Roman" w:cs="Times New Roman"/>
                <w:sz w:val="24"/>
                <w:shd w:val="clear" w:color="auto" w:fill="FFFFFF"/>
              </w:rPr>
              <w:t>kg</w:t>
            </w:r>
            <w:r>
              <w:rPr>
                <w:rFonts w:hint="eastAsia" w:ascii="Times New Roman" w:hAnsi="Times New Roman" w:cs="Times New Roman"/>
                <w:sz w:val="24"/>
                <w:shd w:val="clear" w:color="auto" w:fill="FFFFFF"/>
                <w:lang w:eastAsia="zh-CN"/>
              </w:rPr>
              <w:t>。</w:t>
            </w:r>
            <w:r>
              <w:rPr>
                <w:rFonts w:hint="eastAsia" w:cs="Times New Roman"/>
                <w:color w:val="auto"/>
                <w:kern w:val="2"/>
                <w:sz w:val="24"/>
                <w:szCs w:val="24"/>
                <w:lang w:val="en-US" w:eastAsia="zh-CN" w:bidi="ar-SA"/>
              </w:rPr>
              <w:t>液压油</w:t>
            </w:r>
            <w:r>
              <w:rPr>
                <w:rFonts w:hint="eastAsia" w:ascii="Times New Roman" w:hAnsi="Times New Roman" w:cs="Times New Roman"/>
                <w:sz w:val="24"/>
                <w:shd w:val="clear" w:color="auto" w:fill="FFFFFF"/>
                <w:lang w:val="en-US" w:eastAsia="zh-CN"/>
              </w:rPr>
              <w:t>用量</w:t>
            </w:r>
            <w:r>
              <w:rPr>
                <w:rFonts w:hint="eastAsia" w:cs="Times New Roman"/>
                <w:sz w:val="24"/>
                <w:shd w:val="clear" w:color="auto" w:fill="FFFFFF"/>
                <w:lang w:val="en-US" w:eastAsia="zh-CN"/>
              </w:rPr>
              <w:t>3</w:t>
            </w:r>
            <w:r>
              <w:rPr>
                <w:sz w:val="24"/>
              </w:rPr>
              <w:t>t/a</w:t>
            </w:r>
            <w:r>
              <w:rPr>
                <w:rFonts w:hint="eastAsia"/>
                <w:sz w:val="24"/>
                <w:lang w:eastAsia="zh-CN"/>
              </w:rPr>
              <w:t>，</w:t>
            </w:r>
            <w:r>
              <w:rPr>
                <w:rFonts w:hint="default" w:ascii="Times New Roman" w:hAnsi="Times New Roman" w:cs="Times New Roman"/>
                <w:sz w:val="24"/>
                <w:shd w:val="clear" w:color="auto" w:fill="FFFFFF"/>
              </w:rPr>
              <w:t>则</w:t>
            </w:r>
            <w:r>
              <w:rPr>
                <w:rFonts w:hint="eastAsia" w:cs="Times New Roman"/>
                <w:color w:val="auto"/>
                <w:kern w:val="2"/>
                <w:sz w:val="24"/>
                <w:szCs w:val="24"/>
                <w:lang w:val="en-US" w:eastAsia="zh-CN" w:bidi="ar-SA"/>
              </w:rPr>
              <w:t>废液压油</w:t>
            </w:r>
            <w:r>
              <w:rPr>
                <w:rFonts w:hint="default" w:ascii="Times New Roman" w:hAnsi="Times New Roman" w:cs="Times New Roman"/>
                <w:sz w:val="24"/>
                <w:shd w:val="clear" w:color="auto" w:fill="FFFFFF"/>
              </w:rPr>
              <w:t>桶产生量为0.</w:t>
            </w:r>
            <w:r>
              <w:rPr>
                <w:rFonts w:hint="eastAsia" w:cs="Times New Roman"/>
                <w:sz w:val="24"/>
                <w:shd w:val="clear" w:color="auto" w:fill="FFFFFF"/>
                <w:lang w:val="en-US" w:eastAsia="zh-CN"/>
              </w:rPr>
              <w:t>12</w:t>
            </w:r>
            <w:r>
              <w:rPr>
                <w:rFonts w:hint="default" w:ascii="Times New Roman" w:hAnsi="Times New Roman" w:cs="Times New Roman"/>
                <w:sz w:val="24"/>
                <w:shd w:val="clear" w:color="auto" w:fill="FFFFFF"/>
              </w:rPr>
              <w:t>t/a，对照《国家危险废物名录》（2025年版），属于危险废物，废物类别为HW49，危废代码900-041-49，按照危险废物管理要求进行贮存、转移，</w:t>
            </w:r>
            <w:r>
              <w:rPr>
                <w:rFonts w:hint="default" w:ascii="Times New Roman" w:hAnsi="Times New Roman" w:eastAsia="宋体" w:cs="Times New Roman"/>
                <w:color w:val="auto"/>
                <w:kern w:val="2"/>
                <w:sz w:val="24"/>
                <w:szCs w:val="24"/>
                <w:lang w:val="en-US" w:eastAsia="zh-CN" w:bidi="ar-SA"/>
              </w:rPr>
              <w:t>收集后</w:t>
            </w:r>
            <w:r>
              <w:rPr>
                <w:rFonts w:hint="eastAsia" w:cs="Times New Roman"/>
                <w:color w:val="auto"/>
                <w:kern w:val="2"/>
                <w:sz w:val="24"/>
                <w:szCs w:val="24"/>
                <w:lang w:val="en-US" w:eastAsia="zh-CN" w:bidi="ar-SA"/>
              </w:rPr>
              <w:t>暂存于危废暂存间，</w:t>
            </w:r>
            <w:r>
              <w:rPr>
                <w:rFonts w:hint="default" w:ascii="Times New Roman" w:hAnsi="Times New Roman" w:eastAsia="宋体" w:cs="Times New Roman"/>
                <w:color w:val="auto"/>
                <w:kern w:val="2"/>
                <w:sz w:val="24"/>
                <w:szCs w:val="24"/>
                <w:lang w:val="en-US" w:eastAsia="zh-CN" w:bidi="ar-SA"/>
              </w:rPr>
              <w:t>交由有资质单位</w:t>
            </w:r>
            <w:r>
              <w:rPr>
                <w:rFonts w:hint="eastAsia" w:cs="Times New Roman"/>
                <w:color w:val="auto"/>
                <w:kern w:val="2"/>
                <w:sz w:val="24"/>
                <w:szCs w:val="24"/>
                <w:lang w:val="en-US" w:eastAsia="zh-CN" w:bidi="ar-SA"/>
              </w:rPr>
              <w:t>处置。</w:t>
            </w:r>
          </w:p>
          <w:p w14:paraId="6EE58D4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sz w:val="24"/>
                <w:lang w:val="en-US" w:eastAsia="zh-CN"/>
              </w:rPr>
            </w:pPr>
          </w:p>
        </w:tc>
      </w:tr>
    </w:tbl>
    <w:p w14:paraId="4CEBFFD8">
      <w:pPr>
        <w:autoSpaceDE w:val="0"/>
        <w:autoSpaceDN w:val="0"/>
        <w:adjustRightInd w:val="0"/>
        <w:snapToGrid w:val="0"/>
        <w:jc w:val="center"/>
        <w:rPr>
          <w:rFonts w:hint="eastAsia" w:ascii="宋体" w:hAnsi="宋体" w:cs="宋体"/>
          <w:kern w:val="0"/>
          <w:sz w:val="24"/>
          <w:szCs w:val="24"/>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14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40"/>
        <w:gridCol w:w="13480"/>
      </w:tblGrid>
      <w:tr w14:paraId="5D81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369" w:hRule="atLeast"/>
          <w:jc w:val="center"/>
        </w:trPr>
        <w:tc>
          <w:tcPr>
            <w:tcW w:w="540" w:type="dxa"/>
            <w:tcBorders>
              <w:right w:val="single" w:color="auto" w:sz="4" w:space="0"/>
            </w:tcBorders>
            <w:noWrap w:val="0"/>
            <w:vAlign w:val="center"/>
          </w:tcPr>
          <w:p w14:paraId="00D1FE4A">
            <w:pPr>
              <w:tabs>
                <w:tab w:val="left" w:pos="1380"/>
              </w:tabs>
              <w:jc w:val="center"/>
              <w:rPr>
                <w:rFonts w:hint="eastAsia"/>
              </w:rPr>
            </w:pPr>
            <w:r>
              <w:rPr>
                <w:rFonts w:hint="eastAsia" w:ascii="宋体" w:hAnsi="宋体" w:cs="宋体"/>
                <w:kern w:val="0"/>
                <w:sz w:val="24"/>
                <w:szCs w:val="24"/>
              </w:rPr>
              <w:t>运营期环境影响和保护措施</w:t>
            </w:r>
          </w:p>
        </w:tc>
        <w:tc>
          <w:tcPr>
            <w:tcW w:w="13480" w:type="dxa"/>
            <w:tcBorders>
              <w:left w:val="single" w:color="auto" w:sz="4" w:space="0"/>
            </w:tcBorders>
            <w:noWrap w:val="0"/>
            <w:vAlign w:val="top"/>
          </w:tcPr>
          <w:p w14:paraId="3956083E">
            <w:pPr>
              <w:pStyle w:val="20"/>
              <w:widowControl/>
              <w:spacing w:after="0" w:line="360" w:lineRule="auto"/>
              <w:ind w:firstLine="480" w:firstLineChars="200"/>
              <w:rPr>
                <w:rFonts w:hint="eastAsia"/>
                <w:bCs/>
                <w:sz w:val="24"/>
              </w:rPr>
            </w:pPr>
            <w:r>
              <w:rPr>
                <w:rFonts w:hint="eastAsia"/>
                <w:bCs/>
                <w:sz w:val="24"/>
              </w:rPr>
              <w:t>本项目固体废物产生及处置情况见下表。</w:t>
            </w:r>
          </w:p>
          <w:p w14:paraId="0E7CBDA1">
            <w:pPr>
              <w:keepNext w:val="0"/>
              <w:keepLines w:val="0"/>
              <w:pageBreakBefore w:val="0"/>
              <w:widowControl/>
              <w:kinsoku/>
              <w:wordWrap/>
              <w:overflowPunct/>
              <w:topLinePunct w:val="0"/>
              <w:autoSpaceDE/>
              <w:autoSpaceDN/>
              <w:bidi w:val="0"/>
              <w:adjustRightInd/>
              <w:snapToGrid/>
              <w:jc w:val="center"/>
              <w:textAlignment w:val="auto"/>
              <w:rPr>
                <w:rFonts w:hint="eastAsia"/>
                <w:b/>
                <w:bCs/>
                <w:szCs w:val="21"/>
              </w:rPr>
            </w:pPr>
            <w:bookmarkStart w:id="6" w:name="_Hlk185111246"/>
            <w:r>
              <w:rPr>
                <w:rFonts w:hint="eastAsia"/>
                <w:b/>
                <w:kern w:val="0"/>
                <w:sz w:val="21"/>
                <w:szCs w:val="21"/>
                <w:lang w:val="en-US" w:eastAsia="zh-CN"/>
              </w:rPr>
              <w:t xml:space="preserve">表4-10 </w:t>
            </w:r>
            <w:r>
              <w:rPr>
                <w:b/>
                <w:kern w:val="0"/>
                <w:sz w:val="21"/>
                <w:szCs w:val="21"/>
              </w:rPr>
              <w:t>本</w:t>
            </w:r>
            <w:r>
              <w:rPr>
                <w:b/>
                <w:kern w:val="0"/>
                <w:sz w:val="21"/>
                <w:szCs w:val="21"/>
                <w:highlight w:val="none"/>
              </w:rPr>
              <w:t>项目</w:t>
            </w:r>
            <w:r>
              <w:rPr>
                <w:rFonts w:hint="eastAsia"/>
                <w:b/>
                <w:kern w:val="0"/>
                <w:sz w:val="21"/>
                <w:szCs w:val="21"/>
                <w:highlight w:val="none"/>
              </w:rPr>
              <w:t>固体废物产生及排放</w:t>
            </w:r>
            <w:r>
              <w:rPr>
                <w:rFonts w:hint="eastAsia"/>
                <w:b/>
                <w:kern w:val="0"/>
                <w:sz w:val="21"/>
                <w:szCs w:val="21"/>
              </w:rPr>
              <w:t>情况一览表</w:t>
            </w:r>
          </w:p>
          <w:tbl>
            <w:tblPr>
              <w:tblStyle w:val="24"/>
              <w:tblW w:w="13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35"/>
              <w:gridCol w:w="1021"/>
              <w:gridCol w:w="1368"/>
              <w:gridCol w:w="924"/>
              <w:gridCol w:w="1488"/>
              <w:gridCol w:w="1200"/>
              <w:gridCol w:w="900"/>
              <w:gridCol w:w="864"/>
              <w:gridCol w:w="900"/>
              <w:gridCol w:w="900"/>
              <w:gridCol w:w="1032"/>
              <w:gridCol w:w="948"/>
              <w:gridCol w:w="1224"/>
            </w:tblGrid>
            <w:tr w14:paraId="5E9F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09476931">
                  <w:pPr>
                    <w:widowControl/>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序号</w:t>
                  </w:r>
                </w:p>
              </w:tc>
              <w:tc>
                <w:tcPr>
                  <w:tcW w:w="1021" w:type="dxa"/>
                  <w:noWrap w:val="0"/>
                  <w:vAlign w:val="center"/>
                </w:tcPr>
                <w:p w14:paraId="1B0BD112">
                  <w:pPr>
                    <w:widowControl/>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产生环节</w:t>
                  </w:r>
                </w:p>
              </w:tc>
              <w:tc>
                <w:tcPr>
                  <w:tcW w:w="1368" w:type="dxa"/>
                  <w:noWrap w:val="0"/>
                  <w:vAlign w:val="center"/>
                </w:tcPr>
                <w:p w14:paraId="6DF13497">
                  <w:pPr>
                    <w:widowControl/>
                    <w:jc w:val="center"/>
                    <w:textAlignment w:val="center"/>
                    <w:rPr>
                      <w:rFonts w:hint="default" w:ascii="Times New Roman" w:hAnsi="Times New Roman" w:cs="Times New Roman"/>
                      <w:b/>
                      <w:bCs/>
                      <w:kern w:val="0"/>
                      <w:sz w:val="21"/>
                      <w:szCs w:val="21"/>
                      <w:lang w:bidi="ar"/>
                    </w:rPr>
                  </w:pPr>
                  <w:r>
                    <w:rPr>
                      <w:rFonts w:hint="default" w:ascii="Times New Roman" w:hAnsi="Times New Roman" w:cs="Times New Roman"/>
                      <w:b/>
                      <w:bCs/>
                      <w:kern w:val="0"/>
                      <w:sz w:val="21"/>
                      <w:szCs w:val="21"/>
                      <w:lang w:bidi="ar"/>
                    </w:rPr>
                    <w:t>固体废</w:t>
                  </w:r>
                </w:p>
                <w:p w14:paraId="3361FEF0">
                  <w:pPr>
                    <w:widowControl/>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物名称</w:t>
                  </w:r>
                </w:p>
              </w:tc>
              <w:tc>
                <w:tcPr>
                  <w:tcW w:w="924" w:type="dxa"/>
                  <w:noWrap w:val="0"/>
                  <w:vAlign w:val="center"/>
                </w:tcPr>
                <w:p w14:paraId="7E93C633">
                  <w:pPr>
                    <w:widowControl/>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固体废物属性</w:t>
                  </w:r>
                </w:p>
              </w:tc>
              <w:tc>
                <w:tcPr>
                  <w:tcW w:w="1488" w:type="dxa"/>
                  <w:noWrap w:val="0"/>
                  <w:vAlign w:val="center"/>
                </w:tcPr>
                <w:p w14:paraId="3EB3E362">
                  <w:pPr>
                    <w:widowControl/>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固废代码</w:t>
                  </w:r>
                </w:p>
              </w:tc>
              <w:tc>
                <w:tcPr>
                  <w:tcW w:w="1200" w:type="dxa"/>
                  <w:noWrap w:val="0"/>
                  <w:vAlign w:val="center"/>
                </w:tcPr>
                <w:p w14:paraId="7DECB653">
                  <w:pPr>
                    <w:widowControl/>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主要有毒有害物质</w:t>
                  </w:r>
                </w:p>
              </w:tc>
              <w:tc>
                <w:tcPr>
                  <w:tcW w:w="900" w:type="dxa"/>
                  <w:noWrap w:val="0"/>
                  <w:vAlign w:val="center"/>
                </w:tcPr>
                <w:p w14:paraId="41209DB8">
                  <w:pPr>
                    <w:widowControl/>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物理性状</w:t>
                  </w:r>
                </w:p>
              </w:tc>
              <w:tc>
                <w:tcPr>
                  <w:tcW w:w="864" w:type="dxa"/>
                  <w:noWrap w:val="0"/>
                  <w:vAlign w:val="center"/>
                </w:tcPr>
                <w:p w14:paraId="272E1853">
                  <w:pPr>
                    <w:widowControl/>
                    <w:jc w:val="center"/>
                    <w:textAlignment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kern w:val="0"/>
                      <w:sz w:val="21"/>
                      <w:szCs w:val="21"/>
                      <w:lang w:bidi="ar"/>
                    </w:rPr>
                    <w:t>环境危险</w:t>
                  </w:r>
                  <w:r>
                    <w:rPr>
                      <w:rFonts w:hint="default" w:ascii="Times New Roman" w:hAnsi="Times New Roman" w:cs="Times New Roman"/>
                      <w:b/>
                      <w:bCs/>
                      <w:kern w:val="0"/>
                      <w:sz w:val="21"/>
                      <w:szCs w:val="21"/>
                      <w:lang w:val="en-US" w:eastAsia="zh-CN" w:bidi="ar"/>
                    </w:rPr>
                    <w:t>特性</w:t>
                  </w:r>
                </w:p>
              </w:tc>
              <w:tc>
                <w:tcPr>
                  <w:tcW w:w="900" w:type="dxa"/>
                  <w:noWrap w:val="0"/>
                  <w:vAlign w:val="center"/>
                </w:tcPr>
                <w:p w14:paraId="66D784D1">
                  <w:pPr>
                    <w:widowControl/>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产生量（t/a）</w:t>
                  </w:r>
                </w:p>
              </w:tc>
              <w:tc>
                <w:tcPr>
                  <w:tcW w:w="900" w:type="dxa"/>
                  <w:noWrap w:val="0"/>
                  <w:vAlign w:val="center"/>
                </w:tcPr>
                <w:p w14:paraId="67A6277E">
                  <w:pPr>
                    <w:widowControl/>
                    <w:jc w:val="center"/>
                    <w:textAlignment w:val="center"/>
                    <w:rPr>
                      <w:rFonts w:hint="default" w:ascii="Times New Roman" w:hAnsi="Times New Roman" w:cs="Times New Roman"/>
                      <w:b/>
                      <w:bCs/>
                      <w:kern w:val="0"/>
                      <w:sz w:val="21"/>
                      <w:szCs w:val="21"/>
                      <w:lang w:bidi="ar"/>
                    </w:rPr>
                  </w:pPr>
                  <w:r>
                    <w:rPr>
                      <w:rFonts w:hint="default" w:ascii="Times New Roman" w:hAnsi="Times New Roman" w:cs="Times New Roman"/>
                      <w:b/>
                      <w:bCs/>
                      <w:kern w:val="0"/>
                      <w:sz w:val="21"/>
                      <w:szCs w:val="21"/>
                      <w:lang w:bidi="ar"/>
                    </w:rPr>
                    <w:t>贮存方式</w:t>
                  </w:r>
                </w:p>
              </w:tc>
              <w:tc>
                <w:tcPr>
                  <w:tcW w:w="1032" w:type="dxa"/>
                  <w:noWrap w:val="0"/>
                  <w:vAlign w:val="center"/>
                </w:tcPr>
                <w:p w14:paraId="073938B0">
                  <w:pPr>
                    <w:widowControl/>
                    <w:jc w:val="center"/>
                    <w:textAlignment w:val="center"/>
                    <w:rPr>
                      <w:rFonts w:hint="default" w:ascii="Times New Roman" w:hAnsi="Times New Roman" w:cs="Times New Roman"/>
                      <w:b/>
                      <w:bCs/>
                      <w:kern w:val="0"/>
                      <w:sz w:val="21"/>
                      <w:szCs w:val="21"/>
                      <w:lang w:bidi="ar"/>
                    </w:rPr>
                  </w:pPr>
                  <w:r>
                    <w:rPr>
                      <w:rFonts w:hint="default" w:ascii="Times New Roman" w:hAnsi="Times New Roman" w:cs="Times New Roman"/>
                      <w:b/>
                      <w:bCs/>
                      <w:kern w:val="0"/>
                      <w:sz w:val="21"/>
                      <w:szCs w:val="21"/>
                      <w:lang w:bidi="ar"/>
                    </w:rPr>
                    <w:t>处置/利用方式</w:t>
                  </w:r>
                </w:p>
              </w:tc>
              <w:tc>
                <w:tcPr>
                  <w:tcW w:w="948" w:type="dxa"/>
                  <w:noWrap w:val="0"/>
                  <w:vAlign w:val="center"/>
                </w:tcPr>
                <w:p w14:paraId="4836D496">
                  <w:pPr>
                    <w:widowControl/>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利用/处置量（t/a）</w:t>
                  </w:r>
                </w:p>
              </w:tc>
              <w:tc>
                <w:tcPr>
                  <w:tcW w:w="1224" w:type="dxa"/>
                  <w:noWrap w:val="0"/>
                  <w:vAlign w:val="center"/>
                </w:tcPr>
                <w:p w14:paraId="413BDF44">
                  <w:pPr>
                    <w:widowControl/>
                    <w:jc w:val="center"/>
                    <w:textAlignment w:val="center"/>
                    <w:rPr>
                      <w:rFonts w:hint="default" w:ascii="Times New Roman" w:hAnsi="Times New Roman" w:eastAsia="宋体" w:cs="Times New Roman"/>
                      <w:b/>
                      <w:bCs/>
                      <w:kern w:val="0"/>
                      <w:sz w:val="21"/>
                      <w:szCs w:val="21"/>
                      <w:lang w:val="en-US" w:eastAsia="zh-CN" w:bidi="ar"/>
                    </w:rPr>
                  </w:pPr>
                  <w:r>
                    <w:rPr>
                      <w:rFonts w:hint="default" w:ascii="Times New Roman" w:hAnsi="Times New Roman" w:cs="Times New Roman"/>
                      <w:b/>
                      <w:bCs/>
                      <w:kern w:val="0"/>
                      <w:sz w:val="21"/>
                      <w:szCs w:val="21"/>
                      <w:lang w:val="en-US" w:eastAsia="zh-CN" w:bidi="ar"/>
                    </w:rPr>
                    <w:t>环境管理要求</w:t>
                  </w:r>
                </w:p>
              </w:tc>
            </w:tr>
            <w:tr w14:paraId="000B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29CCFC5D">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restart"/>
                  <w:noWrap w:val="0"/>
                  <w:vAlign w:val="center"/>
                </w:tcPr>
                <w:p w14:paraId="451AC016">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原辅材料使用</w:t>
                  </w:r>
                </w:p>
              </w:tc>
              <w:tc>
                <w:tcPr>
                  <w:tcW w:w="1368" w:type="dxa"/>
                  <w:noWrap w:val="0"/>
                  <w:vAlign w:val="center"/>
                </w:tcPr>
                <w:p w14:paraId="430B015A">
                  <w:pPr>
                    <w:widowControl/>
                    <w:jc w:val="center"/>
                    <w:textAlignment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废边角料</w:t>
                  </w:r>
                </w:p>
              </w:tc>
              <w:tc>
                <w:tcPr>
                  <w:tcW w:w="924" w:type="dxa"/>
                  <w:noWrap w:val="0"/>
                  <w:vAlign w:val="center"/>
                </w:tcPr>
                <w:p w14:paraId="748AB991">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SW17</w:t>
                  </w:r>
                </w:p>
              </w:tc>
              <w:tc>
                <w:tcPr>
                  <w:tcW w:w="1488" w:type="dxa"/>
                  <w:noWrap w:val="0"/>
                  <w:vAlign w:val="center"/>
                </w:tcPr>
                <w:p w14:paraId="470FCE41">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color w:val="auto"/>
                      <w:sz w:val="21"/>
                      <w:szCs w:val="21"/>
                    </w:rPr>
                    <w:t>900-001-S17</w:t>
                  </w:r>
                </w:p>
              </w:tc>
              <w:tc>
                <w:tcPr>
                  <w:tcW w:w="1200" w:type="dxa"/>
                  <w:noWrap w:val="0"/>
                  <w:vAlign w:val="center"/>
                </w:tcPr>
                <w:p w14:paraId="7B07E540">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900" w:type="dxa"/>
                  <w:noWrap w:val="0"/>
                  <w:vAlign w:val="center"/>
                </w:tcPr>
                <w:p w14:paraId="37AB0366">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kern w:val="0"/>
                      <w:sz w:val="21"/>
                      <w:szCs w:val="21"/>
                      <w:lang w:val="en-US" w:eastAsia="zh-CN" w:bidi="ar"/>
                    </w:rPr>
                    <w:t>固态</w:t>
                  </w:r>
                </w:p>
              </w:tc>
              <w:tc>
                <w:tcPr>
                  <w:tcW w:w="864" w:type="dxa"/>
                  <w:noWrap w:val="0"/>
                  <w:vAlign w:val="center"/>
                </w:tcPr>
                <w:p w14:paraId="25DC2A30">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w:t>
                  </w:r>
                </w:p>
              </w:tc>
              <w:tc>
                <w:tcPr>
                  <w:tcW w:w="900" w:type="dxa"/>
                  <w:noWrap w:val="0"/>
                  <w:vAlign w:val="center"/>
                </w:tcPr>
                <w:p w14:paraId="42C4B9E5">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w:t>
                  </w:r>
                </w:p>
              </w:tc>
              <w:tc>
                <w:tcPr>
                  <w:tcW w:w="900" w:type="dxa"/>
                  <w:vMerge w:val="restart"/>
                  <w:noWrap w:val="0"/>
                  <w:vAlign w:val="center"/>
                </w:tcPr>
                <w:p w14:paraId="54BBA217">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一般固废</w:t>
                  </w:r>
                  <w:r>
                    <w:rPr>
                      <w:rFonts w:hint="eastAsia" w:cs="Times New Roman"/>
                      <w:sz w:val="21"/>
                      <w:szCs w:val="21"/>
                      <w:lang w:val="en-US" w:eastAsia="zh-CN"/>
                    </w:rPr>
                    <w:t>暂存</w:t>
                  </w:r>
                  <w:r>
                    <w:rPr>
                      <w:rFonts w:hint="default" w:ascii="Times New Roman" w:hAnsi="Times New Roman" w:cs="Times New Roman"/>
                      <w:sz w:val="21"/>
                      <w:szCs w:val="21"/>
                      <w:lang w:val="en-US" w:eastAsia="zh-CN"/>
                    </w:rPr>
                    <w:t>间</w:t>
                  </w:r>
                </w:p>
              </w:tc>
              <w:tc>
                <w:tcPr>
                  <w:tcW w:w="1032" w:type="dxa"/>
                  <w:vMerge w:val="restart"/>
                  <w:noWrap w:val="0"/>
                  <w:vAlign w:val="center"/>
                </w:tcPr>
                <w:p w14:paraId="5FCCBE54">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color w:val="auto"/>
                      <w:kern w:val="2"/>
                      <w:sz w:val="21"/>
                      <w:szCs w:val="21"/>
                      <w:lang w:val="en-US" w:eastAsia="zh-CN" w:bidi="ar-SA"/>
                    </w:rPr>
                    <w:t>定期</w:t>
                  </w:r>
                  <w:r>
                    <w:rPr>
                      <w:rFonts w:hint="default" w:ascii="Times New Roman" w:hAnsi="Times New Roman" w:eastAsia="宋体" w:cs="Times New Roman"/>
                      <w:color w:val="auto"/>
                      <w:kern w:val="2"/>
                      <w:sz w:val="21"/>
                      <w:szCs w:val="21"/>
                      <w:lang w:val="en-US" w:eastAsia="zh-CN" w:bidi="ar-SA"/>
                    </w:rPr>
                    <w:t>外售给物资回收部门</w:t>
                  </w:r>
                </w:p>
              </w:tc>
              <w:tc>
                <w:tcPr>
                  <w:tcW w:w="948" w:type="dxa"/>
                  <w:shd w:val="clear" w:color="auto" w:fill="auto"/>
                  <w:noWrap w:val="0"/>
                  <w:vAlign w:val="center"/>
                </w:tcPr>
                <w:p w14:paraId="2BEB9277">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w:t>
                  </w:r>
                </w:p>
              </w:tc>
              <w:tc>
                <w:tcPr>
                  <w:tcW w:w="1224" w:type="dxa"/>
                  <w:vMerge w:val="restart"/>
                  <w:shd w:val="clear" w:color="auto" w:fill="auto"/>
                  <w:noWrap w:val="0"/>
                  <w:vAlign w:val="center"/>
                </w:tcPr>
                <w:p w14:paraId="53288C24">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参照</w:t>
                  </w:r>
                  <w:r>
                    <w:rPr>
                      <w:rFonts w:hint="default" w:ascii="Times New Roman" w:hAnsi="Times New Roman" w:eastAsia="宋体" w:cs="Times New Roman"/>
                      <w:kern w:val="0"/>
                      <w:sz w:val="21"/>
                      <w:szCs w:val="21"/>
                      <w:lang w:val="en-US" w:eastAsia="zh-CN" w:bidi="ar"/>
                    </w:rPr>
                    <w:t xml:space="preserve">执行《一般工业固体废物贮存和填埋 </w:t>
                  </w:r>
                </w:p>
                <w:p w14:paraId="4BAE305D">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污染控制标准》（GB1859</w:t>
                  </w:r>
                  <w:r>
                    <w:rPr>
                      <w:rFonts w:hint="eastAsia" w:ascii="Times New Roman" w:hAnsi="Times New Roman" w:eastAsia="宋体" w:cs="Times New Roman"/>
                      <w:kern w:val="0"/>
                      <w:sz w:val="21"/>
                      <w:szCs w:val="21"/>
                      <w:lang w:val="en-US" w:eastAsia="zh-CN" w:bidi="ar"/>
                    </w:rPr>
                    <w:t>9</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202</w:t>
                  </w:r>
                  <w:r>
                    <w:rPr>
                      <w:rFonts w:hint="eastAsia" w:ascii="Times New Roman" w:hAnsi="Times New Roman" w:eastAsia="宋体" w:cs="Times New Roman"/>
                      <w:kern w:val="0"/>
                      <w:sz w:val="21"/>
                      <w:szCs w:val="21"/>
                      <w:lang w:val="en-US" w:eastAsia="zh-CN" w:bidi="ar"/>
                    </w:rPr>
                    <w:t>0</w:t>
                  </w:r>
                  <w:r>
                    <w:rPr>
                      <w:rFonts w:hint="default" w:ascii="Times New Roman" w:hAnsi="Times New Roman" w:eastAsia="宋体" w:cs="Times New Roman"/>
                      <w:kern w:val="0"/>
                      <w:sz w:val="21"/>
                      <w:szCs w:val="21"/>
                      <w:lang w:val="en-US" w:eastAsia="zh-CN" w:bidi="ar"/>
                    </w:rPr>
                    <w:t>）</w:t>
                  </w:r>
                </w:p>
                <w:p w14:paraId="7C57F89E">
                  <w:pPr>
                    <w:widowControl/>
                    <w:jc w:val="center"/>
                    <w:textAlignment w:val="center"/>
                    <w:rPr>
                      <w:rFonts w:hint="default" w:ascii="Times New Roman" w:hAnsi="Times New Roman" w:eastAsia="宋体" w:cs="Times New Roman"/>
                      <w:kern w:val="0"/>
                      <w:sz w:val="21"/>
                      <w:szCs w:val="21"/>
                      <w:lang w:val="en-US" w:eastAsia="zh-CN" w:bidi="ar"/>
                    </w:rPr>
                  </w:pPr>
                </w:p>
              </w:tc>
            </w:tr>
            <w:tr w14:paraId="708F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1D385459">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continue"/>
                  <w:noWrap w:val="0"/>
                  <w:vAlign w:val="center"/>
                </w:tcPr>
                <w:p w14:paraId="6B96D02F">
                  <w:pPr>
                    <w:widowControl/>
                    <w:jc w:val="center"/>
                    <w:textAlignment w:val="center"/>
                    <w:rPr>
                      <w:rFonts w:hint="default" w:ascii="Times New Roman" w:hAnsi="Times New Roman" w:cs="Times New Roman"/>
                      <w:sz w:val="21"/>
                      <w:szCs w:val="21"/>
                      <w:lang w:val="en-US" w:eastAsia="zh-CN"/>
                    </w:rPr>
                  </w:pPr>
                </w:p>
              </w:tc>
              <w:tc>
                <w:tcPr>
                  <w:tcW w:w="1368" w:type="dxa"/>
                  <w:noWrap w:val="0"/>
                  <w:vAlign w:val="center"/>
                </w:tcPr>
                <w:p w14:paraId="1BE3C0E3">
                  <w:pPr>
                    <w:widowControl/>
                    <w:jc w:val="center"/>
                    <w:textAlignment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粉末涂料包装袋</w:t>
                  </w:r>
                </w:p>
              </w:tc>
              <w:tc>
                <w:tcPr>
                  <w:tcW w:w="924" w:type="dxa"/>
                  <w:noWrap w:val="0"/>
                  <w:vAlign w:val="center"/>
                </w:tcPr>
                <w:p w14:paraId="02D0BABA">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kern w:val="0"/>
                      <w:sz w:val="21"/>
                      <w:szCs w:val="21"/>
                      <w:lang w:val="en-US" w:eastAsia="zh-CN" w:bidi="ar"/>
                    </w:rPr>
                    <w:t>SW17</w:t>
                  </w:r>
                </w:p>
              </w:tc>
              <w:tc>
                <w:tcPr>
                  <w:tcW w:w="1488" w:type="dxa"/>
                  <w:noWrap w:val="0"/>
                  <w:vAlign w:val="center"/>
                </w:tcPr>
                <w:p w14:paraId="14E6358A">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900-003-S17</w:t>
                  </w:r>
                </w:p>
              </w:tc>
              <w:tc>
                <w:tcPr>
                  <w:tcW w:w="1200" w:type="dxa"/>
                  <w:shd w:val="clear" w:color="auto" w:fill="auto"/>
                  <w:noWrap w:val="0"/>
                  <w:vAlign w:val="center"/>
                </w:tcPr>
                <w:p w14:paraId="52DA727A">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900" w:type="dxa"/>
                  <w:shd w:val="clear" w:color="auto" w:fill="auto"/>
                  <w:noWrap w:val="0"/>
                  <w:vAlign w:val="center"/>
                </w:tcPr>
                <w:p w14:paraId="59DAB227">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固态</w:t>
                  </w:r>
                </w:p>
              </w:tc>
              <w:tc>
                <w:tcPr>
                  <w:tcW w:w="864" w:type="dxa"/>
                  <w:shd w:val="clear" w:color="auto" w:fill="auto"/>
                  <w:noWrap w:val="0"/>
                  <w:vAlign w:val="center"/>
                </w:tcPr>
                <w:p w14:paraId="5DAE71ED">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w:t>
                  </w:r>
                </w:p>
              </w:tc>
              <w:tc>
                <w:tcPr>
                  <w:tcW w:w="900" w:type="dxa"/>
                  <w:noWrap w:val="0"/>
                  <w:vAlign w:val="center"/>
                </w:tcPr>
                <w:p w14:paraId="679B3D1C">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0.005</w:t>
                  </w:r>
                </w:p>
              </w:tc>
              <w:tc>
                <w:tcPr>
                  <w:tcW w:w="900" w:type="dxa"/>
                  <w:vMerge w:val="continue"/>
                  <w:noWrap w:val="0"/>
                  <w:vAlign w:val="center"/>
                </w:tcPr>
                <w:p w14:paraId="5C976A06">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4B746F9C">
                  <w:pPr>
                    <w:widowControl/>
                    <w:jc w:val="center"/>
                    <w:textAlignment w:val="center"/>
                    <w:rPr>
                      <w:rFonts w:hint="default" w:ascii="Times New Roman" w:hAnsi="Times New Roman" w:cs="Times New Roman"/>
                      <w:color w:val="auto"/>
                      <w:kern w:val="2"/>
                      <w:sz w:val="21"/>
                      <w:szCs w:val="21"/>
                      <w:lang w:val="en-US" w:eastAsia="zh-CN" w:bidi="ar-SA"/>
                    </w:rPr>
                  </w:pPr>
                </w:p>
              </w:tc>
              <w:tc>
                <w:tcPr>
                  <w:tcW w:w="948" w:type="dxa"/>
                  <w:shd w:val="clear" w:color="auto" w:fill="auto"/>
                  <w:noWrap w:val="0"/>
                  <w:vAlign w:val="center"/>
                </w:tcPr>
                <w:p w14:paraId="10B243E0">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0.005</w:t>
                  </w:r>
                </w:p>
              </w:tc>
              <w:tc>
                <w:tcPr>
                  <w:tcW w:w="1224" w:type="dxa"/>
                  <w:vMerge w:val="continue"/>
                  <w:shd w:val="clear" w:color="auto" w:fill="auto"/>
                  <w:noWrap w:val="0"/>
                  <w:vAlign w:val="center"/>
                </w:tcPr>
                <w:p w14:paraId="5358B191">
                  <w:pPr>
                    <w:widowControl/>
                    <w:jc w:val="center"/>
                    <w:textAlignment w:val="center"/>
                    <w:rPr>
                      <w:rFonts w:hint="default" w:ascii="Times New Roman" w:hAnsi="Times New Roman" w:eastAsia="宋体" w:cs="Times New Roman"/>
                      <w:kern w:val="0"/>
                      <w:sz w:val="21"/>
                      <w:szCs w:val="21"/>
                      <w:lang w:val="en-US" w:eastAsia="zh-CN" w:bidi="ar"/>
                    </w:rPr>
                  </w:pPr>
                </w:p>
              </w:tc>
            </w:tr>
            <w:tr w14:paraId="050E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08734E11">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restart"/>
                  <w:noWrap w:val="0"/>
                  <w:vAlign w:val="center"/>
                </w:tcPr>
                <w:p w14:paraId="1600288F">
                  <w:pPr>
                    <w:widowControl/>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环保设施使用</w:t>
                  </w:r>
                </w:p>
              </w:tc>
              <w:tc>
                <w:tcPr>
                  <w:tcW w:w="1368" w:type="dxa"/>
                  <w:noWrap w:val="0"/>
                  <w:vAlign w:val="center"/>
                </w:tcPr>
                <w:p w14:paraId="3AB5FE43">
                  <w:pPr>
                    <w:widowControl/>
                    <w:jc w:val="center"/>
                    <w:textAlignment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收集尘</w:t>
                  </w:r>
                </w:p>
              </w:tc>
              <w:tc>
                <w:tcPr>
                  <w:tcW w:w="924" w:type="dxa"/>
                  <w:noWrap w:val="0"/>
                  <w:vAlign w:val="center"/>
                </w:tcPr>
                <w:p w14:paraId="210DD764">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SW17</w:t>
                  </w:r>
                </w:p>
              </w:tc>
              <w:tc>
                <w:tcPr>
                  <w:tcW w:w="1488" w:type="dxa"/>
                  <w:noWrap w:val="0"/>
                  <w:vAlign w:val="center"/>
                </w:tcPr>
                <w:p w14:paraId="16E17C2A">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900-001-S17</w:t>
                  </w:r>
                </w:p>
              </w:tc>
              <w:tc>
                <w:tcPr>
                  <w:tcW w:w="1200" w:type="dxa"/>
                  <w:noWrap w:val="0"/>
                  <w:vAlign w:val="center"/>
                </w:tcPr>
                <w:p w14:paraId="436CBEA0">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900" w:type="dxa"/>
                  <w:noWrap w:val="0"/>
                  <w:vAlign w:val="center"/>
                </w:tcPr>
                <w:p w14:paraId="395719C6">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kern w:val="0"/>
                      <w:sz w:val="21"/>
                      <w:szCs w:val="21"/>
                      <w:lang w:val="en-US" w:eastAsia="zh-CN" w:bidi="ar"/>
                    </w:rPr>
                    <w:t>固态</w:t>
                  </w:r>
                </w:p>
              </w:tc>
              <w:tc>
                <w:tcPr>
                  <w:tcW w:w="864" w:type="dxa"/>
                  <w:noWrap w:val="0"/>
                  <w:vAlign w:val="center"/>
                </w:tcPr>
                <w:p w14:paraId="360156E5">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w:t>
                  </w:r>
                </w:p>
              </w:tc>
              <w:tc>
                <w:tcPr>
                  <w:tcW w:w="900" w:type="dxa"/>
                  <w:noWrap w:val="0"/>
                  <w:vAlign w:val="center"/>
                </w:tcPr>
                <w:p w14:paraId="5DA9FD91">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1.0507</w:t>
                  </w:r>
                </w:p>
              </w:tc>
              <w:tc>
                <w:tcPr>
                  <w:tcW w:w="900" w:type="dxa"/>
                  <w:vMerge w:val="continue"/>
                  <w:noWrap w:val="0"/>
                  <w:vAlign w:val="center"/>
                </w:tcPr>
                <w:p w14:paraId="7517D2FC">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0BD54D97">
                  <w:pPr>
                    <w:widowControl/>
                    <w:jc w:val="center"/>
                    <w:textAlignment w:val="center"/>
                    <w:rPr>
                      <w:rFonts w:hint="default" w:ascii="Times New Roman" w:hAnsi="Times New Roman" w:cs="Times New Roman"/>
                      <w:sz w:val="21"/>
                      <w:szCs w:val="21"/>
                      <w:lang w:val="en-US" w:eastAsia="zh-CN"/>
                    </w:rPr>
                  </w:pPr>
                </w:p>
              </w:tc>
              <w:tc>
                <w:tcPr>
                  <w:tcW w:w="948" w:type="dxa"/>
                  <w:shd w:val="clear" w:color="auto" w:fill="auto"/>
                  <w:noWrap w:val="0"/>
                  <w:vAlign w:val="center"/>
                </w:tcPr>
                <w:p w14:paraId="4480523A">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1.0507</w:t>
                  </w:r>
                </w:p>
              </w:tc>
              <w:tc>
                <w:tcPr>
                  <w:tcW w:w="1224" w:type="dxa"/>
                  <w:vMerge w:val="continue"/>
                  <w:shd w:val="clear" w:color="auto" w:fill="auto"/>
                  <w:noWrap w:val="0"/>
                  <w:vAlign w:val="center"/>
                </w:tcPr>
                <w:p w14:paraId="0DAD933F">
                  <w:pPr>
                    <w:widowControl/>
                    <w:jc w:val="center"/>
                    <w:textAlignment w:val="center"/>
                    <w:rPr>
                      <w:rFonts w:hint="default" w:ascii="Times New Roman" w:hAnsi="Times New Roman" w:eastAsia="宋体" w:cs="Times New Roman"/>
                      <w:kern w:val="0"/>
                      <w:sz w:val="21"/>
                      <w:szCs w:val="21"/>
                      <w:lang w:val="en-US" w:eastAsia="zh-CN" w:bidi="ar"/>
                    </w:rPr>
                  </w:pPr>
                </w:p>
              </w:tc>
            </w:tr>
            <w:tr w14:paraId="2BE6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49DA05FB">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continue"/>
                  <w:noWrap w:val="0"/>
                  <w:vAlign w:val="center"/>
                </w:tcPr>
                <w:p w14:paraId="7DD50A5F">
                  <w:pPr>
                    <w:widowControl/>
                    <w:jc w:val="center"/>
                    <w:textAlignment w:val="center"/>
                    <w:rPr>
                      <w:rFonts w:hint="default" w:ascii="Times New Roman" w:hAnsi="Times New Roman" w:cs="Times New Roman"/>
                      <w:sz w:val="21"/>
                      <w:szCs w:val="21"/>
                      <w:lang w:val="en-US" w:eastAsia="zh-CN"/>
                    </w:rPr>
                  </w:pPr>
                </w:p>
              </w:tc>
              <w:tc>
                <w:tcPr>
                  <w:tcW w:w="1368" w:type="dxa"/>
                  <w:noWrap w:val="0"/>
                  <w:vAlign w:val="center"/>
                </w:tcPr>
                <w:p w14:paraId="70BE2758">
                  <w:pPr>
                    <w:widowControl/>
                    <w:jc w:val="center"/>
                    <w:textAlignment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废布袋</w:t>
                  </w:r>
                </w:p>
              </w:tc>
              <w:tc>
                <w:tcPr>
                  <w:tcW w:w="924" w:type="dxa"/>
                  <w:noWrap w:val="0"/>
                  <w:vAlign w:val="center"/>
                </w:tcPr>
                <w:p w14:paraId="2007F24C">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kern w:val="0"/>
                      <w:sz w:val="21"/>
                      <w:szCs w:val="21"/>
                      <w:lang w:val="en-US" w:eastAsia="zh-CN" w:bidi="ar"/>
                    </w:rPr>
                    <w:t>SW59</w:t>
                  </w:r>
                </w:p>
              </w:tc>
              <w:tc>
                <w:tcPr>
                  <w:tcW w:w="1488" w:type="dxa"/>
                  <w:noWrap w:val="0"/>
                  <w:vAlign w:val="center"/>
                </w:tcPr>
                <w:p w14:paraId="7AB964A8">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900-009-S59</w:t>
                  </w:r>
                </w:p>
              </w:tc>
              <w:tc>
                <w:tcPr>
                  <w:tcW w:w="1200" w:type="dxa"/>
                  <w:noWrap w:val="0"/>
                  <w:vAlign w:val="center"/>
                </w:tcPr>
                <w:p w14:paraId="5FA11D6C">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900" w:type="dxa"/>
                  <w:noWrap w:val="0"/>
                  <w:vAlign w:val="center"/>
                </w:tcPr>
                <w:p w14:paraId="59296261">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kern w:val="0"/>
                      <w:sz w:val="21"/>
                      <w:szCs w:val="21"/>
                      <w:lang w:val="en-US" w:eastAsia="zh-CN" w:bidi="ar"/>
                    </w:rPr>
                    <w:t>固态</w:t>
                  </w:r>
                </w:p>
              </w:tc>
              <w:tc>
                <w:tcPr>
                  <w:tcW w:w="864" w:type="dxa"/>
                  <w:noWrap w:val="0"/>
                  <w:vAlign w:val="center"/>
                </w:tcPr>
                <w:p w14:paraId="43C49EDC">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w:t>
                  </w:r>
                </w:p>
              </w:tc>
              <w:tc>
                <w:tcPr>
                  <w:tcW w:w="900" w:type="dxa"/>
                  <w:noWrap w:val="0"/>
                  <w:vAlign w:val="center"/>
                </w:tcPr>
                <w:p w14:paraId="0060CA40">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w:t>
                  </w:r>
                </w:p>
              </w:tc>
              <w:tc>
                <w:tcPr>
                  <w:tcW w:w="900" w:type="dxa"/>
                  <w:vMerge w:val="continue"/>
                  <w:noWrap w:val="0"/>
                  <w:vAlign w:val="center"/>
                </w:tcPr>
                <w:p w14:paraId="7E7622B0">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054081CC">
                  <w:pPr>
                    <w:widowControl/>
                    <w:jc w:val="center"/>
                    <w:textAlignment w:val="center"/>
                    <w:rPr>
                      <w:rFonts w:hint="default" w:ascii="Times New Roman" w:hAnsi="Times New Roman" w:cs="Times New Roman"/>
                      <w:sz w:val="21"/>
                      <w:szCs w:val="21"/>
                      <w:lang w:val="en-US" w:eastAsia="zh-CN"/>
                    </w:rPr>
                  </w:pPr>
                </w:p>
              </w:tc>
              <w:tc>
                <w:tcPr>
                  <w:tcW w:w="948" w:type="dxa"/>
                  <w:shd w:val="clear" w:color="auto" w:fill="auto"/>
                  <w:noWrap w:val="0"/>
                  <w:vAlign w:val="center"/>
                </w:tcPr>
                <w:p w14:paraId="5D9F6230">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w:t>
                  </w:r>
                </w:p>
              </w:tc>
              <w:tc>
                <w:tcPr>
                  <w:tcW w:w="1224" w:type="dxa"/>
                  <w:vMerge w:val="continue"/>
                  <w:shd w:val="clear" w:color="auto" w:fill="auto"/>
                  <w:noWrap w:val="0"/>
                  <w:vAlign w:val="center"/>
                </w:tcPr>
                <w:p w14:paraId="38F8F2B7">
                  <w:pPr>
                    <w:widowControl/>
                    <w:jc w:val="center"/>
                    <w:textAlignment w:val="center"/>
                    <w:rPr>
                      <w:rFonts w:hint="default" w:ascii="Times New Roman" w:hAnsi="Times New Roman" w:eastAsia="宋体" w:cs="Times New Roman"/>
                      <w:kern w:val="0"/>
                      <w:sz w:val="21"/>
                      <w:szCs w:val="21"/>
                      <w:lang w:val="en-US" w:eastAsia="zh-CN" w:bidi="ar"/>
                    </w:rPr>
                  </w:pPr>
                </w:p>
              </w:tc>
            </w:tr>
            <w:tr w14:paraId="794D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15B93ACA">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continue"/>
                  <w:noWrap w:val="0"/>
                  <w:vAlign w:val="center"/>
                </w:tcPr>
                <w:p w14:paraId="00253BA5">
                  <w:pPr>
                    <w:widowControl/>
                    <w:jc w:val="center"/>
                    <w:textAlignment w:val="center"/>
                    <w:rPr>
                      <w:rFonts w:hint="default" w:ascii="Times New Roman" w:hAnsi="Times New Roman" w:cs="Times New Roman"/>
                      <w:sz w:val="21"/>
                      <w:szCs w:val="21"/>
                      <w:lang w:val="en-US" w:eastAsia="zh-CN"/>
                    </w:rPr>
                  </w:pPr>
                </w:p>
              </w:tc>
              <w:tc>
                <w:tcPr>
                  <w:tcW w:w="1368" w:type="dxa"/>
                  <w:noWrap w:val="0"/>
                  <w:vAlign w:val="center"/>
                </w:tcPr>
                <w:p w14:paraId="7CFD97C0">
                  <w:pPr>
                    <w:widowControl/>
                    <w:jc w:val="center"/>
                    <w:textAlignment w:val="center"/>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废过滤棉</w:t>
                  </w:r>
                </w:p>
              </w:tc>
              <w:tc>
                <w:tcPr>
                  <w:tcW w:w="924" w:type="dxa"/>
                  <w:noWrap w:val="0"/>
                  <w:vAlign w:val="center"/>
                </w:tcPr>
                <w:p w14:paraId="27E53C65">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sz w:val="21"/>
                      <w:szCs w:val="21"/>
                    </w:rPr>
                    <w:t>HW49</w:t>
                  </w:r>
                </w:p>
              </w:tc>
              <w:tc>
                <w:tcPr>
                  <w:tcW w:w="1488" w:type="dxa"/>
                  <w:noWrap w:val="0"/>
                  <w:vAlign w:val="center"/>
                </w:tcPr>
                <w:p w14:paraId="5B470FC6">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900-041-49</w:t>
                  </w:r>
                </w:p>
              </w:tc>
              <w:tc>
                <w:tcPr>
                  <w:tcW w:w="1200" w:type="dxa"/>
                  <w:noWrap w:val="0"/>
                  <w:vAlign w:val="center"/>
                </w:tcPr>
                <w:p w14:paraId="38944F37">
                  <w:pPr>
                    <w:widowControl/>
                    <w:jc w:val="center"/>
                    <w:textAlignment w:val="center"/>
                    <w:rPr>
                      <w:rFonts w:hint="eastAsia" w:cs="Times New Roman"/>
                      <w:sz w:val="21"/>
                      <w:szCs w:val="21"/>
                      <w:lang w:val="en-US" w:eastAsia="zh-CN"/>
                    </w:rPr>
                  </w:pPr>
                  <w:r>
                    <w:rPr>
                      <w:rFonts w:hint="eastAsia" w:cs="Times New Roman"/>
                      <w:sz w:val="21"/>
                      <w:szCs w:val="21"/>
                      <w:lang w:val="en-US" w:eastAsia="zh-CN"/>
                    </w:rPr>
                    <w:t>有机物</w:t>
                  </w:r>
                </w:p>
              </w:tc>
              <w:tc>
                <w:tcPr>
                  <w:tcW w:w="900" w:type="dxa"/>
                  <w:noWrap w:val="0"/>
                  <w:vAlign w:val="center"/>
                </w:tcPr>
                <w:p w14:paraId="64E4181D">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kern w:val="0"/>
                      <w:sz w:val="21"/>
                      <w:szCs w:val="21"/>
                      <w:lang w:val="en-US" w:eastAsia="zh-CN" w:bidi="ar"/>
                    </w:rPr>
                    <w:t>固态</w:t>
                  </w:r>
                </w:p>
              </w:tc>
              <w:tc>
                <w:tcPr>
                  <w:tcW w:w="864" w:type="dxa"/>
                  <w:noWrap w:val="0"/>
                  <w:vAlign w:val="center"/>
                </w:tcPr>
                <w:p w14:paraId="15E3663B">
                  <w:pPr>
                    <w:widowControl/>
                    <w:jc w:val="center"/>
                    <w:textAlignment w:val="center"/>
                    <w:rPr>
                      <w:rFonts w:hint="eastAsia" w:cs="Times New Roman"/>
                      <w:kern w:val="0"/>
                      <w:sz w:val="21"/>
                      <w:szCs w:val="21"/>
                      <w:lang w:val="en-US" w:eastAsia="zh-CN" w:bidi="ar"/>
                    </w:rPr>
                  </w:pPr>
                  <w:r>
                    <w:rPr>
                      <w:rFonts w:hint="eastAsia"/>
                      <w:kern w:val="0"/>
                      <w:sz w:val="21"/>
                      <w:szCs w:val="21"/>
                      <w:lang w:bidi="ar"/>
                    </w:rPr>
                    <w:t>T/C/I/R</w:t>
                  </w:r>
                </w:p>
              </w:tc>
              <w:tc>
                <w:tcPr>
                  <w:tcW w:w="900" w:type="dxa"/>
                  <w:noWrap w:val="0"/>
                  <w:vAlign w:val="center"/>
                </w:tcPr>
                <w:p w14:paraId="1D6DD429">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1.4512</w:t>
                  </w:r>
                </w:p>
              </w:tc>
              <w:tc>
                <w:tcPr>
                  <w:tcW w:w="900" w:type="dxa"/>
                  <w:vMerge w:val="restart"/>
                  <w:noWrap w:val="0"/>
                  <w:vAlign w:val="center"/>
                </w:tcPr>
                <w:p w14:paraId="6CC060EE">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危废暂存间</w:t>
                  </w:r>
                </w:p>
              </w:tc>
              <w:tc>
                <w:tcPr>
                  <w:tcW w:w="1032" w:type="dxa"/>
                  <w:vMerge w:val="restart"/>
                  <w:noWrap w:val="0"/>
                  <w:vAlign w:val="center"/>
                </w:tcPr>
                <w:p w14:paraId="04AC9E81">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委托有资质单位处置</w:t>
                  </w:r>
                </w:p>
              </w:tc>
              <w:tc>
                <w:tcPr>
                  <w:tcW w:w="948" w:type="dxa"/>
                  <w:shd w:val="clear" w:color="auto" w:fill="auto"/>
                  <w:noWrap w:val="0"/>
                  <w:vAlign w:val="center"/>
                </w:tcPr>
                <w:p w14:paraId="39EC766A">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1.4512</w:t>
                  </w:r>
                </w:p>
              </w:tc>
              <w:tc>
                <w:tcPr>
                  <w:tcW w:w="1224" w:type="dxa"/>
                  <w:vMerge w:val="restart"/>
                  <w:shd w:val="clear" w:color="auto" w:fill="auto"/>
                  <w:noWrap w:val="0"/>
                  <w:vAlign w:val="center"/>
                </w:tcPr>
                <w:p w14:paraId="65E3D6B3">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执行《危险废物贮存污染控制标准》（GB18597</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2023）</w:t>
                  </w:r>
                </w:p>
              </w:tc>
            </w:tr>
            <w:tr w14:paraId="6A4A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367E90EE">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restart"/>
                  <w:noWrap w:val="0"/>
                  <w:vAlign w:val="center"/>
                </w:tcPr>
                <w:p w14:paraId="7F46AEE3">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原辅材料使用</w:t>
                  </w:r>
                </w:p>
              </w:tc>
              <w:tc>
                <w:tcPr>
                  <w:tcW w:w="1368" w:type="dxa"/>
                  <w:noWrap w:val="0"/>
                  <w:vAlign w:val="center"/>
                </w:tcPr>
                <w:p w14:paraId="3FF5CED4">
                  <w:pPr>
                    <w:widowControl/>
                    <w:jc w:val="center"/>
                    <w:textAlignment w:val="center"/>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漆渣</w:t>
                  </w:r>
                </w:p>
              </w:tc>
              <w:tc>
                <w:tcPr>
                  <w:tcW w:w="924" w:type="dxa"/>
                  <w:noWrap w:val="0"/>
                  <w:vAlign w:val="center"/>
                </w:tcPr>
                <w:p w14:paraId="654347E9">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sz w:val="21"/>
                      <w:szCs w:val="21"/>
                    </w:rPr>
                    <w:t>HW49</w:t>
                  </w:r>
                </w:p>
              </w:tc>
              <w:tc>
                <w:tcPr>
                  <w:tcW w:w="1488" w:type="dxa"/>
                  <w:noWrap w:val="0"/>
                  <w:vAlign w:val="center"/>
                </w:tcPr>
                <w:p w14:paraId="49D23DC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sz w:val="21"/>
                      <w:szCs w:val="21"/>
                    </w:rPr>
                    <w:t>900-047-49</w:t>
                  </w:r>
                </w:p>
              </w:tc>
              <w:tc>
                <w:tcPr>
                  <w:tcW w:w="1200" w:type="dxa"/>
                  <w:noWrap w:val="0"/>
                  <w:vAlign w:val="center"/>
                </w:tcPr>
                <w:p w14:paraId="74401662">
                  <w:pPr>
                    <w:widowControl/>
                    <w:jc w:val="center"/>
                    <w:textAlignment w:val="center"/>
                    <w:rPr>
                      <w:rFonts w:hint="eastAsia" w:cs="Times New Roman"/>
                      <w:sz w:val="21"/>
                      <w:szCs w:val="21"/>
                      <w:lang w:val="en-US" w:eastAsia="zh-CN"/>
                    </w:rPr>
                  </w:pPr>
                  <w:r>
                    <w:rPr>
                      <w:rFonts w:hint="eastAsia" w:cs="Times New Roman"/>
                      <w:sz w:val="21"/>
                      <w:szCs w:val="21"/>
                      <w:lang w:val="en-US" w:eastAsia="zh-CN"/>
                    </w:rPr>
                    <w:t>有机物</w:t>
                  </w:r>
                </w:p>
              </w:tc>
              <w:tc>
                <w:tcPr>
                  <w:tcW w:w="900" w:type="dxa"/>
                  <w:noWrap w:val="0"/>
                  <w:vAlign w:val="center"/>
                </w:tcPr>
                <w:p w14:paraId="2A5392BD">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kern w:val="0"/>
                      <w:sz w:val="21"/>
                      <w:szCs w:val="21"/>
                      <w:lang w:val="en-US" w:eastAsia="zh-CN" w:bidi="ar"/>
                    </w:rPr>
                    <w:t>固态</w:t>
                  </w:r>
                </w:p>
              </w:tc>
              <w:tc>
                <w:tcPr>
                  <w:tcW w:w="864" w:type="dxa"/>
                  <w:noWrap w:val="0"/>
                  <w:vAlign w:val="center"/>
                </w:tcPr>
                <w:p w14:paraId="25383171">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bidi="ar"/>
                    </w:rPr>
                    <w:t>T/C/I/R</w:t>
                  </w:r>
                </w:p>
              </w:tc>
              <w:tc>
                <w:tcPr>
                  <w:tcW w:w="900" w:type="dxa"/>
                  <w:noWrap w:val="0"/>
                  <w:vAlign w:val="center"/>
                </w:tcPr>
                <w:p w14:paraId="311398E9">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0.3628</w:t>
                  </w:r>
                </w:p>
              </w:tc>
              <w:tc>
                <w:tcPr>
                  <w:tcW w:w="900" w:type="dxa"/>
                  <w:vMerge w:val="continue"/>
                  <w:noWrap w:val="0"/>
                  <w:vAlign w:val="center"/>
                </w:tcPr>
                <w:p w14:paraId="1D7707A4">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3B6052F2">
                  <w:pPr>
                    <w:widowControl/>
                    <w:jc w:val="center"/>
                    <w:textAlignment w:val="center"/>
                    <w:rPr>
                      <w:rFonts w:hint="default" w:ascii="Times New Roman" w:hAnsi="Times New Roman" w:cs="Times New Roman"/>
                      <w:sz w:val="21"/>
                      <w:szCs w:val="21"/>
                      <w:lang w:val="en-US" w:eastAsia="zh-CN"/>
                    </w:rPr>
                  </w:pPr>
                </w:p>
              </w:tc>
              <w:tc>
                <w:tcPr>
                  <w:tcW w:w="948" w:type="dxa"/>
                  <w:shd w:val="clear" w:color="auto" w:fill="auto"/>
                  <w:noWrap w:val="0"/>
                  <w:vAlign w:val="center"/>
                </w:tcPr>
                <w:p w14:paraId="2F9F7065">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0.3628</w:t>
                  </w:r>
                </w:p>
              </w:tc>
              <w:tc>
                <w:tcPr>
                  <w:tcW w:w="1224" w:type="dxa"/>
                  <w:vMerge w:val="continue"/>
                  <w:shd w:val="clear" w:color="auto" w:fill="auto"/>
                  <w:noWrap w:val="0"/>
                  <w:vAlign w:val="center"/>
                </w:tcPr>
                <w:p w14:paraId="63D60EA3">
                  <w:pPr>
                    <w:widowControl/>
                    <w:jc w:val="center"/>
                    <w:textAlignment w:val="center"/>
                    <w:rPr>
                      <w:rFonts w:hint="default" w:ascii="Times New Roman" w:hAnsi="Times New Roman" w:eastAsia="宋体" w:cs="Times New Roman"/>
                      <w:kern w:val="0"/>
                      <w:sz w:val="21"/>
                      <w:szCs w:val="21"/>
                      <w:lang w:val="en-US" w:eastAsia="zh-CN" w:bidi="ar"/>
                    </w:rPr>
                  </w:pPr>
                </w:p>
              </w:tc>
            </w:tr>
            <w:tr w14:paraId="57F6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171B5CF4">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continue"/>
                  <w:noWrap w:val="0"/>
                  <w:vAlign w:val="center"/>
                </w:tcPr>
                <w:p w14:paraId="281FF611">
                  <w:pPr>
                    <w:widowControl/>
                    <w:jc w:val="center"/>
                    <w:textAlignment w:val="center"/>
                    <w:rPr>
                      <w:rFonts w:hint="default" w:ascii="Times New Roman" w:hAnsi="Times New Roman" w:cs="Times New Roman"/>
                      <w:sz w:val="21"/>
                      <w:szCs w:val="21"/>
                      <w:lang w:val="en-US" w:eastAsia="zh-CN"/>
                    </w:rPr>
                  </w:pPr>
                </w:p>
              </w:tc>
              <w:tc>
                <w:tcPr>
                  <w:tcW w:w="1368" w:type="dxa"/>
                  <w:noWrap w:val="0"/>
                  <w:vAlign w:val="center"/>
                </w:tcPr>
                <w:p w14:paraId="2F9CF2BC">
                  <w:pPr>
                    <w:widowControl/>
                    <w:jc w:val="center"/>
                    <w:textAlignment w:val="center"/>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废切削液</w:t>
                  </w:r>
                </w:p>
              </w:tc>
              <w:tc>
                <w:tcPr>
                  <w:tcW w:w="924" w:type="dxa"/>
                  <w:noWrap w:val="0"/>
                  <w:vAlign w:val="center"/>
                </w:tcPr>
                <w:p w14:paraId="385948FB">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sz w:val="21"/>
                      <w:szCs w:val="21"/>
                    </w:rPr>
                    <w:t>HW</w:t>
                  </w:r>
                  <w:r>
                    <w:rPr>
                      <w:rFonts w:hint="eastAsia" w:ascii="Times New Roman" w:hAnsi="Times New Roman" w:cs="Times New Roman"/>
                      <w:sz w:val="21"/>
                      <w:szCs w:val="21"/>
                      <w:lang w:val="en-US" w:eastAsia="zh-CN"/>
                    </w:rPr>
                    <w:t>0</w:t>
                  </w:r>
                  <w:r>
                    <w:rPr>
                      <w:rFonts w:hint="default" w:ascii="Times New Roman" w:hAnsi="Times New Roman" w:cs="Times New Roman"/>
                      <w:sz w:val="21"/>
                      <w:szCs w:val="21"/>
                    </w:rPr>
                    <w:t>9</w:t>
                  </w:r>
                </w:p>
              </w:tc>
              <w:tc>
                <w:tcPr>
                  <w:tcW w:w="1488" w:type="dxa"/>
                  <w:noWrap w:val="0"/>
                  <w:vAlign w:val="center"/>
                </w:tcPr>
                <w:p w14:paraId="7C3FC86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000000"/>
                      <w:kern w:val="0"/>
                      <w:sz w:val="21"/>
                      <w:szCs w:val="21"/>
                      <w:lang w:val="en-US" w:eastAsia="zh-CN"/>
                    </w:rPr>
                    <w:t>900-006-09</w:t>
                  </w:r>
                </w:p>
              </w:tc>
              <w:tc>
                <w:tcPr>
                  <w:tcW w:w="1200" w:type="dxa"/>
                  <w:noWrap w:val="0"/>
                  <w:vAlign w:val="center"/>
                </w:tcPr>
                <w:p w14:paraId="1A0EAC63">
                  <w:pPr>
                    <w:widowControl/>
                    <w:jc w:val="center"/>
                    <w:textAlignment w:val="center"/>
                    <w:rPr>
                      <w:rFonts w:hint="eastAsia" w:cs="Times New Roman"/>
                      <w:sz w:val="21"/>
                      <w:szCs w:val="21"/>
                      <w:lang w:val="en-US" w:eastAsia="zh-CN"/>
                    </w:rPr>
                  </w:pPr>
                  <w:r>
                    <w:rPr>
                      <w:rFonts w:hint="eastAsia" w:cs="Times New Roman"/>
                      <w:sz w:val="21"/>
                      <w:szCs w:val="21"/>
                      <w:lang w:val="en-US" w:eastAsia="zh-CN"/>
                    </w:rPr>
                    <w:t>有机物</w:t>
                  </w:r>
                </w:p>
              </w:tc>
              <w:tc>
                <w:tcPr>
                  <w:tcW w:w="900" w:type="dxa"/>
                  <w:noWrap w:val="0"/>
                  <w:vAlign w:val="center"/>
                </w:tcPr>
                <w:p w14:paraId="1D981BC8">
                  <w:pPr>
                    <w:widowControl/>
                    <w:jc w:val="center"/>
                    <w:textAlignment w:val="center"/>
                    <w:rPr>
                      <w:rFonts w:hint="default" w:ascii="Times New Roman" w:hAnsi="Times New Roman" w:cs="Times New Roman"/>
                      <w:kern w:val="0"/>
                      <w:sz w:val="21"/>
                      <w:szCs w:val="21"/>
                      <w:lang w:val="en-US" w:eastAsia="zh-CN" w:bidi="ar"/>
                    </w:rPr>
                  </w:pPr>
                  <w:r>
                    <w:rPr>
                      <w:rFonts w:hint="eastAsia" w:cs="Times New Roman"/>
                      <w:kern w:val="0"/>
                      <w:sz w:val="21"/>
                      <w:szCs w:val="21"/>
                      <w:lang w:val="en-US" w:eastAsia="zh-CN" w:bidi="ar"/>
                    </w:rPr>
                    <w:t>液态</w:t>
                  </w:r>
                </w:p>
              </w:tc>
              <w:tc>
                <w:tcPr>
                  <w:tcW w:w="864" w:type="dxa"/>
                  <w:noWrap w:val="0"/>
                  <w:vAlign w:val="center"/>
                </w:tcPr>
                <w:p w14:paraId="72D2B095">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T/I</w:t>
                  </w:r>
                </w:p>
              </w:tc>
              <w:tc>
                <w:tcPr>
                  <w:tcW w:w="900" w:type="dxa"/>
                  <w:noWrap w:val="0"/>
                  <w:vAlign w:val="center"/>
                </w:tcPr>
                <w:p w14:paraId="628F868F">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0.2</w:t>
                  </w:r>
                </w:p>
              </w:tc>
              <w:tc>
                <w:tcPr>
                  <w:tcW w:w="900" w:type="dxa"/>
                  <w:vMerge w:val="continue"/>
                  <w:noWrap w:val="0"/>
                  <w:vAlign w:val="center"/>
                </w:tcPr>
                <w:p w14:paraId="6E487D8B">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131AAF41">
                  <w:pPr>
                    <w:widowControl/>
                    <w:jc w:val="center"/>
                    <w:textAlignment w:val="center"/>
                    <w:rPr>
                      <w:rFonts w:hint="default" w:ascii="Times New Roman" w:hAnsi="Times New Roman" w:cs="Times New Roman"/>
                      <w:sz w:val="21"/>
                      <w:szCs w:val="21"/>
                      <w:lang w:val="en-US" w:eastAsia="zh-CN"/>
                    </w:rPr>
                  </w:pPr>
                </w:p>
              </w:tc>
              <w:tc>
                <w:tcPr>
                  <w:tcW w:w="948" w:type="dxa"/>
                  <w:shd w:val="clear" w:color="auto" w:fill="auto"/>
                  <w:noWrap w:val="0"/>
                  <w:vAlign w:val="center"/>
                </w:tcPr>
                <w:p w14:paraId="23ED242E">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0.2</w:t>
                  </w:r>
                </w:p>
              </w:tc>
              <w:tc>
                <w:tcPr>
                  <w:tcW w:w="1224" w:type="dxa"/>
                  <w:vMerge w:val="continue"/>
                  <w:shd w:val="clear" w:color="auto" w:fill="auto"/>
                  <w:noWrap w:val="0"/>
                  <w:vAlign w:val="center"/>
                </w:tcPr>
                <w:p w14:paraId="6B521343">
                  <w:pPr>
                    <w:widowControl/>
                    <w:jc w:val="center"/>
                    <w:textAlignment w:val="center"/>
                    <w:rPr>
                      <w:rFonts w:hint="default" w:ascii="Times New Roman" w:hAnsi="Times New Roman" w:eastAsia="宋体" w:cs="Times New Roman"/>
                      <w:kern w:val="0"/>
                      <w:sz w:val="21"/>
                      <w:szCs w:val="21"/>
                      <w:lang w:val="en-US" w:eastAsia="zh-CN" w:bidi="ar"/>
                    </w:rPr>
                  </w:pPr>
                </w:p>
              </w:tc>
            </w:tr>
            <w:tr w14:paraId="126A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36054DBA">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continue"/>
                  <w:noWrap w:val="0"/>
                  <w:vAlign w:val="center"/>
                </w:tcPr>
                <w:p w14:paraId="4DA4F2D4">
                  <w:pPr>
                    <w:widowControl/>
                    <w:jc w:val="center"/>
                    <w:textAlignment w:val="center"/>
                    <w:rPr>
                      <w:rFonts w:hint="default" w:ascii="Times New Roman" w:hAnsi="Times New Roman" w:cs="Times New Roman"/>
                      <w:sz w:val="21"/>
                      <w:szCs w:val="21"/>
                      <w:lang w:val="en-US" w:eastAsia="zh-CN"/>
                    </w:rPr>
                  </w:pPr>
                </w:p>
              </w:tc>
              <w:tc>
                <w:tcPr>
                  <w:tcW w:w="1368" w:type="dxa"/>
                  <w:noWrap w:val="0"/>
                  <w:vAlign w:val="center"/>
                </w:tcPr>
                <w:p w14:paraId="0587C023">
                  <w:pPr>
                    <w:widowControl/>
                    <w:jc w:val="center"/>
                    <w:textAlignment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废漆桶</w:t>
                  </w:r>
                </w:p>
              </w:tc>
              <w:tc>
                <w:tcPr>
                  <w:tcW w:w="924" w:type="dxa"/>
                  <w:noWrap w:val="0"/>
                  <w:vAlign w:val="center"/>
                </w:tcPr>
                <w:p w14:paraId="7AE4702C">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HW49</w:t>
                  </w:r>
                </w:p>
              </w:tc>
              <w:tc>
                <w:tcPr>
                  <w:tcW w:w="1488" w:type="dxa"/>
                  <w:noWrap w:val="0"/>
                  <w:vAlign w:val="center"/>
                </w:tcPr>
                <w:p w14:paraId="78061906">
                  <w:pPr>
                    <w:widowControl/>
                    <w:jc w:val="center"/>
                    <w:textAlignment w:val="center"/>
                    <w:rPr>
                      <w:rFonts w:hint="default" w:ascii="Times New Roman" w:hAnsi="Times New Roman" w:cs="Times New Roman"/>
                      <w:kern w:val="0"/>
                      <w:sz w:val="21"/>
                      <w:szCs w:val="21"/>
                      <w:lang w:val="en-US" w:eastAsia="zh-CN" w:bidi="ar"/>
                    </w:rPr>
                  </w:pPr>
                  <w:r>
                    <w:rPr>
                      <w:rFonts w:hint="default" w:ascii="Times New Roman" w:hAnsi="Times New Roman" w:cs="Times New Roman"/>
                      <w:sz w:val="21"/>
                      <w:szCs w:val="21"/>
                      <w:shd w:val="clear" w:color="auto" w:fill="FFFFFF"/>
                    </w:rPr>
                    <w:t>900-041-49</w:t>
                  </w:r>
                </w:p>
              </w:tc>
              <w:tc>
                <w:tcPr>
                  <w:tcW w:w="1200" w:type="dxa"/>
                  <w:noWrap w:val="0"/>
                  <w:vAlign w:val="center"/>
                </w:tcPr>
                <w:p w14:paraId="604A370B">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有机物</w:t>
                  </w:r>
                </w:p>
              </w:tc>
              <w:tc>
                <w:tcPr>
                  <w:tcW w:w="900" w:type="dxa"/>
                  <w:noWrap w:val="0"/>
                  <w:vAlign w:val="center"/>
                </w:tcPr>
                <w:p w14:paraId="2FD1D5B6">
                  <w:pPr>
                    <w:widowControl/>
                    <w:jc w:val="center"/>
                    <w:textAlignment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val="en-US" w:eastAsia="zh-CN" w:bidi="ar"/>
                    </w:rPr>
                    <w:t>固态</w:t>
                  </w:r>
                </w:p>
              </w:tc>
              <w:tc>
                <w:tcPr>
                  <w:tcW w:w="864" w:type="dxa"/>
                  <w:noWrap w:val="0"/>
                  <w:vAlign w:val="center"/>
                </w:tcPr>
                <w:p w14:paraId="7DA71A53">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T/C/I/R</w:t>
                  </w:r>
                </w:p>
              </w:tc>
              <w:tc>
                <w:tcPr>
                  <w:tcW w:w="900" w:type="dxa"/>
                  <w:noWrap w:val="0"/>
                  <w:vAlign w:val="center"/>
                </w:tcPr>
                <w:p w14:paraId="58D68F5A">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r>
                    <w:rPr>
                      <w:rFonts w:hint="eastAsia" w:cs="Times New Roman"/>
                      <w:sz w:val="21"/>
                      <w:szCs w:val="21"/>
                      <w:lang w:val="en-US" w:eastAsia="zh-CN"/>
                    </w:rPr>
                    <w:t>125</w:t>
                  </w:r>
                </w:p>
              </w:tc>
              <w:tc>
                <w:tcPr>
                  <w:tcW w:w="900" w:type="dxa"/>
                  <w:vMerge w:val="continue"/>
                  <w:noWrap w:val="0"/>
                  <w:vAlign w:val="center"/>
                </w:tcPr>
                <w:p w14:paraId="4D527D93">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06A62128">
                  <w:pPr>
                    <w:widowControl/>
                    <w:jc w:val="center"/>
                    <w:textAlignment w:val="center"/>
                    <w:rPr>
                      <w:rFonts w:hint="default" w:ascii="Times New Roman" w:hAnsi="Times New Roman" w:cs="Times New Roman"/>
                      <w:sz w:val="21"/>
                      <w:szCs w:val="21"/>
                      <w:lang w:val="en-US" w:eastAsia="zh-CN"/>
                    </w:rPr>
                  </w:pPr>
                </w:p>
              </w:tc>
              <w:tc>
                <w:tcPr>
                  <w:tcW w:w="948" w:type="dxa"/>
                  <w:shd w:val="clear" w:color="auto" w:fill="auto"/>
                  <w:noWrap w:val="0"/>
                  <w:vAlign w:val="center"/>
                </w:tcPr>
                <w:p w14:paraId="19B6BB62">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r>
                    <w:rPr>
                      <w:rFonts w:hint="eastAsia" w:cs="Times New Roman"/>
                      <w:sz w:val="21"/>
                      <w:szCs w:val="21"/>
                      <w:lang w:val="en-US" w:eastAsia="zh-CN"/>
                    </w:rPr>
                    <w:t>125</w:t>
                  </w:r>
                </w:p>
              </w:tc>
              <w:tc>
                <w:tcPr>
                  <w:tcW w:w="1224" w:type="dxa"/>
                  <w:vMerge w:val="continue"/>
                  <w:shd w:val="clear" w:color="auto" w:fill="auto"/>
                  <w:noWrap w:val="0"/>
                  <w:vAlign w:val="center"/>
                </w:tcPr>
                <w:p w14:paraId="175C7393">
                  <w:pPr>
                    <w:widowControl/>
                    <w:jc w:val="center"/>
                    <w:textAlignment w:val="center"/>
                    <w:rPr>
                      <w:rFonts w:hint="default" w:ascii="Times New Roman" w:hAnsi="Times New Roman" w:eastAsia="宋体" w:cs="Times New Roman"/>
                      <w:kern w:val="0"/>
                      <w:sz w:val="21"/>
                      <w:szCs w:val="21"/>
                      <w:lang w:val="en-US" w:eastAsia="zh-CN" w:bidi="ar"/>
                    </w:rPr>
                  </w:pPr>
                </w:p>
              </w:tc>
            </w:tr>
            <w:tr w14:paraId="5BAC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76668895">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continue"/>
                  <w:noWrap w:val="0"/>
                  <w:vAlign w:val="center"/>
                </w:tcPr>
                <w:p w14:paraId="6C48922D">
                  <w:pPr>
                    <w:widowControl/>
                    <w:jc w:val="center"/>
                    <w:textAlignment w:val="center"/>
                    <w:rPr>
                      <w:rFonts w:hint="default" w:ascii="Times New Roman" w:hAnsi="Times New Roman" w:cs="Times New Roman"/>
                      <w:sz w:val="21"/>
                      <w:szCs w:val="21"/>
                      <w:lang w:val="en-US" w:eastAsia="zh-CN"/>
                    </w:rPr>
                  </w:pPr>
                </w:p>
              </w:tc>
              <w:tc>
                <w:tcPr>
                  <w:tcW w:w="1368" w:type="dxa"/>
                  <w:noWrap w:val="0"/>
                  <w:vAlign w:val="center"/>
                </w:tcPr>
                <w:p w14:paraId="5AAB1C02">
                  <w:pPr>
                    <w:widowControl/>
                    <w:jc w:val="center"/>
                    <w:textAlignment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废</w:t>
                  </w:r>
                  <w:r>
                    <w:rPr>
                      <w:rFonts w:hint="eastAsia" w:cs="Times New Roman"/>
                      <w:b w:val="0"/>
                      <w:bCs w:val="0"/>
                      <w:sz w:val="21"/>
                      <w:szCs w:val="21"/>
                      <w:lang w:val="en-US" w:eastAsia="zh-CN"/>
                    </w:rPr>
                    <w:t>封装料桶</w:t>
                  </w:r>
                </w:p>
              </w:tc>
              <w:tc>
                <w:tcPr>
                  <w:tcW w:w="924" w:type="dxa"/>
                  <w:shd w:val="clear" w:color="auto" w:fill="auto"/>
                  <w:noWrap w:val="0"/>
                  <w:vAlign w:val="center"/>
                </w:tcPr>
                <w:p w14:paraId="06D79D8B">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HW49</w:t>
                  </w:r>
                </w:p>
              </w:tc>
              <w:tc>
                <w:tcPr>
                  <w:tcW w:w="1488" w:type="dxa"/>
                  <w:shd w:val="clear" w:color="auto" w:fill="auto"/>
                  <w:noWrap w:val="0"/>
                  <w:vAlign w:val="center"/>
                </w:tcPr>
                <w:p w14:paraId="12AA7B5C">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sz w:val="21"/>
                      <w:szCs w:val="21"/>
                      <w:shd w:val="clear" w:color="auto" w:fill="FFFFFF"/>
                    </w:rPr>
                    <w:t>900-041-49</w:t>
                  </w:r>
                </w:p>
              </w:tc>
              <w:tc>
                <w:tcPr>
                  <w:tcW w:w="1200" w:type="dxa"/>
                  <w:shd w:val="clear" w:color="auto" w:fill="auto"/>
                  <w:noWrap w:val="0"/>
                  <w:vAlign w:val="center"/>
                </w:tcPr>
                <w:p w14:paraId="7F0312DC">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有机物</w:t>
                  </w:r>
                </w:p>
              </w:tc>
              <w:tc>
                <w:tcPr>
                  <w:tcW w:w="900" w:type="dxa"/>
                  <w:shd w:val="clear" w:color="auto" w:fill="auto"/>
                  <w:noWrap w:val="0"/>
                  <w:vAlign w:val="center"/>
                </w:tcPr>
                <w:p w14:paraId="634D3235">
                  <w:pPr>
                    <w:widowControl/>
                    <w:jc w:val="center"/>
                    <w:textAlignment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eastAsiaTheme="minorEastAsia"/>
                      <w:kern w:val="0"/>
                      <w:sz w:val="21"/>
                      <w:szCs w:val="21"/>
                      <w:lang w:val="en-US" w:eastAsia="zh-CN" w:bidi="ar"/>
                    </w:rPr>
                    <w:t>固态</w:t>
                  </w:r>
                </w:p>
              </w:tc>
              <w:tc>
                <w:tcPr>
                  <w:tcW w:w="864" w:type="dxa"/>
                  <w:noWrap w:val="0"/>
                  <w:vAlign w:val="center"/>
                </w:tcPr>
                <w:p w14:paraId="6D8754C7">
                  <w:pPr>
                    <w:widowControl/>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T/C/I/R</w:t>
                  </w:r>
                </w:p>
              </w:tc>
              <w:tc>
                <w:tcPr>
                  <w:tcW w:w="900" w:type="dxa"/>
                  <w:noWrap w:val="0"/>
                  <w:vAlign w:val="center"/>
                </w:tcPr>
                <w:p w14:paraId="0757DA8E">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0.0974</w:t>
                  </w:r>
                </w:p>
              </w:tc>
              <w:tc>
                <w:tcPr>
                  <w:tcW w:w="900" w:type="dxa"/>
                  <w:vMerge w:val="continue"/>
                  <w:noWrap w:val="0"/>
                  <w:vAlign w:val="center"/>
                </w:tcPr>
                <w:p w14:paraId="5346C511">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13387FC7">
                  <w:pPr>
                    <w:widowControl/>
                    <w:jc w:val="center"/>
                    <w:textAlignment w:val="center"/>
                    <w:rPr>
                      <w:rFonts w:hint="default" w:ascii="Times New Roman" w:hAnsi="Times New Roman" w:cs="Times New Roman"/>
                      <w:sz w:val="21"/>
                      <w:szCs w:val="21"/>
                      <w:lang w:val="en-US" w:eastAsia="zh-CN"/>
                    </w:rPr>
                  </w:pPr>
                </w:p>
              </w:tc>
              <w:tc>
                <w:tcPr>
                  <w:tcW w:w="948" w:type="dxa"/>
                  <w:shd w:val="clear" w:color="auto" w:fill="auto"/>
                  <w:noWrap w:val="0"/>
                  <w:vAlign w:val="center"/>
                </w:tcPr>
                <w:p w14:paraId="3D2A0A37">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0.0974</w:t>
                  </w:r>
                </w:p>
              </w:tc>
              <w:tc>
                <w:tcPr>
                  <w:tcW w:w="1224" w:type="dxa"/>
                  <w:vMerge w:val="continue"/>
                  <w:shd w:val="clear" w:color="auto" w:fill="auto"/>
                  <w:noWrap w:val="0"/>
                  <w:vAlign w:val="center"/>
                </w:tcPr>
                <w:p w14:paraId="1093FA28">
                  <w:pPr>
                    <w:widowControl/>
                    <w:jc w:val="center"/>
                    <w:textAlignment w:val="center"/>
                    <w:rPr>
                      <w:rFonts w:hint="default" w:ascii="Times New Roman" w:hAnsi="Times New Roman" w:eastAsia="宋体" w:cs="Times New Roman"/>
                      <w:kern w:val="0"/>
                      <w:sz w:val="21"/>
                      <w:szCs w:val="21"/>
                      <w:lang w:val="en-US" w:eastAsia="zh-CN" w:bidi="ar"/>
                    </w:rPr>
                  </w:pPr>
                </w:p>
              </w:tc>
            </w:tr>
            <w:tr w14:paraId="1844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0E2FC7E0">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continue"/>
                  <w:noWrap w:val="0"/>
                  <w:vAlign w:val="center"/>
                </w:tcPr>
                <w:p w14:paraId="7C99D0EC">
                  <w:pPr>
                    <w:widowControl/>
                    <w:jc w:val="center"/>
                    <w:textAlignment w:val="center"/>
                    <w:rPr>
                      <w:rFonts w:hint="default" w:ascii="Times New Roman" w:hAnsi="Times New Roman" w:cs="Times New Roman"/>
                      <w:sz w:val="21"/>
                      <w:szCs w:val="21"/>
                      <w:lang w:val="en-US" w:eastAsia="zh-CN"/>
                    </w:rPr>
                  </w:pPr>
                </w:p>
              </w:tc>
              <w:tc>
                <w:tcPr>
                  <w:tcW w:w="1368" w:type="dxa"/>
                  <w:noWrap w:val="0"/>
                  <w:vAlign w:val="center"/>
                </w:tcPr>
                <w:p w14:paraId="23A1830F">
                  <w:pPr>
                    <w:widowControl/>
                    <w:jc w:val="center"/>
                    <w:textAlignment w:val="center"/>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废液压油</w:t>
                  </w:r>
                </w:p>
              </w:tc>
              <w:tc>
                <w:tcPr>
                  <w:tcW w:w="924" w:type="dxa"/>
                  <w:noWrap w:val="0"/>
                  <w:vAlign w:val="center"/>
                </w:tcPr>
                <w:p w14:paraId="7DD9439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w:t>
                  </w:r>
                </w:p>
              </w:tc>
              <w:tc>
                <w:tcPr>
                  <w:tcW w:w="1488" w:type="dxa"/>
                  <w:noWrap w:val="0"/>
                  <w:vAlign w:val="center"/>
                </w:tcPr>
                <w:p w14:paraId="6475C756">
                  <w:pPr>
                    <w:widowControl/>
                    <w:jc w:val="center"/>
                    <w:textAlignment w:val="center"/>
                    <w:rPr>
                      <w:rFonts w:hint="default" w:ascii="Times New Roman" w:hAnsi="Times New Roman" w:cs="Times New Roman"/>
                      <w:sz w:val="21"/>
                      <w:szCs w:val="21"/>
                      <w:shd w:val="clear" w:color="auto" w:fill="FFFFFF"/>
                    </w:rPr>
                  </w:pPr>
                  <w:r>
                    <w:rPr>
                      <w:rFonts w:hint="eastAsia" w:ascii="Times New Roman" w:hAnsi="Times New Roman" w:eastAsia="宋体" w:cs="Times New Roman"/>
                      <w:color w:val="000000"/>
                      <w:kern w:val="2"/>
                      <w:sz w:val="21"/>
                      <w:szCs w:val="21"/>
                      <w:highlight w:val="none"/>
                      <w:lang w:val="en-US" w:eastAsia="zh-CN"/>
                    </w:rPr>
                    <w:t>900-249-08</w:t>
                  </w:r>
                </w:p>
              </w:tc>
              <w:tc>
                <w:tcPr>
                  <w:tcW w:w="1200" w:type="dxa"/>
                  <w:shd w:val="clear" w:color="auto" w:fill="auto"/>
                  <w:noWrap w:val="0"/>
                  <w:vAlign w:val="center"/>
                </w:tcPr>
                <w:p w14:paraId="0BC7B314">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矿物油</w:t>
                  </w:r>
                </w:p>
              </w:tc>
              <w:tc>
                <w:tcPr>
                  <w:tcW w:w="900" w:type="dxa"/>
                  <w:shd w:val="clear" w:color="auto" w:fill="auto"/>
                  <w:noWrap w:val="0"/>
                  <w:vAlign w:val="center"/>
                </w:tcPr>
                <w:p w14:paraId="5ECFDAB9">
                  <w:pPr>
                    <w:widowControl/>
                    <w:jc w:val="center"/>
                    <w:textAlignment w:val="center"/>
                    <w:rPr>
                      <w:rFonts w:hint="default" w:ascii="Times New Roman" w:hAnsi="Times New Roman" w:cs="Times New Roman" w:eastAsiaTheme="minorEastAsia"/>
                      <w:kern w:val="0"/>
                      <w:sz w:val="21"/>
                      <w:szCs w:val="21"/>
                      <w:lang w:val="en-US" w:eastAsia="zh-CN" w:bidi="ar"/>
                    </w:rPr>
                  </w:pPr>
                  <w:r>
                    <w:rPr>
                      <w:rFonts w:hint="eastAsia" w:cs="Times New Roman"/>
                      <w:kern w:val="0"/>
                      <w:sz w:val="21"/>
                      <w:szCs w:val="21"/>
                      <w:lang w:val="en-US" w:eastAsia="zh-CN" w:bidi="ar"/>
                    </w:rPr>
                    <w:t>液态</w:t>
                  </w:r>
                </w:p>
              </w:tc>
              <w:tc>
                <w:tcPr>
                  <w:tcW w:w="864" w:type="dxa"/>
                  <w:shd w:val="clear" w:color="auto" w:fill="auto"/>
                  <w:noWrap w:val="0"/>
                  <w:vAlign w:val="center"/>
                </w:tcPr>
                <w:p w14:paraId="49FA3F30">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T/I</w:t>
                  </w:r>
                </w:p>
              </w:tc>
              <w:tc>
                <w:tcPr>
                  <w:tcW w:w="900" w:type="dxa"/>
                  <w:noWrap w:val="0"/>
                  <w:vAlign w:val="center"/>
                </w:tcPr>
                <w:p w14:paraId="2C9D9833">
                  <w:pPr>
                    <w:widowControl/>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900" w:type="dxa"/>
                  <w:vMerge w:val="continue"/>
                  <w:noWrap w:val="0"/>
                  <w:vAlign w:val="center"/>
                </w:tcPr>
                <w:p w14:paraId="513E9DAE">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1EF7251C">
                  <w:pPr>
                    <w:widowControl/>
                    <w:jc w:val="center"/>
                    <w:textAlignment w:val="center"/>
                    <w:rPr>
                      <w:rFonts w:hint="default" w:ascii="Times New Roman" w:hAnsi="Times New Roman" w:cs="Times New Roman"/>
                      <w:sz w:val="21"/>
                      <w:szCs w:val="21"/>
                      <w:lang w:val="en-US" w:eastAsia="zh-CN"/>
                    </w:rPr>
                  </w:pPr>
                </w:p>
              </w:tc>
              <w:tc>
                <w:tcPr>
                  <w:tcW w:w="948" w:type="dxa"/>
                  <w:shd w:val="clear" w:color="auto" w:fill="auto"/>
                  <w:noWrap w:val="0"/>
                  <w:vAlign w:val="center"/>
                </w:tcPr>
                <w:p w14:paraId="32C8A546">
                  <w:pPr>
                    <w:widowControl/>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224" w:type="dxa"/>
                  <w:vMerge w:val="continue"/>
                  <w:shd w:val="clear" w:color="auto" w:fill="auto"/>
                  <w:noWrap w:val="0"/>
                  <w:vAlign w:val="center"/>
                </w:tcPr>
                <w:p w14:paraId="0DCCB458">
                  <w:pPr>
                    <w:widowControl/>
                    <w:jc w:val="center"/>
                    <w:textAlignment w:val="center"/>
                    <w:rPr>
                      <w:rFonts w:hint="default" w:ascii="Times New Roman" w:hAnsi="Times New Roman" w:eastAsia="宋体" w:cs="Times New Roman"/>
                      <w:kern w:val="0"/>
                      <w:sz w:val="21"/>
                      <w:szCs w:val="21"/>
                      <w:lang w:val="en-US" w:eastAsia="zh-CN" w:bidi="ar"/>
                    </w:rPr>
                  </w:pPr>
                </w:p>
              </w:tc>
            </w:tr>
            <w:tr w14:paraId="6435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359EE719">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vMerge w:val="continue"/>
                  <w:noWrap w:val="0"/>
                  <w:vAlign w:val="center"/>
                </w:tcPr>
                <w:p w14:paraId="5B0E4BCD">
                  <w:pPr>
                    <w:widowControl/>
                    <w:jc w:val="center"/>
                    <w:textAlignment w:val="center"/>
                    <w:rPr>
                      <w:rFonts w:hint="default" w:ascii="Times New Roman" w:hAnsi="Times New Roman" w:cs="Times New Roman"/>
                      <w:sz w:val="21"/>
                      <w:szCs w:val="21"/>
                      <w:lang w:val="en-US" w:eastAsia="zh-CN"/>
                    </w:rPr>
                  </w:pPr>
                </w:p>
              </w:tc>
              <w:tc>
                <w:tcPr>
                  <w:tcW w:w="1368" w:type="dxa"/>
                  <w:noWrap w:val="0"/>
                  <w:vAlign w:val="center"/>
                </w:tcPr>
                <w:p w14:paraId="7D8F5414">
                  <w:pPr>
                    <w:widowControl/>
                    <w:jc w:val="center"/>
                    <w:textAlignment w:val="center"/>
                    <w:rPr>
                      <w:rFonts w:hint="eastAsia" w:cs="Times New Roman"/>
                      <w:b w:val="0"/>
                      <w:bCs w:val="0"/>
                      <w:sz w:val="21"/>
                      <w:szCs w:val="21"/>
                      <w:lang w:val="en-US" w:eastAsia="zh-CN"/>
                    </w:rPr>
                  </w:pPr>
                  <w:r>
                    <w:rPr>
                      <w:rFonts w:hint="eastAsia" w:cs="Times New Roman"/>
                      <w:b w:val="0"/>
                      <w:bCs w:val="0"/>
                      <w:sz w:val="21"/>
                      <w:szCs w:val="21"/>
                      <w:lang w:val="en-US" w:eastAsia="zh-CN"/>
                    </w:rPr>
                    <w:t>废液压油桶</w:t>
                  </w:r>
                </w:p>
              </w:tc>
              <w:tc>
                <w:tcPr>
                  <w:tcW w:w="924" w:type="dxa"/>
                  <w:shd w:val="clear" w:color="auto" w:fill="auto"/>
                  <w:noWrap w:val="0"/>
                  <w:vAlign w:val="center"/>
                </w:tcPr>
                <w:p w14:paraId="49F993AD">
                  <w:pPr>
                    <w:widowControl/>
                    <w:jc w:val="center"/>
                    <w:textAlignment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HW49</w:t>
                  </w:r>
                </w:p>
              </w:tc>
              <w:tc>
                <w:tcPr>
                  <w:tcW w:w="1488" w:type="dxa"/>
                  <w:shd w:val="clear" w:color="auto" w:fill="auto"/>
                  <w:noWrap w:val="0"/>
                  <w:vAlign w:val="center"/>
                </w:tcPr>
                <w:p w14:paraId="299DB930">
                  <w:pPr>
                    <w:widowControl/>
                    <w:jc w:val="center"/>
                    <w:textAlignment w:val="center"/>
                    <w:rPr>
                      <w:rFonts w:hint="eastAsia" w:ascii="Times New Roman" w:hAnsi="Times New Roman" w:eastAsia="宋体" w:cs="Times New Roman"/>
                      <w:kern w:val="0"/>
                      <w:sz w:val="21"/>
                      <w:szCs w:val="21"/>
                      <w:highlight w:val="none"/>
                      <w:lang w:val="en-US" w:eastAsia="zh-CN" w:bidi="ar"/>
                    </w:rPr>
                  </w:pPr>
                  <w:r>
                    <w:rPr>
                      <w:rFonts w:hint="default" w:ascii="Times New Roman" w:hAnsi="Times New Roman" w:cs="Times New Roman"/>
                      <w:sz w:val="21"/>
                      <w:szCs w:val="21"/>
                      <w:highlight w:val="none"/>
                      <w:shd w:val="clear" w:color="auto" w:fill="FFFFFF"/>
                    </w:rPr>
                    <w:t>900-041-49</w:t>
                  </w:r>
                </w:p>
              </w:tc>
              <w:tc>
                <w:tcPr>
                  <w:tcW w:w="1200" w:type="dxa"/>
                  <w:shd w:val="clear" w:color="auto" w:fill="auto"/>
                  <w:noWrap w:val="0"/>
                  <w:vAlign w:val="center"/>
                </w:tcPr>
                <w:p w14:paraId="511DC5F5">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lang w:val="en-US" w:eastAsia="zh-CN" w:bidi="ar-SA"/>
                    </w:rPr>
                    <w:t>矿物油</w:t>
                  </w:r>
                </w:p>
              </w:tc>
              <w:tc>
                <w:tcPr>
                  <w:tcW w:w="900" w:type="dxa"/>
                  <w:shd w:val="clear" w:color="auto" w:fill="auto"/>
                  <w:noWrap w:val="0"/>
                  <w:vAlign w:val="center"/>
                </w:tcPr>
                <w:p w14:paraId="6B81F2F4">
                  <w:pPr>
                    <w:widowControl/>
                    <w:jc w:val="center"/>
                    <w:textAlignment w:val="center"/>
                    <w:rPr>
                      <w:rFonts w:hint="eastAsia" w:ascii="Times New Roman" w:hAnsi="Times New Roman" w:cs="Times New Roman" w:eastAsiaTheme="minorEastAsia"/>
                      <w:kern w:val="0"/>
                      <w:sz w:val="21"/>
                      <w:szCs w:val="21"/>
                      <w:highlight w:val="none"/>
                      <w:lang w:val="en-US" w:eastAsia="zh-CN" w:bidi="ar"/>
                    </w:rPr>
                  </w:pPr>
                  <w:r>
                    <w:rPr>
                      <w:rFonts w:hint="default" w:ascii="Times New Roman" w:hAnsi="Times New Roman" w:cs="Times New Roman" w:eastAsiaTheme="minorEastAsia"/>
                      <w:kern w:val="0"/>
                      <w:sz w:val="21"/>
                      <w:szCs w:val="21"/>
                      <w:highlight w:val="none"/>
                      <w:lang w:val="en-US" w:eastAsia="zh-CN" w:bidi="ar"/>
                    </w:rPr>
                    <w:t>固态</w:t>
                  </w:r>
                </w:p>
              </w:tc>
              <w:tc>
                <w:tcPr>
                  <w:tcW w:w="864" w:type="dxa"/>
                  <w:shd w:val="clear" w:color="auto" w:fill="auto"/>
                  <w:noWrap w:val="0"/>
                  <w:vAlign w:val="center"/>
                </w:tcPr>
                <w:p w14:paraId="13132245">
                  <w:pPr>
                    <w:widowControl/>
                    <w:jc w:val="center"/>
                    <w:textAlignment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bidi="ar"/>
                    </w:rPr>
                    <w:t>T/C/I/R</w:t>
                  </w:r>
                </w:p>
              </w:tc>
              <w:tc>
                <w:tcPr>
                  <w:tcW w:w="900" w:type="dxa"/>
                  <w:noWrap w:val="0"/>
                  <w:vAlign w:val="center"/>
                </w:tcPr>
                <w:p w14:paraId="216FB683">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0.12</w:t>
                  </w:r>
                </w:p>
              </w:tc>
              <w:tc>
                <w:tcPr>
                  <w:tcW w:w="900" w:type="dxa"/>
                  <w:vMerge w:val="continue"/>
                  <w:noWrap w:val="0"/>
                  <w:vAlign w:val="center"/>
                </w:tcPr>
                <w:p w14:paraId="4786259A">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2AEA2194">
                  <w:pPr>
                    <w:widowControl/>
                    <w:jc w:val="center"/>
                    <w:textAlignment w:val="center"/>
                    <w:rPr>
                      <w:rFonts w:hint="default" w:ascii="Times New Roman" w:hAnsi="Times New Roman" w:cs="Times New Roman"/>
                      <w:sz w:val="21"/>
                      <w:szCs w:val="21"/>
                      <w:lang w:val="en-US" w:eastAsia="zh-CN"/>
                    </w:rPr>
                  </w:pPr>
                </w:p>
              </w:tc>
              <w:tc>
                <w:tcPr>
                  <w:tcW w:w="948" w:type="dxa"/>
                  <w:shd w:val="clear" w:color="auto" w:fill="auto"/>
                  <w:noWrap w:val="0"/>
                  <w:vAlign w:val="center"/>
                </w:tcPr>
                <w:p w14:paraId="4048FEFA">
                  <w:pPr>
                    <w:widowControl/>
                    <w:jc w:val="center"/>
                    <w:textAlignment w:val="center"/>
                    <w:rPr>
                      <w:rFonts w:hint="eastAsia" w:ascii="Times New Roman" w:hAnsi="Times New Roman" w:cs="Times New Roman"/>
                      <w:sz w:val="21"/>
                      <w:szCs w:val="21"/>
                      <w:lang w:val="en-US" w:eastAsia="zh-CN"/>
                    </w:rPr>
                  </w:pPr>
                  <w:r>
                    <w:rPr>
                      <w:rFonts w:hint="eastAsia" w:cs="Times New Roman"/>
                      <w:sz w:val="21"/>
                      <w:szCs w:val="21"/>
                      <w:lang w:val="en-US" w:eastAsia="zh-CN"/>
                    </w:rPr>
                    <w:t>0.12</w:t>
                  </w:r>
                </w:p>
              </w:tc>
              <w:tc>
                <w:tcPr>
                  <w:tcW w:w="1224" w:type="dxa"/>
                  <w:vMerge w:val="continue"/>
                  <w:shd w:val="clear" w:color="auto" w:fill="auto"/>
                  <w:noWrap w:val="0"/>
                  <w:vAlign w:val="center"/>
                </w:tcPr>
                <w:p w14:paraId="6B03E872">
                  <w:pPr>
                    <w:widowControl/>
                    <w:jc w:val="center"/>
                    <w:textAlignment w:val="center"/>
                    <w:rPr>
                      <w:rFonts w:hint="default" w:ascii="Times New Roman" w:hAnsi="Times New Roman" w:eastAsia="宋体" w:cs="Times New Roman"/>
                      <w:kern w:val="0"/>
                      <w:sz w:val="21"/>
                      <w:szCs w:val="21"/>
                      <w:lang w:val="en-US" w:eastAsia="zh-CN" w:bidi="ar"/>
                    </w:rPr>
                  </w:pPr>
                </w:p>
              </w:tc>
            </w:tr>
            <w:tr w14:paraId="5DF8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718F838D">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noWrap w:val="0"/>
                  <w:vAlign w:val="center"/>
                </w:tcPr>
                <w:p w14:paraId="0C35F73A">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设备维护</w:t>
                  </w:r>
                </w:p>
              </w:tc>
              <w:tc>
                <w:tcPr>
                  <w:tcW w:w="1368" w:type="dxa"/>
                  <w:noWrap w:val="0"/>
                  <w:vAlign w:val="center"/>
                </w:tcPr>
                <w:p w14:paraId="72E092A3">
                  <w:pPr>
                    <w:widowControl/>
                    <w:jc w:val="center"/>
                    <w:textAlignment w:val="center"/>
                    <w:rPr>
                      <w:rFonts w:hint="default" w:cs="Times New Roman"/>
                      <w:b w:val="0"/>
                      <w:bCs w:val="0"/>
                      <w:sz w:val="21"/>
                      <w:szCs w:val="21"/>
                      <w:lang w:val="en-US" w:eastAsia="zh-CN"/>
                    </w:rPr>
                  </w:pPr>
                  <w:r>
                    <w:rPr>
                      <w:rFonts w:hint="eastAsia" w:cs="Times New Roman"/>
                      <w:b w:val="0"/>
                      <w:bCs w:val="0"/>
                      <w:sz w:val="21"/>
                      <w:szCs w:val="21"/>
                      <w:lang w:val="en-US" w:eastAsia="zh-CN"/>
                    </w:rPr>
                    <w:t>含油抹布及手套</w:t>
                  </w:r>
                </w:p>
              </w:tc>
              <w:tc>
                <w:tcPr>
                  <w:tcW w:w="924" w:type="dxa"/>
                  <w:shd w:val="clear" w:color="auto" w:fill="auto"/>
                  <w:noWrap w:val="0"/>
                  <w:vAlign w:val="center"/>
                </w:tcPr>
                <w:p w14:paraId="27D4CEFB">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sz w:val="21"/>
                      <w:szCs w:val="21"/>
                    </w:rPr>
                    <w:t>HW49</w:t>
                  </w:r>
                </w:p>
              </w:tc>
              <w:tc>
                <w:tcPr>
                  <w:tcW w:w="1488" w:type="dxa"/>
                  <w:shd w:val="clear" w:color="auto" w:fill="auto"/>
                  <w:noWrap w:val="0"/>
                  <w:vAlign w:val="center"/>
                </w:tcPr>
                <w:p w14:paraId="583ABF3D">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900-041-49</w:t>
                  </w:r>
                </w:p>
              </w:tc>
              <w:tc>
                <w:tcPr>
                  <w:tcW w:w="1200" w:type="dxa"/>
                  <w:shd w:val="clear" w:color="auto" w:fill="auto"/>
                  <w:noWrap w:val="0"/>
                  <w:vAlign w:val="center"/>
                </w:tcPr>
                <w:p w14:paraId="204BCCBB">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矿物油</w:t>
                  </w:r>
                </w:p>
              </w:tc>
              <w:tc>
                <w:tcPr>
                  <w:tcW w:w="900" w:type="dxa"/>
                  <w:shd w:val="clear" w:color="auto" w:fill="auto"/>
                  <w:noWrap w:val="0"/>
                  <w:vAlign w:val="center"/>
                </w:tcPr>
                <w:p w14:paraId="55914C5D">
                  <w:pPr>
                    <w:widowControl/>
                    <w:jc w:val="center"/>
                    <w:textAlignment w:val="center"/>
                    <w:rPr>
                      <w:rFonts w:hint="eastAsia"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固态</w:t>
                  </w:r>
                </w:p>
              </w:tc>
              <w:tc>
                <w:tcPr>
                  <w:tcW w:w="864" w:type="dxa"/>
                  <w:shd w:val="clear" w:color="auto" w:fill="auto"/>
                  <w:noWrap w:val="0"/>
                  <w:vAlign w:val="center"/>
                </w:tcPr>
                <w:p w14:paraId="5B0A90DF">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bidi="ar"/>
                    </w:rPr>
                    <w:t>T/C/I/R</w:t>
                  </w:r>
                </w:p>
              </w:tc>
              <w:tc>
                <w:tcPr>
                  <w:tcW w:w="900" w:type="dxa"/>
                  <w:shd w:val="clear" w:color="auto" w:fill="auto"/>
                  <w:noWrap w:val="0"/>
                  <w:vAlign w:val="center"/>
                </w:tcPr>
                <w:p w14:paraId="7E3AC7FA">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0.01</w:t>
                  </w:r>
                </w:p>
              </w:tc>
              <w:tc>
                <w:tcPr>
                  <w:tcW w:w="900" w:type="dxa"/>
                  <w:vMerge w:val="continue"/>
                  <w:noWrap w:val="0"/>
                  <w:vAlign w:val="center"/>
                </w:tcPr>
                <w:p w14:paraId="2CA8F80B">
                  <w:pPr>
                    <w:jc w:val="center"/>
                    <w:rPr>
                      <w:rFonts w:hint="default" w:ascii="Times New Roman" w:hAnsi="Times New Roman" w:cs="Times New Roman"/>
                      <w:sz w:val="21"/>
                      <w:szCs w:val="21"/>
                      <w:lang w:val="en-US" w:eastAsia="zh-CN"/>
                    </w:rPr>
                  </w:pPr>
                </w:p>
              </w:tc>
              <w:tc>
                <w:tcPr>
                  <w:tcW w:w="1032" w:type="dxa"/>
                  <w:vMerge w:val="continue"/>
                  <w:noWrap w:val="0"/>
                  <w:vAlign w:val="center"/>
                </w:tcPr>
                <w:p w14:paraId="5587CCEB">
                  <w:pPr>
                    <w:widowControl/>
                    <w:jc w:val="center"/>
                    <w:textAlignment w:val="center"/>
                    <w:rPr>
                      <w:rFonts w:hint="default" w:ascii="Times New Roman" w:hAnsi="Times New Roman" w:cs="Times New Roman"/>
                      <w:sz w:val="21"/>
                      <w:szCs w:val="21"/>
                      <w:lang w:val="en-US" w:eastAsia="zh-CN"/>
                    </w:rPr>
                  </w:pPr>
                </w:p>
              </w:tc>
              <w:tc>
                <w:tcPr>
                  <w:tcW w:w="948" w:type="dxa"/>
                  <w:shd w:val="clear" w:color="auto" w:fill="auto"/>
                  <w:noWrap w:val="0"/>
                  <w:vAlign w:val="center"/>
                </w:tcPr>
                <w:p w14:paraId="241F4BDC">
                  <w:pPr>
                    <w:widowControl/>
                    <w:jc w:val="center"/>
                    <w:textAlignment w:val="center"/>
                    <w:rPr>
                      <w:rFonts w:hint="eastAsia" w:ascii="Times New Roman" w:hAnsi="Times New Roman" w:cs="Times New Roman"/>
                      <w:sz w:val="21"/>
                      <w:szCs w:val="21"/>
                      <w:lang w:val="en-US" w:eastAsia="zh-CN"/>
                    </w:rPr>
                  </w:pPr>
                  <w:r>
                    <w:rPr>
                      <w:rFonts w:hint="eastAsia" w:cs="Times New Roman"/>
                      <w:sz w:val="21"/>
                      <w:szCs w:val="21"/>
                      <w:lang w:val="en-US" w:eastAsia="zh-CN"/>
                    </w:rPr>
                    <w:t>0.01</w:t>
                  </w:r>
                </w:p>
              </w:tc>
              <w:tc>
                <w:tcPr>
                  <w:tcW w:w="1224" w:type="dxa"/>
                  <w:vMerge w:val="continue"/>
                  <w:shd w:val="clear" w:color="auto" w:fill="auto"/>
                  <w:noWrap w:val="0"/>
                  <w:vAlign w:val="center"/>
                </w:tcPr>
                <w:p w14:paraId="45B68340">
                  <w:pPr>
                    <w:widowControl/>
                    <w:jc w:val="center"/>
                    <w:textAlignment w:val="center"/>
                    <w:rPr>
                      <w:rFonts w:hint="default" w:ascii="Times New Roman" w:hAnsi="Times New Roman" w:eastAsia="宋体" w:cs="Times New Roman"/>
                      <w:kern w:val="0"/>
                      <w:sz w:val="21"/>
                      <w:szCs w:val="21"/>
                      <w:lang w:val="en-US" w:eastAsia="zh-CN" w:bidi="ar"/>
                    </w:rPr>
                  </w:pPr>
                </w:p>
              </w:tc>
            </w:tr>
            <w:tr w14:paraId="6F14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35" w:type="dxa"/>
                  <w:noWrap w:val="0"/>
                  <w:vAlign w:val="center"/>
                </w:tcPr>
                <w:p w14:paraId="658D2FDF">
                  <w:pPr>
                    <w:widowControl/>
                    <w:numPr>
                      <w:ilvl w:val="0"/>
                      <w:numId w:val="10"/>
                    </w:numPr>
                    <w:ind w:left="425" w:leftChars="0" w:hanging="425" w:firstLineChars="0"/>
                    <w:jc w:val="center"/>
                    <w:textAlignment w:val="center"/>
                    <w:rPr>
                      <w:rFonts w:hint="default" w:ascii="Times New Roman" w:hAnsi="Times New Roman" w:cs="Times New Roman"/>
                      <w:sz w:val="21"/>
                      <w:szCs w:val="21"/>
                      <w:lang w:val="en-US" w:eastAsia="zh-CN"/>
                    </w:rPr>
                  </w:pPr>
                </w:p>
              </w:tc>
              <w:tc>
                <w:tcPr>
                  <w:tcW w:w="1021" w:type="dxa"/>
                  <w:shd w:val="clear" w:color="auto" w:fill="auto"/>
                  <w:noWrap w:val="0"/>
                  <w:vAlign w:val="center"/>
                </w:tcPr>
                <w:p w14:paraId="550E94AA">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职工生活</w:t>
                  </w:r>
                </w:p>
              </w:tc>
              <w:tc>
                <w:tcPr>
                  <w:tcW w:w="1368" w:type="dxa"/>
                  <w:shd w:val="clear" w:color="auto" w:fill="auto"/>
                  <w:noWrap w:val="0"/>
                  <w:vAlign w:val="center"/>
                </w:tcPr>
                <w:p w14:paraId="0E7DDF04">
                  <w:pPr>
                    <w:widowControl/>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sz w:val="21"/>
                      <w:szCs w:val="21"/>
                      <w:lang w:val="en-US" w:eastAsia="zh-CN"/>
                    </w:rPr>
                    <w:t>生活垃圾</w:t>
                  </w:r>
                </w:p>
              </w:tc>
              <w:tc>
                <w:tcPr>
                  <w:tcW w:w="924" w:type="dxa"/>
                  <w:shd w:val="clear" w:color="auto" w:fill="auto"/>
                  <w:noWrap w:val="0"/>
                  <w:vAlign w:val="center"/>
                </w:tcPr>
                <w:p w14:paraId="6A519AC7">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w:t>
                  </w:r>
                </w:p>
              </w:tc>
              <w:tc>
                <w:tcPr>
                  <w:tcW w:w="1488" w:type="dxa"/>
                  <w:shd w:val="clear" w:color="auto" w:fill="auto"/>
                  <w:noWrap w:val="0"/>
                  <w:vAlign w:val="center"/>
                </w:tcPr>
                <w:p w14:paraId="586CE75C">
                  <w:pPr>
                    <w:widowControl/>
                    <w:jc w:val="center"/>
                    <w:textAlignment w:val="center"/>
                    <w:rPr>
                      <w:rFonts w:hint="eastAsia" w:ascii="Times New Roman" w:hAnsi="Times New Roman" w:eastAsia="宋体" w:cs="Times New Roman"/>
                      <w:kern w:val="2"/>
                      <w:sz w:val="21"/>
                      <w:szCs w:val="21"/>
                      <w:shd w:val="clear" w:color="auto" w:fill="FFFFFF"/>
                      <w:lang w:val="en-US" w:eastAsia="zh-CN" w:bidi="ar-SA"/>
                    </w:rPr>
                  </w:pPr>
                  <w:r>
                    <w:rPr>
                      <w:rFonts w:hint="eastAsia" w:cs="Times New Roman"/>
                      <w:sz w:val="21"/>
                      <w:szCs w:val="21"/>
                      <w:shd w:val="clear" w:color="auto" w:fill="FFFFFF"/>
                      <w:lang w:val="en-US" w:eastAsia="zh-CN"/>
                    </w:rPr>
                    <w:t>/</w:t>
                  </w:r>
                </w:p>
              </w:tc>
              <w:tc>
                <w:tcPr>
                  <w:tcW w:w="1200" w:type="dxa"/>
                  <w:shd w:val="clear" w:color="auto" w:fill="auto"/>
                  <w:noWrap w:val="0"/>
                  <w:vAlign w:val="center"/>
                </w:tcPr>
                <w:p w14:paraId="34B38860">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900" w:type="dxa"/>
                  <w:shd w:val="clear" w:color="auto" w:fill="auto"/>
                  <w:noWrap w:val="0"/>
                  <w:vAlign w:val="center"/>
                </w:tcPr>
                <w:p w14:paraId="2AD78701">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固态</w:t>
                  </w:r>
                </w:p>
              </w:tc>
              <w:tc>
                <w:tcPr>
                  <w:tcW w:w="864" w:type="dxa"/>
                  <w:shd w:val="clear" w:color="auto" w:fill="auto"/>
                  <w:noWrap w:val="0"/>
                  <w:vAlign w:val="center"/>
                </w:tcPr>
                <w:p w14:paraId="4C262BA5">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w:t>
                  </w:r>
                </w:p>
              </w:tc>
              <w:tc>
                <w:tcPr>
                  <w:tcW w:w="900" w:type="dxa"/>
                  <w:shd w:val="clear" w:color="auto" w:fill="auto"/>
                  <w:noWrap w:val="0"/>
                  <w:vAlign w:val="center"/>
                </w:tcPr>
                <w:p w14:paraId="21F2A084">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7.5</w:t>
                  </w:r>
                </w:p>
              </w:tc>
              <w:tc>
                <w:tcPr>
                  <w:tcW w:w="900" w:type="dxa"/>
                  <w:shd w:val="clear" w:color="auto" w:fill="auto"/>
                  <w:noWrap w:val="0"/>
                  <w:vAlign w:val="center"/>
                </w:tcPr>
                <w:p w14:paraId="759C7F2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垃圾桶</w:t>
                  </w:r>
                </w:p>
              </w:tc>
              <w:tc>
                <w:tcPr>
                  <w:tcW w:w="1032" w:type="dxa"/>
                  <w:shd w:val="clear" w:color="auto" w:fill="auto"/>
                  <w:noWrap w:val="0"/>
                  <w:vAlign w:val="center"/>
                </w:tcPr>
                <w:p w14:paraId="7FE169FA">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kern w:val="2"/>
                      <w:sz w:val="21"/>
                      <w:szCs w:val="21"/>
                      <w:lang w:val="en-US" w:eastAsia="zh-CN" w:bidi="ar-SA"/>
                    </w:rPr>
                    <w:t>收集后</w:t>
                  </w:r>
                  <w:r>
                    <w:rPr>
                      <w:rFonts w:hint="default" w:ascii="Times New Roman" w:hAnsi="Times New Roman" w:eastAsia="宋体" w:cs="Times New Roman"/>
                      <w:color w:val="auto"/>
                      <w:kern w:val="2"/>
                      <w:sz w:val="21"/>
                      <w:szCs w:val="21"/>
                      <w:lang w:val="en-US" w:eastAsia="zh-CN" w:bidi="ar-SA"/>
                    </w:rPr>
                    <w:t>由环卫部门统一清运</w:t>
                  </w:r>
                </w:p>
              </w:tc>
              <w:tc>
                <w:tcPr>
                  <w:tcW w:w="948" w:type="dxa"/>
                  <w:shd w:val="clear" w:color="auto" w:fill="auto"/>
                  <w:noWrap w:val="0"/>
                  <w:vAlign w:val="center"/>
                </w:tcPr>
                <w:p w14:paraId="078D1354">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7.5</w:t>
                  </w:r>
                </w:p>
              </w:tc>
              <w:tc>
                <w:tcPr>
                  <w:tcW w:w="1224" w:type="dxa"/>
                  <w:shd w:val="clear" w:color="auto" w:fill="auto"/>
                  <w:noWrap w:val="0"/>
                  <w:vAlign w:val="center"/>
                </w:tcPr>
                <w:p w14:paraId="646EE7F8">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w:t>
                  </w:r>
                </w:p>
              </w:tc>
            </w:tr>
            <w:bookmarkEnd w:id="6"/>
          </w:tbl>
          <w:p w14:paraId="5E905235">
            <w:pPr>
              <w:tabs>
                <w:tab w:val="left" w:pos="1380"/>
              </w:tabs>
              <w:rPr>
                <w:rFonts w:hint="default" w:eastAsia="宋体"/>
                <w:lang w:val="en-US" w:eastAsia="zh-CN"/>
              </w:rPr>
            </w:pPr>
            <w:r>
              <w:rPr>
                <w:rFonts w:hint="eastAsia"/>
                <w:lang w:val="en-US" w:eastAsia="zh-CN"/>
              </w:rPr>
              <w:t xml:space="preserve"> </w:t>
            </w:r>
          </w:p>
        </w:tc>
      </w:tr>
    </w:tbl>
    <w:p w14:paraId="7D1E3C3E">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0"/>
          <w:lang w:val="en-US" w:eastAsia="zh-CN"/>
        </w:rPr>
        <w:sectPr>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108" w:type="dxa"/>
          <w:bottom w:w="57" w:type="dxa"/>
          <w:right w:w="108" w:type="dxa"/>
        </w:tblCellMar>
      </w:tblPr>
      <w:tblGrid>
        <w:gridCol w:w="509"/>
        <w:gridCol w:w="8399"/>
      </w:tblGrid>
      <w:tr w14:paraId="058B9E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108" w:type="dxa"/>
            <w:bottom w:w="57" w:type="dxa"/>
            <w:right w:w="108" w:type="dxa"/>
          </w:tblCellMar>
        </w:tblPrEx>
        <w:trPr>
          <w:trHeight w:val="6810" w:hRule="atLeast"/>
          <w:jc w:val="center"/>
        </w:trPr>
        <w:tc>
          <w:tcPr>
            <w:tcW w:w="509" w:type="dxa"/>
            <w:noWrap w:val="0"/>
            <w:tcMar>
              <w:left w:w="28" w:type="dxa"/>
              <w:right w:w="28" w:type="dxa"/>
            </w:tcMar>
            <w:vAlign w:val="center"/>
          </w:tcPr>
          <w:p w14:paraId="1E24D435">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运营期环境影响和保护措施</w:t>
            </w:r>
          </w:p>
        </w:tc>
        <w:tc>
          <w:tcPr>
            <w:tcW w:w="8399" w:type="dxa"/>
            <w:noWrap w:val="0"/>
            <w:vAlign w:val="center"/>
          </w:tcPr>
          <w:p w14:paraId="7E7F74F5">
            <w:pPr>
              <w:spacing w:line="360" w:lineRule="auto"/>
              <w:ind w:firstLine="480" w:firstLineChars="200"/>
              <w:jc w:val="left"/>
              <w:rPr>
                <w:rFonts w:hint="eastAsia"/>
                <w:b w:val="0"/>
                <w:bCs w:val="0"/>
                <w:sz w:val="24"/>
                <w:lang w:val="en-US" w:eastAsia="zh-CN"/>
              </w:rPr>
            </w:pPr>
            <w:r>
              <w:rPr>
                <w:rFonts w:hint="eastAsia"/>
                <w:b w:val="0"/>
                <w:bCs w:val="0"/>
                <w:sz w:val="24"/>
                <w:lang w:val="en-US" w:eastAsia="zh-CN"/>
              </w:rPr>
              <w:t>（二）危废暂存库设置合理性分析</w:t>
            </w:r>
          </w:p>
          <w:p w14:paraId="4EB0FA83">
            <w:pPr>
              <w:spacing w:line="360" w:lineRule="auto"/>
              <w:ind w:firstLine="480" w:firstLineChars="200"/>
              <w:jc w:val="left"/>
              <w:rPr>
                <w:rFonts w:hint="eastAsia"/>
                <w:color w:val="000000"/>
                <w:kern w:val="0"/>
                <w:sz w:val="24"/>
                <w:lang w:val="en-US" w:eastAsia="zh-CN"/>
              </w:rPr>
            </w:pPr>
            <w:r>
              <w:rPr>
                <w:rFonts w:hint="eastAsia" w:cs="Times New Roman"/>
                <w:color w:val="000000"/>
                <w:sz w:val="24"/>
                <w:szCs w:val="24"/>
                <w:lang w:val="en-US" w:eastAsia="zh-CN"/>
              </w:rPr>
              <w:t>1、</w:t>
            </w:r>
            <w:r>
              <w:rPr>
                <w:rFonts w:hint="default" w:ascii="Times New Roman" w:hAnsi="Times New Roman" w:cs="Times New Roman"/>
                <w:color w:val="000000"/>
                <w:sz w:val="24"/>
                <w:szCs w:val="24"/>
              </w:rPr>
              <w:t>本项目</w:t>
            </w:r>
            <w:r>
              <w:rPr>
                <w:rFonts w:hint="default" w:ascii="Times New Roman" w:hAnsi="Times New Roman" w:cs="Times New Roman"/>
                <w:color w:val="000000"/>
                <w:sz w:val="24"/>
                <w:szCs w:val="24"/>
                <w:lang w:val="en-US" w:eastAsia="zh-CN"/>
              </w:rPr>
              <w:t>拟</w:t>
            </w:r>
            <w:r>
              <w:rPr>
                <w:rFonts w:hint="eastAsia" w:cs="Times New Roman"/>
                <w:color w:val="000000" w:themeColor="text1"/>
                <w:sz w:val="24"/>
                <w:szCs w:val="24"/>
                <w:lang w:val="en-US" w:eastAsia="zh-CN"/>
                <w14:textFill>
                  <w14:solidFill>
                    <w14:schemeClr w14:val="tx1"/>
                  </w14:solidFill>
                </w14:textFill>
              </w:rPr>
              <w:t>设置危废暂存间位于C车间外南侧，占地面积约50</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w:t>
            </w:r>
            <w:r>
              <w:rPr>
                <w:rFonts w:hint="eastAsia"/>
                <w:color w:val="000000"/>
                <w:kern w:val="0"/>
                <w:sz w:val="24"/>
                <w:lang w:val="en-US" w:eastAsia="zh-CN"/>
              </w:rPr>
              <w:t>用于暂存产生的废过滤棉、漆渣、废漆桶、废液压油（桶）等危险废物。固态危险废物和液态危险废物采取过道、隔板等措施进行隔离，废切削液等采用密封桶装，废过滤棉等采用软膜包覆，减少有机物挥发造成二次污染。根据《危险废物贮存污染控制标准》(GB18597-2023)，本项目危险废物贮存场所选址相符性见下表。</w:t>
            </w:r>
          </w:p>
          <w:p w14:paraId="4F5848DB">
            <w:pPr>
              <w:pStyle w:val="23"/>
              <w:keepNext w:val="0"/>
              <w:keepLines w:val="0"/>
              <w:pageBreakBefore w:val="0"/>
              <w:widowControl w:val="0"/>
              <w:kinsoku/>
              <w:wordWrap/>
              <w:overflowPunct/>
              <w:topLinePunct w:val="0"/>
              <w:autoSpaceDE/>
              <w:autoSpaceDN/>
              <w:bidi w:val="0"/>
              <w:adjustRightInd/>
              <w:snapToGrid w:val="0"/>
              <w:spacing w:before="0" w:after="0" w:line="240" w:lineRule="auto"/>
              <w:ind w:right="0"/>
              <w:jc w:val="center"/>
              <w:textAlignment w:val="auto"/>
              <w:rPr>
                <w:rFonts w:hint="eastAsia"/>
                <w:lang w:val="en-US" w:eastAsia="zh-CN"/>
              </w:rPr>
            </w:pPr>
            <w:r>
              <w:rPr>
                <w:rFonts w:hint="eastAsia"/>
                <w:b/>
                <w:kern w:val="0"/>
                <w:sz w:val="21"/>
                <w:szCs w:val="21"/>
                <w:lang w:val="en-US" w:eastAsia="zh-CN"/>
              </w:rPr>
              <w:t>表4-11 项目危废暂存场选址符合性分析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0"/>
              <w:gridCol w:w="2473"/>
            </w:tblGrid>
            <w:tr w14:paraId="4EFE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0" w:type="dxa"/>
                  <w:vAlign w:val="center"/>
                </w:tcPr>
                <w:p w14:paraId="08FB096E">
                  <w:pPr>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rPr>
                  </w:pPr>
                  <w:r>
                    <w:rPr>
                      <w:rFonts w:hint="default" w:ascii="Times New Roman" w:hAnsi="Times New Roman" w:eastAsia="宋体" w:cs="Times New Roman"/>
                      <w:color w:val="000000"/>
                      <w:kern w:val="0"/>
                      <w:sz w:val="21"/>
                      <w:szCs w:val="21"/>
                      <w:vertAlign w:val="baseline"/>
                      <w:lang w:val="en-US" w:eastAsia="zh-CN"/>
                    </w:rPr>
                    <w:t>GB18597-2023中要求</w:t>
                  </w:r>
                </w:p>
              </w:tc>
              <w:tc>
                <w:tcPr>
                  <w:tcW w:w="2473" w:type="dxa"/>
                  <w:vAlign w:val="center"/>
                </w:tcPr>
                <w:p w14:paraId="1370D396">
                  <w:pPr>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rPr>
                  </w:pPr>
                  <w:r>
                    <w:rPr>
                      <w:rFonts w:hint="default" w:ascii="Times New Roman" w:hAnsi="Times New Roman" w:eastAsia="宋体" w:cs="Times New Roman"/>
                      <w:color w:val="000000"/>
                      <w:kern w:val="0"/>
                      <w:sz w:val="21"/>
                      <w:szCs w:val="21"/>
                      <w:vertAlign w:val="baseline"/>
                      <w:lang w:val="en-US" w:eastAsia="zh-CN"/>
                    </w:rPr>
                    <w:t>相符性分析</w:t>
                  </w:r>
                </w:p>
              </w:tc>
            </w:tr>
            <w:tr w14:paraId="09E9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0" w:type="dxa"/>
                  <w:vAlign w:val="center"/>
                </w:tcPr>
                <w:p w14:paraId="246A63E7">
                  <w:pPr>
                    <w:keepNext w:val="0"/>
                    <w:keepLines w:val="0"/>
                    <w:pageBreakBefore w:val="0"/>
                    <w:widowControl w:val="0"/>
                    <w:numPr>
                      <w:ilvl w:val="0"/>
                      <w:numId w:val="11"/>
                    </w:numPr>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rPr>
                  </w:pPr>
                  <w:r>
                    <w:rPr>
                      <w:rFonts w:hint="default" w:ascii="Times New Roman" w:hAnsi="Times New Roman" w:eastAsia="宋体" w:cs="Times New Roman"/>
                      <w:color w:val="000000"/>
                      <w:kern w:val="0"/>
                      <w:sz w:val="21"/>
                      <w:szCs w:val="21"/>
                      <w:vertAlign w:val="baseline"/>
                      <w:lang w:val="en-US" w:eastAsia="zh-CN"/>
                    </w:rPr>
                    <w:t>贮存设施选址应满足生态环境保护法律法规、规划和</w:t>
                  </w:r>
                  <w:r>
                    <w:rPr>
                      <w:rFonts w:hint="eastAsia" w:ascii="Times New Roman" w:hAnsi="Times New Roman" w:eastAsia="宋体" w:cs="Times New Roman"/>
                      <w:color w:val="000000"/>
                      <w:kern w:val="0"/>
                      <w:sz w:val="21"/>
                      <w:szCs w:val="21"/>
                      <w:vertAlign w:val="baseline"/>
                      <w:lang w:val="en-US" w:eastAsia="zh-CN"/>
                    </w:rPr>
                    <w:t>“</w:t>
                  </w:r>
                  <w:r>
                    <w:rPr>
                      <w:rFonts w:hint="default" w:ascii="Times New Roman" w:hAnsi="Times New Roman" w:eastAsia="宋体" w:cs="Times New Roman"/>
                      <w:color w:val="000000"/>
                      <w:kern w:val="0"/>
                      <w:sz w:val="21"/>
                      <w:szCs w:val="21"/>
                      <w:vertAlign w:val="baseline"/>
                      <w:lang w:val="en-US" w:eastAsia="zh-CN"/>
                    </w:rPr>
                    <w:t>三线一单</w:t>
                  </w:r>
                  <w:r>
                    <w:rPr>
                      <w:rFonts w:hint="eastAsia" w:ascii="Times New Roman" w:hAnsi="Times New Roman" w:eastAsia="宋体" w:cs="Times New Roman"/>
                      <w:color w:val="000000"/>
                      <w:kern w:val="0"/>
                      <w:sz w:val="21"/>
                      <w:szCs w:val="21"/>
                      <w:vertAlign w:val="baseline"/>
                      <w:lang w:val="en-US" w:eastAsia="zh-CN"/>
                    </w:rPr>
                    <w:t>”</w:t>
                  </w:r>
                  <w:r>
                    <w:rPr>
                      <w:rFonts w:hint="default" w:ascii="Times New Roman" w:hAnsi="Times New Roman" w:eastAsia="宋体" w:cs="Times New Roman"/>
                      <w:color w:val="000000"/>
                      <w:kern w:val="0"/>
                      <w:sz w:val="21"/>
                      <w:szCs w:val="21"/>
                      <w:vertAlign w:val="baseline"/>
                      <w:lang w:val="en-US" w:eastAsia="zh-CN"/>
                    </w:rPr>
                    <w:t>生态环境分区管控的要求，建设项目应依法进行环境影响评价。</w:t>
                  </w:r>
                </w:p>
                <w:p w14:paraId="553006C8">
                  <w:pPr>
                    <w:pStyle w:val="23"/>
                    <w:keepNext w:val="0"/>
                    <w:keepLines w:val="0"/>
                    <w:pageBreakBefore w:val="0"/>
                    <w:widowControl w:val="0"/>
                    <w:numPr>
                      <w:ilvl w:val="0"/>
                      <w:numId w:val="11"/>
                    </w:numPr>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集中贮存设施不应选在生态保护红线区域、永久基本农田和其他需要特别保护的区域内，不应建在溶洞区或易遭受洪水、滑坡、泥石流、潮汐等严重自然灾害影响的地区。</w:t>
                  </w:r>
                </w:p>
                <w:p w14:paraId="145C65B4">
                  <w:pPr>
                    <w:pStyle w:val="19"/>
                    <w:keepNext w:val="0"/>
                    <w:keepLines w:val="0"/>
                    <w:pageBreakBefore w:val="0"/>
                    <w:widowControl w:val="0"/>
                    <w:kinsoku/>
                    <w:wordWrap/>
                    <w:overflowPunct/>
                    <w:topLinePunct w:val="0"/>
                    <w:autoSpaceDE/>
                    <w:autoSpaceDN/>
                    <w:bidi w:val="0"/>
                    <w:adjustRightInd/>
                    <w:spacing w:after="0" w:line="240" w:lineRule="auto"/>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3、贮存设施不应选在江河、湖泊、运河、渠道、水库及其最高水位线以下的滩地和岸坡，以及法律法规规定禁止贮存危险废物的其他地点。</w:t>
                  </w:r>
                </w:p>
                <w:p w14:paraId="28CDA5D9">
                  <w:pPr>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4、贮存设施场址的位置以及其与周围环境敏感目标的距离应依据环境影响评价文件确定。</w:t>
                  </w:r>
                </w:p>
              </w:tc>
              <w:tc>
                <w:tcPr>
                  <w:tcW w:w="2473" w:type="dxa"/>
                  <w:vAlign w:val="center"/>
                </w:tcPr>
                <w:p w14:paraId="691A3FE6">
                  <w:pPr>
                    <w:keepNext w:val="0"/>
                    <w:keepLines w:val="0"/>
                    <w:pageBreakBefore w:val="0"/>
                    <w:widowControl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kern w:val="0"/>
                      <w:sz w:val="21"/>
                      <w:szCs w:val="21"/>
                      <w:vertAlign w:val="baseline"/>
                      <w:lang w:val="en-US" w:eastAsia="zh-CN"/>
                    </w:rPr>
                  </w:pPr>
                  <w:r>
                    <w:rPr>
                      <w:rFonts w:hint="default" w:ascii="Times New Roman" w:hAnsi="Times New Roman" w:eastAsia="宋体" w:cs="Times New Roman"/>
                      <w:color w:val="000000"/>
                      <w:kern w:val="0"/>
                      <w:sz w:val="21"/>
                      <w:szCs w:val="21"/>
                      <w:vertAlign w:val="baseline"/>
                      <w:lang w:val="en-US" w:eastAsia="zh-CN"/>
                    </w:rPr>
                    <w:t>本项目</w:t>
                  </w:r>
                  <w:r>
                    <w:rPr>
                      <w:rFonts w:hint="eastAsia" w:ascii="Times New Roman" w:hAnsi="Times New Roman" w:eastAsia="宋体" w:cs="Times New Roman"/>
                      <w:color w:val="000000"/>
                      <w:kern w:val="0"/>
                      <w:sz w:val="21"/>
                      <w:szCs w:val="21"/>
                      <w:vertAlign w:val="baseline"/>
                      <w:lang w:val="en-US" w:eastAsia="zh-CN"/>
                    </w:rPr>
                    <w:t>危废暂存间设置在C车间南侧（具体见附图4厂区平面布置图）</w:t>
                  </w:r>
                  <w:r>
                    <w:rPr>
                      <w:rFonts w:hint="eastAsia" w:cs="Times New Roman"/>
                      <w:color w:val="000000"/>
                      <w:kern w:val="0"/>
                      <w:sz w:val="21"/>
                      <w:szCs w:val="21"/>
                      <w:vertAlign w:val="baseline"/>
                      <w:lang w:val="en-US" w:eastAsia="zh-CN"/>
                    </w:rPr>
                    <w:t>，符合</w:t>
                  </w:r>
                  <w:r>
                    <w:rPr>
                      <w:rFonts w:hint="default" w:ascii="Times New Roman" w:hAnsi="Times New Roman" w:eastAsia="宋体" w:cs="Times New Roman"/>
                      <w:color w:val="000000"/>
                      <w:kern w:val="0"/>
                      <w:sz w:val="21"/>
                      <w:szCs w:val="21"/>
                      <w:vertAlign w:val="baseline"/>
                      <w:lang w:val="en-US" w:eastAsia="zh-CN"/>
                    </w:rPr>
                    <w:t>《危险废物贮存污染控制标准》(GB18597-2023)中相关要求。</w:t>
                  </w:r>
                </w:p>
              </w:tc>
            </w:tr>
          </w:tbl>
          <w:p w14:paraId="68045C81">
            <w:pPr>
              <w:bidi w:val="0"/>
              <w:rPr>
                <w:rFonts w:hint="eastAsia"/>
                <w:lang w:val="en-US" w:eastAsia="zh-CN"/>
              </w:rPr>
            </w:pPr>
          </w:p>
          <w:p w14:paraId="5D6E4E9B">
            <w:pPr>
              <w:spacing w:line="360" w:lineRule="auto"/>
              <w:ind w:firstLine="480" w:firstLineChars="200"/>
              <w:jc w:val="left"/>
              <w:rPr>
                <w:rFonts w:hint="default"/>
                <w:color w:val="000000"/>
                <w:kern w:val="0"/>
                <w:sz w:val="24"/>
                <w:lang w:val="en-US" w:eastAsia="zh-CN"/>
              </w:rPr>
            </w:pPr>
            <w:r>
              <w:rPr>
                <w:rFonts w:hint="eastAsia"/>
                <w:color w:val="000000"/>
                <w:kern w:val="0"/>
                <w:sz w:val="24"/>
                <w:lang w:val="en-US" w:eastAsia="zh-CN"/>
              </w:rPr>
              <w:t>2、污染防治措施</w:t>
            </w:r>
          </w:p>
          <w:p w14:paraId="02514197">
            <w:pPr>
              <w:spacing w:line="360" w:lineRule="auto"/>
              <w:ind w:firstLine="480" w:firstLineChars="200"/>
              <w:jc w:val="left"/>
              <w:rPr>
                <w:rFonts w:hint="eastAsia"/>
                <w:color w:val="000000"/>
                <w:kern w:val="0"/>
                <w:sz w:val="24"/>
                <w:lang w:val="en-US" w:eastAsia="zh-CN"/>
              </w:rPr>
            </w:pPr>
            <w:r>
              <w:rPr>
                <w:rFonts w:hint="default"/>
                <w:color w:val="000000"/>
                <w:kern w:val="0"/>
                <w:sz w:val="24"/>
                <w:lang w:val="en-US" w:eastAsia="zh-CN"/>
              </w:rPr>
              <w:t>①贮存场所</w:t>
            </w:r>
            <w:r>
              <w:rPr>
                <w:rFonts w:hint="eastAsia"/>
                <w:color w:val="000000"/>
                <w:kern w:val="0"/>
                <w:sz w:val="24"/>
                <w:lang w:val="en-US" w:eastAsia="zh-CN"/>
              </w:rPr>
              <w:t>（</w:t>
            </w:r>
            <w:r>
              <w:rPr>
                <w:rFonts w:hint="default"/>
                <w:color w:val="000000"/>
                <w:kern w:val="0"/>
                <w:sz w:val="24"/>
                <w:lang w:val="en-US" w:eastAsia="zh-CN"/>
              </w:rPr>
              <w:t>设施</w:t>
            </w:r>
            <w:r>
              <w:rPr>
                <w:rFonts w:hint="eastAsia"/>
                <w:color w:val="000000"/>
                <w:kern w:val="0"/>
                <w:sz w:val="24"/>
                <w:lang w:val="en-US" w:eastAsia="zh-CN"/>
              </w:rPr>
              <w:t>）</w:t>
            </w:r>
            <w:r>
              <w:rPr>
                <w:rFonts w:hint="default"/>
                <w:color w:val="000000"/>
                <w:kern w:val="0"/>
                <w:sz w:val="24"/>
                <w:lang w:val="en-US" w:eastAsia="zh-CN"/>
              </w:rPr>
              <w:t>污染防治措施</w:t>
            </w:r>
          </w:p>
          <w:p w14:paraId="37AD5418">
            <w:pPr>
              <w:spacing w:line="360" w:lineRule="auto"/>
              <w:ind w:firstLine="480" w:firstLineChars="200"/>
              <w:jc w:val="left"/>
              <w:rPr>
                <w:rFonts w:hint="eastAsia"/>
                <w:color w:val="000000"/>
                <w:kern w:val="0"/>
                <w:sz w:val="24"/>
                <w:lang w:val="en-US" w:eastAsia="zh-CN"/>
              </w:rPr>
            </w:pPr>
            <w:r>
              <w:rPr>
                <w:rFonts w:hint="eastAsia"/>
                <w:color w:val="000000"/>
                <w:kern w:val="0"/>
                <w:sz w:val="24"/>
                <w:lang w:val="en-US" w:eastAsia="zh-CN"/>
              </w:rPr>
              <w:t>所有纳入危险废物范畴的固体废物在企业内的存放地设置符合《危险废物贮存污染控制标准》(GB18597-2023)的专用标志。危险废物必须使用专用的容器贮存，除非在常温常压下不水解、不挥发的固体危险废物可在贮存设施内分别堆放。贮存容器应有明显标志，并且标明废物的特性，是否具有耐腐蚀、与所贮存的废物发生反应等特性。贮存场所严格按照“四防”(防风、防雨、防晒、防渗漏)要求进行设置，有集排水设施且贮存场所符合消防要求，贮存场所内采用安全照明设施，并设置观察窗口。</w:t>
            </w:r>
          </w:p>
          <w:p w14:paraId="57E7BDBC">
            <w:pPr>
              <w:pStyle w:val="19"/>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b/>
                <w:kern w:val="0"/>
                <w:sz w:val="21"/>
                <w:szCs w:val="21"/>
                <w:lang w:val="en-US" w:eastAsia="zh-CN" w:bidi="ar-SA"/>
              </w:rPr>
            </w:pPr>
            <w:r>
              <w:rPr>
                <w:rFonts w:hint="eastAsia" w:ascii="Times New Roman" w:hAnsi="Times New Roman" w:eastAsia="宋体" w:cs="Times New Roman"/>
                <w:b/>
                <w:kern w:val="0"/>
                <w:sz w:val="21"/>
                <w:szCs w:val="21"/>
                <w:lang w:val="en-US" w:eastAsia="zh-CN" w:bidi="ar-SA"/>
              </w:rPr>
              <w:t>表4-1</w:t>
            </w:r>
            <w:r>
              <w:rPr>
                <w:rFonts w:hint="eastAsia" w:ascii="Times New Roman" w:eastAsia="宋体" w:cs="Times New Roman"/>
                <w:b/>
                <w:kern w:val="0"/>
                <w:sz w:val="21"/>
                <w:szCs w:val="21"/>
                <w:lang w:val="en-US" w:eastAsia="zh-CN" w:bidi="ar-SA"/>
              </w:rPr>
              <w:t>2</w:t>
            </w:r>
            <w:r>
              <w:rPr>
                <w:rFonts w:hint="eastAsia" w:ascii="Times New Roman" w:hAnsi="Times New Roman" w:eastAsia="宋体" w:cs="Times New Roman"/>
                <w:b/>
                <w:kern w:val="0"/>
                <w:sz w:val="21"/>
                <w:szCs w:val="21"/>
                <w:lang w:val="en-US" w:eastAsia="zh-CN" w:bidi="ar-SA"/>
              </w:rPr>
              <w:t xml:space="preserve"> 项目危险废物贮存场所(设施)基本情况样表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04"/>
              <w:gridCol w:w="720"/>
              <w:gridCol w:w="840"/>
              <w:gridCol w:w="813"/>
              <w:gridCol w:w="517"/>
              <w:gridCol w:w="658"/>
              <w:gridCol w:w="906"/>
              <w:gridCol w:w="1025"/>
              <w:gridCol w:w="852"/>
              <w:gridCol w:w="612"/>
            </w:tblGrid>
            <w:tr w14:paraId="36BB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14:paraId="3610C46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804" w:type="dxa"/>
                  <w:vAlign w:val="center"/>
                </w:tcPr>
                <w:p w14:paraId="599AF25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贮存场所(设施)名称</w:t>
                  </w:r>
                </w:p>
              </w:tc>
              <w:tc>
                <w:tcPr>
                  <w:tcW w:w="720" w:type="dxa"/>
                  <w:vAlign w:val="center"/>
                </w:tcPr>
                <w:p w14:paraId="73DF20E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危险废物名称</w:t>
                  </w:r>
                </w:p>
              </w:tc>
              <w:tc>
                <w:tcPr>
                  <w:tcW w:w="840" w:type="dxa"/>
                  <w:vAlign w:val="center"/>
                </w:tcPr>
                <w:p w14:paraId="332F7D1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危险废物类别</w:t>
                  </w:r>
                </w:p>
              </w:tc>
              <w:tc>
                <w:tcPr>
                  <w:tcW w:w="813" w:type="dxa"/>
                  <w:vAlign w:val="center"/>
                </w:tcPr>
                <w:p w14:paraId="6616464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危险废物代码</w:t>
                  </w:r>
                </w:p>
              </w:tc>
              <w:tc>
                <w:tcPr>
                  <w:tcW w:w="517" w:type="dxa"/>
                  <w:vAlign w:val="center"/>
                </w:tcPr>
                <w:p w14:paraId="66586F6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位置</w:t>
                  </w:r>
                </w:p>
              </w:tc>
              <w:tc>
                <w:tcPr>
                  <w:tcW w:w="658" w:type="dxa"/>
                  <w:vAlign w:val="center"/>
                </w:tcPr>
                <w:p w14:paraId="56A195E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占地面积</w:t>
                  </w:r>
                </w:p>
              </w:tc>
              <w:tc>
                <w:tcPr>
                  <w:tcW w:w="906" w:type="dxa"/>
                  <w:vAlign w:val="center"/>
                </w:tcPr>
                <w:p w14:paraId="5CF1347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产生量（t/a）</w:t>
                  </w:r>
                </w:p>
              </w:tc>
              <w:tc>
                <w:tcPr>
                  <w:tcW w:w="1025" w:type="dxa"/>
                  <w:vAlign w:val="center"/>
                </w:tcPr>
                <w:p w14:paraId="168947F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贮存方式</w:t>
                  </w:r>
                </w:p>
              </w:tc>
              <w:tc>
                <w:tcPr>
                  <w:tcW w:w="852" w:type="dxa"/>
                  <w:vAlign w:val="center"/>
                </w:tcPr>
                <w:p w14:paraId="282F8B2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贮存能力</w:t>
                  </w:r>
                  <w:r>
                    <w:rPr>
                      <w:rFonts w:hint="eastAsia" w:ascii="Times New Roman" w:hAnsi="Times New Roman" w:eastAsia="宋体" w:cs="Times New Roman"/>
                      <w:sz w:val="21"/>
                      <w:szCs w:val="21"/>
                      <w:vertAlign w:val="baseline"/>
                      <w:lang w:val="en-US" w:eastAsia="zh-CN"/>
                    </w:rPr>
                    <w:t>（t/a）</w:t>
                  </w:r>
                </w:p>
              </w:tc>
              <w:tc>
                <w:tcPr>
                  <w:tcW w:w="612" w:type="dxa"/>
                  <w:vAlign w:val="center"/>
                </w:tcPr>
                <w:p w14:paraId="45BF878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贮存周期</w:t>
                  </w:r>
                </w:p>
              </w:tc>
            </w:tr>
            <w:tr w14:paraId="39FD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14:paraId="5A7B743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804" w:type="dxa"/>
                  <w:vMerge w:val="restart"/>
                  <w:vAlign w:val="center"/>
                </w:tcPr>
                <w:p w14:paraId="3D92AC3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lang w:val="en-US" w:eastAsia="zh-CN"/>
                    </w:rPr>
                    <w:t>危废暂存库</w:t>
                  </w:r>
                </w:p>
              </w:tc>
              <w:tc>
                <w:tcPr>
                  <w:tcW w:w="720" w:type="dxa"/>
                  <w:shd w:val="clear" w:color="auto" w:fill="auto"/>
                  <w:vAlign w:val="center"/>
                </w:tcPr>
                <w:p w14:paraId="47808DE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废过滤棉</w:t>
                  </w:r>
                </w:p>
              </w:tc>
              <w:tc>
                <w:tcPr>
                  <w:tcW w:w="840" w:type="dxa"/>
                  <w:shd w:val="clear" w:color="auto" w:fill="auto"/>
                  <w:vAlign w:val="center"/>
                </w:tcPr>
                <w:p w14:paraId="117D687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HW49</w:t>
                  </w:r>
                </w:p>
              </w:tc>
              <w:tc>
                <w:tcPr>
                  <w:tcW w:w="813" w:type="dxa"/>
                  <w:shd w:val="clear" w:color="auto" w:fill="auto"/>
                  <w:vAlign w:val="center"/>
                </w:tcPr>
                <w:p w14:paraId="5093FCC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900-041-49</w:t>
                  </w:r>
                </w:p>
              </w:tc>
              <w:tc>
                <w:tcPr>
                  <w:tcW w:w="517" w:type="dxa"/>
                  <w:vMerge w:val="restart"/>
                  <w:vAlign w:val="center"/>
                </w:tcPr>
                <w:p w14:paraId="7728631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C车间南侧</w:t>
                  </w:r>
                </w:p>
              </w:tc>
              <w:tc>
                <w:tcPr>
                  <w:tcW w:w="658" w:type="dxa"/>
                  <w:vMerge w:val="restart"/>
                  <w:vAlign w:val="center"/>
                </w:tcPr>
                <w:p w14:paraId="4CB71EA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r>
                    <w:rPr>
                      <w:rFonts w:hint="eastAsia" w:ascii="Times New Roman" w:hAnsi="Times New Roman" w:eastAsia="宋体" w:cs="Times New Roman"/>
                      <w:sz w:val="21"/>
                      <w:szCs w:val="21"/>
                      <w:vertAlign w:val="baseline"/>
                      <w:lang w:val="en-US" w:eastAsia="zh-CN"/>
                    </w:rPr>
                    <w:t>0m</w:t>
                  </w:r>
                  <w:r>
                    <w:rPr>
                      <w:rFonts w:hint="eastAsia" w:ascii="Times New Roman" w:hAnsi="Times New Roman" w:eastAsia="宋体" w:cs="Times New Roman"/>
                      <w:sz w:val="21"/>
                      <w:szCs w:val="21"/>
                      <w:vertAlign w:val="superscript"/>
                      <w:lang w:val="en-US" w:eastAsia="zh-CN"/>
                    </w:rPr>
                    <w:t>2</w:t>
                  </w:r>
                </w:p>
              </w:tc>
              <w:tc>
                <w:tcPr>
                  <w:tcW w:w="906" w:type="dxa"/>
                  <w:shd w:val="clear" w:color="auto" w:fill="auto"/>
                  <w:vAlign w:val="center"/>
                </w:tcPr>
                <w:p w14:paraId="1A0E6690">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1.4512</w:t>
                  </w:r>
                </w:p>
              </w:tc>
              <w:tc>
                <w:tcPr>
                  <w:tcW w:w="1025" w:type="dxa"/>
                  <w:vAlign w:val="center"/>
                </w:tcPr>
                <w:p w14:paraId="1FD5D64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软膜包覆，密封袋装</w:t>
                  </w:r>
                </w:p>
              </w:tc>
              <w:tc>
                <w:tcPr>
                  <w:tcW w:w="852" w:type="dxa"/>
                  <w:shd w:val="clear" w:color="auto" w:fill="auto"/>
                  <w:vAlign w:val="center"/>
                </w:tcPr>
                <w:p w14:paraId="4D49E982">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1.4512</w:t>
                  </w:r>
                </w:p>
              </w:tc>
              <w:tc>
                <w:tcPr>
                  <w:tcW w:w="612" w:type="dxa"/>
                  <w:vMerge w:val="restart"/>
                  <w:vAlign w:val="center"/>
                </w:tcPr>
                <w:p w14:paraId="4DF203E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12</w:t>
                  </w:r>
                  <w:r>
                    <w:rPr>
                      <w:rFonts w:hint="eastAsia" w:ascii="Times New Roman" w:hAnsi="Times New Roman" w:eastAsia="宋体" w:cs="Times New Roman"/>
                      <w:sz w:val="21"/>
                      <w:szCs w:val="21"/>
                      <w:vertAlign w:val="baseline"/>
                      <w:lang w:val="en-US" w:eastAsia="zh-CN"/>
                    </w:rPr>
                    <w:t>个月</w:t>
                  </w:r>
                </w:p>
              </w:tc>
            </w:tr>
            <w:tr w14:paraId="436F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14:paraId="68A7A7F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804" w:type="dxa"/>
                  <w:vMerge w:val="continue"/>
                  <w:vAlign w:val="center"/>
                </w:tcPr>
                <w:p w14:paraId="2C6BDDD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20" w:type="dxa"/>
                  <w:shd w:val="clear" w:color="auto" w:fill="auto"/>
                  <w:vAlign w:val="center"/>
                </w:tcPr>
                <w:p w14:paraId="101E4BB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漆渣</w:t>
                  </w:r>
                </w:p>
              </w:tc>
              <w:tc>
                <w:tcPr>
                  <w:tcW w:w="840" w:type="dxa"/>
                  <w:shd w:val="clear" w:color="auto" w:fill="auto"/>
                  <w:vAlign w:val="center"/>
                </w:tcPr>
                <w:p w14:paraId="4FDE9AC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HW49</w:t>
                  </w:r>
                </w:p>
              </w:tc>
              <w:tc>
                <w:tcPr>
                  <w:tcW w:w="813" w:type="dxa"/>
                  <w:shd w:val="clear" w:color="auto" w:fill="auto"/>
                  <w:vAlign w:val="center"/>
                </w:tcPr>
                <w:p w14:paraId="53E5B31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900-047-49</w:t>
                  </w:r>
                </w:p>
              </w:tc>
              <w:tc>
                <w:tcPr>
                  <w:tcW w:w="517" w:type="dxa"/>
                  <w:vMerge w:val="continue"/>
                  <w:vAlign w:val="center"/>
                </w:tcPr>
                <w:p w14:paraId="18AB617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658" w:type="dxa"/>
                  <w:vMerge w:val="continue"/>
                  <w:vAlign w:val="center"/>
                </w:tcPr>
                <w:p w14:paraId="4342E41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906" w:type="dxa"/>
                  <w:shd w:val="clear" w:color="auto" w:fill="auto"/>
                  <w:vAlign w:val="center"/>
                </w:tcPr>
                <w:p w14:paraId="08065693">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0.3628</w:t>
                  </w:r>
                </w:p>
              </w:tc>
              <w:tc>
                <w:tcPr>
                  <w:tcW w:w="1025" w:type="dxa"/>
                  <w:vAlign w:val="center"/>
                </w:tcPr>
                <w:p w14:paraId="0242A18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密封桶装</w:t>
                  </w:r>
                </w:p>
              </w:tc>
              <w:tc>
                <w:tcPr>
                  <w:tcW w:w="852" w:type="dxa"/>
                  <w:shd w:val="clear" w:color="auto" w:fill="auto"/>
                  <w:vAlign w:val="center"/>
                </w:tcPr>
                <w:p w14:paraId="4E41F5F7">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0.3628</w:t>
                  </w:r>
                </w:p>
              </w:tc>
              <w:tc>
                <w:tcPr>
                  <w:tcW w:w="612" w:type="dxa"/>
                  <w:vMerge w:val="continue"/>
                  <w:vAlign w:val="center"/>
                </w:tcPr>
                <w:p w14:paraId="01B1ED6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r w14:paraId="4BFA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14:paraId="06DCDC6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804" w:type="dxa"/>
                  <w:vMerge w:val="continue"/>
                  <w:vAlign w:val="center"/>
                </w:tcPr>
                <w:p w14:paraId="5B50DC4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20" w:type="dxa"/>
                  <w:shd w:val="clear" w:color="auto" w:fill="auto"/>
                  <w:vAlign w:val="center"/>
                </w:tcPr>
                <w:p w14:paraId="210C3C7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废切削液</w:t>
                  </w:r>
                </w:p>
              </w:tc>
              <w:tc>
                <w:tcPr>
                  <w:tcW w:w="840" w:type="dxa"/>
                  <w:shd w:val="clear" w:color="auto" w:fill="auto"/>
                  <w:vAlign w:val="center"/>
                </w:tcPr>
                <w:p w14:paraId="36513D7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HW</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9</w:t>
                  </w:r>
                </w:p>
              </w:tc>
              <w:tc>
                <w:tcPr>
                  <w:tcW w:w="813" w:type="dxa"/>
                  <w:shd w:val="clear" w:color="auto" w:fill="auto"/>
                  <w:vAlign w:val="center"/>
                </w:tcPr>
                <w:p w14:paraId="06692FC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kern w:val="0"/>
                      <w:sz w:val="21"/>
                      <w:szCs w:val="21"/>
                      <w:lang w:val="en-US" w:eastAsia="zh-CN"/>
                    </w:rPr>
                    <w:t>900-006-09</w:t>
                  </w:r>
                </w:p>
              </w:tc>
              <w:tc>
                <w:tcPr>
                  <w:tcW w:w="517" w:type="dxa"/>
                  <w:vMerge w:val="continue"/>
                  <w:vAlign w:val="center"/>
                </w:tcPr>
                <w:p w14:paraId="72D0298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658" w:type="dxa"/>
                  <w:vMerge w:val="continue"/>
                  <w:vAlign w:val="center"/>
                </w:tcPr>
                <w:p w14:paraId="32D85B6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906" w:type="dxa"/>
                  <w:shd w:val="clear" w:color="auto" w:fill="auto"/>
                  <w:vAlign w:val="center"/>
                </w:tcPr>
                <w:p w14:paraId="470CBB9E">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0.2</w:t>
                  </w:r>
                </w:p>
              </w:tc>
              <w:tc>
                <w:tcPr>
                  <w:tcW w:w="1025" w:type="dxa"/>
                  <w:vAlign w:val="center"/>
                </w:tcPr>
                <w:p w14:paraId="67EAC9E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密封桶装</w:t>
                  </w:r>
                </w:p>
              </w:tc>
              <w:tc>
                <w:tcPr>
                  <w:tcW w:w="852" w:type="dxa"/>
                  <w:shd w:val="clear" w:color="auto" w:fill="auto"/>
                  <w:vAlign w:val="center"/>
                </w:tcPr>
                <w:p w14:paraId="44859A95">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0.2</w:t>
                  </w:r>
                </w:p>
              </w:tc>
              <w:tc>
                <w:tcPr>
                  <w:tcW w:w="612" w:type="dxa"/>
                  <w:vMerge w:val="continue"/>
                  <w:vAlign w:val="center"/>
                </w:tcPr>
                <w:p w14:paraId="6BCDC1B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r w14:paraId="345C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14:paraId="0F60545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804" w:type="dxa"/>
                  <w:vMerge w:val="continue"/>
                  <w:vAlign w:val="center"/>
                </w:tcPr>
                <w:p w14:paraId="1ED6856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20" w:type="dxa"/>
                  <w:shd w:val="clear" w:color="auto" w:fill="auto"/>
                  <w:vAlign w:val="center"/>
                </w:tcPr>
                <w:p w14:paraId="3A542A7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废漆桶</w:t>
                  </w:r>
                </w:p>
              </w:tc>
              <w:tc>
                <w:tcPr>
                  <w:tcW w:w="840" w:type="dxa"/>
                  <w:shd w:val="clear" w:color="auto" w:fill="auto"/>
                  <w:vAlign w:val="center"/>
                </w:tcPr>
                <w:p w14:paraId="6D33F23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HW49</w:t>
                  </w:r>
                </w:p>
              </w:tc>
              <w:tc>
                <w:tcPr>
                  <w:tcW w:w="813" w:type="dxa"/>
                  <w:shd w:val="clear" w:color="auto" w:fill="auto"/>
                  <w:vAlign w:val="center"/>
                </w:tcPr>
                <w:p w14:paraId="04FA26A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shd w:val="clear" w:color="auto" w:fill="FFFFFF"/>
                    </w:rPr>
                    <w:t>900-041-49</w:t>
                  </w:r>
                </w:p>
              </w:tc>
              <w:tc>
                <w:tcPr>
                  <w:tcW w:w="517" w:type="dxa"/>
                  <w:vMerge w:val="continue"/>
                  <w:vAlign w:val="center"/>
                </w:tcPr>
                <w:p w14:paraId="610A953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658" w:type="dxa"/>
                  <w:vMerge w:val="continue"/>
                  <w:vAlign w:val="center"/>
                </w:tcPr>
                <w:p w14:paraId="7EAE96E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906" w:type="dxa"/>
                  <w:shd w:val="clear" w:color="auto" w:fill="auto"/>
                  <w:vAlign w:val="center"/>
                </w:tcPr>
                <w:p w14:paraId="2EEBB614">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r>
                    <w:rPr>
                      <w:rFonts w:hint="eastAsia" w:cs="Times New Roman"/>
                      <w:sz w:val="21"/>
                      <w:szCs w:val="21"/>
                      <w:lang w:val="en-US" w:eastAsia="zh-CN"/>
                    </w:rPr>
                    <w:t>125</w:t>
                  </w:r>
                </w:p>
              </w:tc>
              <w:tc>
                <w:tcPr>
                  <w:tcW w:w="1025" w:type="dxa"/>
                  <w:vAlign w:val="center"/>
                </w:tcPr>
                <w:p w14:paraId="1BB98C8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密封袋装</w:t>
                  </w:r>
                </w:p>
              </w:tc>
              <w:tc>
                <w:tcPr>
                  <w:tcW w:w="852" w:type="dxa"/>
                  <w:shd w:val="clear" w:color="auto" w:fill="auto"/>
                  <w:vAlign w:val="center"/>
                </w:tcPr>
                <w:p w14:paraId="243CCC98">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w:t>
                  </w:r>
                  <w:r>
                    <w:rPr>
                      <w:rFonts w:hint="eastAsia" w:cs="Times New Roman"/>
                      <w:sz w:val="21"/>
                      <w:szCs w:val="21"/>
                      <w:lang w:val="en-US" w:eastAsia="zh-CN"/>
                    </w:rPr>
                    <w:t>125</w:t>
                  </w:r>
                </w:p>
              </w:tc>
              <w:tc>
                <w:tcPr>
                  <w:tcW w:w="612" w:type="dxa"/>
                  <w:vMerge w:val="continue"/>
                  <w:vAlign w:val="center"/>
                </w:tcPr>
                <w:p w14:paraId="5728684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r w14:paraId="3584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14:paraId="21D8062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w:t>
                  </w:r>
                </w:p>
              </w:tc>
              <w:tc>
                <w:tcPr>
                  <w:tcW w:w="804" w:type="dxa"/>
                  <w:vMerge w:val="continue"/>
                  <w:vAlign w:val="center"/>
                </w:tcPr>
                <w:p w14:paraId="4D470C1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20" w:type="dxa"/>
                  <w:shd w:val="clear" w:color="auto" w:fill="auto"/>
                  <w:vAlign w:val="center"/>
                </w:tcPr>
                <w:p w14:paraId="79EBC32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废封装料桶</w:t>
                  </w:r>
                </w:p>
              </w:tc>
              <w:tc>
                <w:tcPr>
                  <w:tcW w:w="840" w:type="dxa"/>
                  <w:shd w:val="clear" w:color="auto" w:fill="auto"/>
                  <w:vAlign w:val="center"/>
                </w:tcPr>
                <w:p w14:paraId="080AC19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HW49</w:t>
                  </w:r>
                </w:p>
              </w:tc>
              <w:tc>
                <w:tcPr>
                  <w:tcW w:w="813" w:type="dxa"/>
                  <w:shd w:val="clear" w:color="auto" w:fill="auto"/>
                  <w:vAlign w:val="center"/>
                </w:tcPr>
                <w:p w14:paraId="1D5BBEF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shd w:val="clear" w:color="auto" w:fill="FFFFFF"/>
                    </w:rPr>
                    <w:t>900-041-49</w:t>
                  </w:r>
                </w:p>
              </w:tc>
              <w:tc>
                <w:tcPr>
                  <w:tcW w:w="517" w:type="dxa"/>
                  <w:vMerge w:val="continue"/>
                  <w:vAlign w:val="center"/>
                </w:tcPr>
                <w:p w14:paraId="1B6D3F2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658" w:type="dxa"/>
                  <w:vMerge w:val="continue"/>
                  <w:vAlign w:val="center"/>
                </w:tcPr>
                <w:p w14:paraId="7B4E5BB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906" w:type="dxa"/>
                  <w:shd w:val="clear" w:color="auto" w:fill="auto"/>
                  <w:vAlign w:val="center"/>
                </w:tcPr>
                <w:p w14:paraId="452B7B93">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0.0974</w:t>
                  </w:r>
                </w:p>
              </w:tc>
              <w:tc>
                <w:tcPr>
                  <w:tcW w:w="1025" w:type="dxa"/>
                  <w:vAlign w:val="center"/>
                </w:tcPr>
                <w:p w14:paraId="72FB75B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密封袋装</w:t>
                  </w:r>
                </w:p>
              </w:tc>
              <w:tc>
                <w:tcPr>
                  <w:tcW w:w="852" w:type="dxa"/>
                  <w:shd w:val="clear" w:color="auto" w:fill="auto"/>
                  <w:vAlign w:val="center"/>
                </w:tcPr>
                <w:p w14:paraId="1B5913C9">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0.0974</w:t>
                  </w:r>
                </w:p>
              </w:tc>
              <w:tc>
                <w:tcPr>
                  <w:tcW w:w="612" w:type="dxa"/>
                  <w:vMerge w:val="continue"/>
                  <w:vAlign w:val="center"/>
                </w:tcPr>
                <w:p w14:paraId="5D437F7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r w14:paraId="2DE2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14:paraId="0FAE035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w:t>
                  </w:r>
                </w:p>
              </w:tc>
              <w:tc>
                <w:tcPr>
                  <w:tcW w:w="804" w:type="dxa"/>
                  <w:vMerge w:val="continue"/>
                  <w:vAlign w:val="center"/>
                </w:tcPr>
                <w:p w14:paraId="3F75EC2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20" w:type="dxa"/>
                  <w:shd w:val="clear" w:color="auto" w:fill="auto"/>
                  <w:vAlign w:val="center"/>
                </w:tcPr>
                <w:p w14:paraId="7C4D7C2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废液压油</w:t>
                  </w:r>
                </w:p>
              </w:tc>
              <w:tc>
                <w:tcPr>
                  <w:tcW w:w="840" w:type="dxa"/>
                  <w:shd w:val="clear" w:color="auto" w:fill="auto"/>
                  <w:vAlign w:val="center"/>
                </w:tcPr>
                <w:p w14:paraId="2A818F6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HW08</w:t>
                  </w:r>
                </w:p>
              </w:tc>
              <w:tc>
                <w:tcPr>
                  <w:tcW w:w="813" w:type="dxa"/>
                  <w:shd w:val="clear" w:color="auto" w:fill="auto"/>
                  <w:vAlign w:val="center"/>
                </w:tcPr>
                <w:p w14:paraId="0E0C7E7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shd w:val="clear" w:color="auto" w:fill="FFFFFF"/>
                      <w:lang w:val="en-US" w:eastAsia="zh-CN" w:bidi="ar-SA"/>
                    </w:rPr>
                  </w:pPr>
                  <w:r>
                    <w:rPr>
                      <w:rFonts w:hint="default" w:ascii="Times New Roman" w:hAnsi="Times New Roman" w:eastAsia="宋体" w:cs="Times New Roman"/>
                      <w:color w:val="000000"/>
                      <w:kern w:val="2"/>
                      <w:sz w:val="21"/>
                      <w:szCs w:val="21"/>
                      <w:highlight w:val="none"/>
                      <w:lang w:val="en-US" w:eastAsia="zh-CN"/>
                    </w:rPr>
                    <w:t>900-249-08</w:t>
                  </w:r>
                </w:p>
              </w:tc>
              <w:tc>
                <w:tcPr>
                  <w:tcW w:w="517" w:type="dxa"/>
                  <w:vMerge w:val="continue"/>
                  <w:vAlign w:val="center"/>
                </w:tcPr>
                <w:p w14:paraId="6B388E2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658" w:type="dxa"/>
                  <w:vMerge w:val="continue"/>
                  <w:vAlign w:val="center"/>
                </w:tcPr>
                <w:p w14:paraId="43A29FC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906" w:type="dxa"/>
                  <w:shd w:val="clear" w:color="auto" w:fill="auto"/>
                  <w:vAlign w:val="center"/>
                </w:tcPr>
                <w:p w14:paraId="46F1786C">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w:t>
                  </w:r>
                </w:p>
              </w:tc>
              <w:tc>
                <w:tcPr>
                  <w:tcW w:w="1025" w:type="dxa"/>
                  <w:vAlign w:val="center"/>
                </w:tcPr>
                <w:p w14:paraId="7173624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密封桶装</w:t>
                  </w:r>
                </w:p>
              </w:tc>
              <w:tc>
                <w:tcPr>
                  <w:tcW w:w="852" w:type="dxa"/>
                  <w:shd w:val="clear" w:color="auto" w:fill="auto"/>
                  <w:vAlign w:val="center"/>
                </w:tcPr>
                <w:p w14:paraId="558ECC52">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w:t>
                  </w:r>
                </w:p>
              </w:tc>
              <w:tc>
                <w:tcPr>
                  <w:tcW w:w="612" w:type="dxa"/>
                  <w:vMerge w:val="continue"/>
                  <w:vAlign w:val="center"/>
                </w:tcPr>
                <w:p w14:paraId="1BB4CB6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r w14:paraId="1EE9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14:paraId="3583008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w:t>
                  </w:r>
                </w:p>
              </w:tc>
              <w:tc>
                <w:tcPr>
                  <w:tcW w:w="804" w:type="dxa"/>
                  <w:vMerge w:val="continue"/>
                  <w:vAlign w:val="center"/>
                </w:tcPr>
                <w:p w14:paraId="0AC7646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20" w:type="dxa"/>
                  <w:shd w:val="clear" w:color="auto" w:fill="auto"/>
                  <w:vAlign w:val="center"/>
                </w:tcPr>
                <w:p w14:paraId="5768123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含油抹布及手套</w:t>
                  </w:r>
                </w:p>
              </w:tc>
              <w:tc>
                <w:tcPr>
                  <w:tcW w:w="840" w:type="dxa"/>
                  <w:shd w:val="clear" w:color="auto" w:fill="auto"/>
                  <w:vAlign w:val="center"/>
                </w:tcPr>
                <w:p w14:paraId="60698DE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HW49</w:t>
                  </w:r>
                </w:p>
              </w:tc>
              <w:tc>
                <w:tcPr>
                  <w:tcW w:w="813" w:type="dxa"/>
                  <w:shd w:val="clear" w:color="auto" w:fill="auto"/>
                  <w:vAlign w:val="center"/>
                </w:tcPr>
                <w:p w14:paraId="3500E25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900-041-49</w:t>
                  </w:r>
                </w:p>
              </w:tc>
              <w:tc>
                <w:tcPr>
                  <w:tcW w:w="517" w:type="dxa"/>
                  <w:vMerge w:val="continue"/>
                  <w:vAlign w:val="center"/>
                </w:tcPr>
                <w:p w14:paraId="2FF8C76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658" w:type="dxa"/>
                  <w:vMerge w:val="continue"/>
                  <w:vAlign w:val="center"/>
                </w:tcPr>
                <w:p w14:paraId="0FC3921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906" w:type="dxa"/>
                  <w:shd w:val="clear" w:color="auto" w:fill="auto"/>
                  <w:vAlign w:val="center"/>
                </w:tcPr>
                <w:p w14:paraId="2E25CFFC">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0.01</w:t>
                  </w:r>
                </w:p>
              </w:tc>
              <w:tc>
                <w:tcPr>
                  <w:tcW w:w="1025" w:type="dxa"/>
                  <w:vAlign w:val="center"/>
                </w:tcPr>
                <w:p w14:paraId="1B9217A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密封袋装</w:t>
                  </w:r>
                </w:p>
              </w:tc>
              <w:tc>
                <w:tcPr>
                  <w:tcW w:w="852" w:type="dxa"/>
                  <w:shd w:val="clear" w:color="auto" w:fill="auto"/>
                  <w:vAlign w:val="center"/>
                </w:tcPr>
                <w:p w14:paraId="0BED1427">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0.01</w:t>
                  </w:r>
                </w:p>
              </w:tc>
              <w:tc>
                <w:tcPr>
                  <w:tcW w:w="612" w:type="dxa"/>
                  <w:vMerge w:val="continue"/>
                  <w:vAlign w:val="center"/>
                </w:tcPr>
                <w:p w14:paraId="43C6B83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r w14:paraId="3367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Align w:val="center"/>
                </w:tcPr>
                <w:p w14:paraId="281AF05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8</w:t>
                  </w:r>
                </w:p>
              </w:tc>
              <w:tc>
                <w:tcPr>
                  <w:tcW w:w="804" w:type="dxa"/>
                  <w:vMerge w:val="continue"/>
                  <w:vAlign w:val="center"/>
                </w:tcPr>
                <w:p w14:paraId="693635B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20" w:type="dxa"/>
                  <w:shd w:val="clear" w:color="auto" w:fill="auto"/>
                  <w:vAlign w:val="center"/>
                </w:tcPr>
                <w:p w14:paraId="1EB8201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废液压油</w:t>
                  </w:r>
                  <w:r>
                    <w:rPr>
                      <w:rFonts w:hint="eastAsia" w:cs="Times New Roman"/>
                      <w:b w:val="0"/>
                      <w:bCs w:val="0"/>
                      <w:sz w:val="21"/>
                      <w:szCs w:val="21"/>
                      <w:lang w:val="en-US" w:eastAsia="zh-CN"/>
                    </w:rPr>
                    <w:t>桶</w:t>
                  </w:r>
                </w:p>
              </w:tc>
              <w:tc>
                <w:tcPr>
                  <w:tcW w:w="840" w:type="dxa"/>
                  <w:shd w:val="clear" w:color="auto" w:fill="auto"/>
                  <w:vAlign w:val="center"/>
                </w:tcPr>
                <w:p w14:paraId="75FF09D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color w:val="auto"/>
                      <w:kern w:val="2"/>
                      <w:sz w:val="21"/>
                      <w:szCs w:val="21"/>
                      <w:lang w:val="en-US" w:eastAsia="zh-CN" w:bidi="ar-SA"/>
                    </w:rPr>
                    <w:t>HW49</w:t>
                  </w:r>
                </w:p>
              </w:tc>
              <w:tc>
                <w:tcPr>
                  <w:tcW w:w="813" w:type="dxa"/>
                  <w:shd w:val="clear" w:color="auto" w:fill="auto"/>
                  <w:vAlign w:val="center"/>
                </w:tcPr>
                <w:p w14:paraId="012AE1D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shd w:val="clear" w:color="auto" w:fill="FFFFFF"/>
                    </w:rPr>
                    <w:t>900-041-49</w:t>
                  </w:r>
                </w:p>
              </w:tc>
              <w:tc>
                <w:tcPr>
                  <w:tcW w:w="517" w:type="dxa"/>
                  <w:vMerge w:val="continue"/>
                  <w:vAlign w:val="center"/>
                </w:tcPr>
                <w:p w14:paraId="1BD7C42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658" w:type="dxa"/>
                  <w:vMerge w:val="continue"/>
                  <w:vAlign w:val="center"/>
                </w:tcPr>
                <w:p w14:paraId="109D0A7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906" w:type="dxa"/>
                  <w:shd w:val="clear" w:color="auto" w:fill="auto"/>
                  <w:vAlign w:val="center"/>
                </w:tcPr>
                <w:p w14:paraId="6C5B4442">
                  <w:pPr>
                    <w:widowControl/>
                    <w:jc w:val="center"/>
                    <w:textAlignment w:val="center"/>
                    <w:rPr>
                      <w:rFonts w:hint="default" w:cs="Times New Roman"/>
                      <w:sz w:val="21"/>
                      <w:szCs w:val="21"/>
                      <w:lang w:val="en-US" w:eastAsia="zh-CN"/>
                    </w:rPr>
                  </w:pPr>
                  <w:r>
                    <w:rPr>
                      <w:rFonts w:hint="eastAsia" w:cs="Times New Roman"/>
                      <w:sz w:val="21"/>
                      <w:szCs w:val="21"/>
                      <w:lang w:val="en-US" w:eastAsia="zh-CN"/>
                    </w:rPr>
                    <w:t>0.12</w:t>
                  </w:r>
                </w:p>
              </w:tc>
              <w:tc>
                <w:tcPr>
                  <w:tcW w:w="1025" w:type="dxa"/>
                  <w:vAlign w:val="center"/>
                </w:tcPr>
                <w:p w14:paraId="201E9E54">
                  <w:pPr>
                    <w:keepNext w:val="0"/>
                    <w:keepLines w:val="0"/>
                    <w:pageBreakBefore w:val="0"/>
                    <w:kinsoku/>
                    <w:wordWrap/>
                    <w:overflowPunct/>
                    <w:topLinePunct w:val="0"/>
                    <w:autoSpaceDE/>
                    <w:autoSpaceDN/>
                    <w:bidi w:val="0"/>
                    <w:adjustRightInd/>
                    <w:snapToGrid/>
                    <w:jc w:val="center"/>
                    <w:rPr>
                      <w:rFonts w:hint="eastAsia"/>
                      <w:color w:val="000000"/>
                      <w:kern w:val="0"/>
                      <w:sz w:val="21"/>
                      <w:szCs w:val="21"/>
                      <w:lang w:val="en-US" w:eastAsia="zh-CN"/>
                    </w:rPr>
                  </w:pPr>
                  <w:r>
                    <w:rPr>
                      <w:rFonts w:hint="eastAsia"/>
                      <w:color w:val="000000"/>
                      <w:kern w:val="0"/>
                      <w:sz w:val="21"/>
                      <w:szCs w:val="21"/>
                      <w:lang w:val="en-US" w:eastAsia="zh-CN"/>
                    </w:rPr>
                    <w:t>密封桶装</w:t>
                  </w:r>
                </w:p>
              </w:tc>
              <w:tc>
                <w:tcPr>
                  <w:tcW w:w="852" w:type="dxa"/>
                  <w:shd w:val="clear" w:color="auto" w:fill="auto"/>
                  <w:vAlign w:val="center"/>
                </w:tcPr>
                <w:p w14:paraId="2E2F4422">
                  <w:pPr>
                    <w:widowControl/>
                    <w:jc w:val="center"/>
                    <w:textAlignment w:val="center"/>
                    <w:rPr>
                      <w:rFonts w:hint="default" w:cs="Times New Roman"/>
                      <w:sz w:val="21"/>
                      <w:szCs w:val="21"/>
                      <w:lang w:val="en-US" w:eastAsia="zh-CN"/>
                    </w:rPr>
                  </w:pPr>
                  <w:r>
                    <w:rPr>
                      <w:rFonts w:hint="eastAsia" w:cs="Times New Roman"/>
                      <w:sz w:val="21"/>
                      <w:szCs w:val="21"/>
                      <w:lang w:val="en-US" w:eastAsia="zh-CN"/>
                    </w:rPr>
                    <w:t>0.12</w:t>
                  </w:r>
                </w:p>
              </w:tc>
              <w:tc>
                <w:tcPr>
                  <w:tcW w:w="612" w:type="dxa"/>
                  <w:vMerge w:val="continue"/>
                  <w:vAlign w:val="center"/>
                </w:tcPr>
                <w:p w14:paraId="460B93B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bl>
          <w:p w14:paraId="44008EEF">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color w:val="000000"/>
                <w:kern w:val="0"/>
                <w:sz w:val="24"/>
                <w:lang w:val="en-US" w:eastAsia="zh-CN"/>
              </w:rPr>
            </w:pPr>
            <w:r>
              <w:rPr>
                <w:rFonts w:hint="default"/>
                <w:color w:val="000000"/>
                <w:kern w:val="0"/>
                <w:sz w:val="24"/>
                <w:lang w:val="en-US" w:eastAsia="zh-CN"/>
              </w:rPr>
              <w:t>②</w:t>
            </w:r>
            <w:r>
              <w:rPr>
                <w:rFonts w:hint="eastAsia"/>
                <w:color w:val="000000"/>
                <w:kern w:val="0"/>
                <w:sz w:val="24"/>
                <w:lang w:val="en-US" w:eastAsia="zh-CN"/>
              </w:rPr>
              <w:t>运输过程中的污染防治措施</w:t>
            </w:r>
          </w:p>
          <w:p w14:paraId="7E6686E4">
            <w:pPr>
              <w:spacing w:line="360" w:lineRule="auto"/>
              <w:ind w:firstLine="480" w:firstLineChars="200"/>
              <w:jc w:val="left"/>
              <w:rPr>
                <w:rFonts w:hint="eastAsia"/>
                <w:color w:val="000000"/>
                <w:kern w:val="0"/>
                <w:sz w:val="24"/>
                <w:lang w:val="en-US" w:eastAsia="zh-CN"/>
              </w:rPr>
            </w:pPr>
            <w:r>
              <w:rPr>
                <w:rFonts w:hint="eastAsia"/>
                <w:color w:val="000000"/>
                <w:kern w:val="0"/>
                <w:sz w:val="24"/>
                <w:lang w:val="en-US" w:eastAsia="zh-CN"/>
              </w:rPr>
              <w:t>项目应与有相应危废处置资质的单位签订危废处置合同。所处理的危险废物采用专门的车辆，密闭运输，严格禁止抛洒滴漏，杜绝在运输过程中造成环境的二次污染。在危险废物的运输中执行《危险废物转移联单管理办法》中有关的规定和要求。</w:t>
            </w:r>
          </w:p>
          <w:p w14:paraId="43A8D122">
            <w:pPr>
              <w:spacing w:line="360" w:lineRule="auto"/>
              <w:ind w:firstLine="480" w:firstLineChars="200"/>
              <w:jc w:val="left"/>
              <w:rPr>
                <w:rFonts w:hint="default"/>
                <w:color w:val="000000"/>
                <w:kern w:val="0"/>
                <w:sz w:val="24"/>
                <w:lang w:val="en-US" w:eastAsia="zh-CN"/>
              </w:rPr>
            </w:pPr>
            <w:r>
              <w:rPr>
                <w:rFonts w:hint="eastAsia"/>
                <w:color w:val="000000"/>
                <w:kern w:val="0"/>
                <w:sz w:val="24"/>
                <w:lang w:val="en-US" w:eastAsia="zh-CN"/>
              </w:rPr>
              <w:t>3、</w:t>
            </w:r>
            <w:r>
              <w:rPr>
                <w:rFonts w:hint="default"/>
                <w:color w:val="000000"/>
                <w:kern w:val="0"/>
                <w:sz w:val="24"/>
                <w:lang w:val="en-US" w:eastAsia="zh-CN"/>
              </w:rPr>
              <w:t>危险废物贮存过程对环境的影响</w:t>
            </w:r>
          </w:p>
          <w:p w14:paraId="6527F2C1">
            <w:pPr>
              <w:spacing w:line="360" w:lineRule="auto"/>
              <w:ind w:firstLine="480" w:firstLineChars="200"/>
              <w:jc w:val="left"/>
              <w:rPr>
                <w:rFonts w:hint="eastAsia"/>
                <w:color w:val="000000"/>
                <w:kern w:val="0"/>
                <w:sz w:val="24"/>
                <w:lang w:val="en-US" w:eastAsia="zh-CN"/>
              </w:rPr>
            </w:pPr>
            <w:r>
              <w:rPr>
                <w:rFonts w:hint="eastAsia"/>
                <w:color w:val="000000"/>
                <w:kern w:val="0"/>
                <w:sz w:val="24"/>
                <w:lang w:val="en-US" w:eastAsia="zh-CN"/>
              </w:rPr>
              <w:t>对环境空气的影响：本项目贮存的危险废物均是以密封的容器包装，故危险废物中的挥发性物质不会散逸到空气中产生废气。</w:t>
            </w:r>
          </w:p>
          <w:p w14:paraId="716C6083">
            <w:pPr>
              <w:spacing w:line="360" w:lineRule="auto"/>
              <w:ind w:firstLine="480" w:firstLineChars="200"/>
              <w:jc w:val="left"/>
              <w:rPr>
                <w:rFonts w:hint="eastAsia"/>
                <w:color w:val="000000"/>
                <w:kern w:val="0"/>
                <w:sz w:val="24"/>
                <w:lang w:val="en-US" w:eastAsia="zh-CN"/>
              </w:rPr>
            </w:pPr>
            <w:r>
              <w:rPr>
                <w:rFonts w:hint="eastAsia"/>
                <w:color w:val="000000"/>
                <w:kern w:val="0"/>
                <w:sz w:val="24"/>
                <w:lang w:val="en-US" w:eastAsia="zh-CN"/>
              </w:rPr>
              <w:t>对地表水、土壤、地下水的影响：本项目危废库地面拟进行重点防渗，当事故发生时，不会排入厂区雨水系统，不会对地表水造成影响，也不会泄漏至土壤和地下水中。建设单位应定期检查危废暂存间防渗地面的破损情况，以便及时做出修补措施，防止环氧地坪破裂造成污染。在采取上述防漏防渗措施后，并加强环境管理，危废贮存场所不会对地表水、土壤、地下水环境造成影响。</w:t>
            </w:r>
          </w:p>
          <w:p w14:paraId="235C58A9">
            <w:pPr>
              <w:spacing w:line="360" w:lineRule="auto"/>
              <w:ind w:firstLine="480" w:firstLineChars="200"/>
              <w:jc w:val="left"/>
              <w:rPr>
                <w:rFonts w:hint="eastAsia"/>
                <w:b w:val="0"/>
                <w:bCs w:val="0"/>
                <w:sz w:val="24"/>
                <w:lang w:val="en-US" w:eastAsia="zh-CN"/>
              </w:rPr>
            </w:pPr>
            <w:r>
              <w:rPr>
                <w:rFonts w:hint="eastAsia"/>
                <w:color w:val="000000"/>
                <w:kern w:val="0"/>
                <w:sz w:val="24"/>
                <w:lang w:val="en-US" w:eastAsia="zh-CN"/>
              </w:rPr>
              <w:t>综上所述，项目产生的危废经分类收集、分类妥善处理、处置后，可以实现零排放，对周围环境及人体不会造成影响，亦不会对环境产生二次污染，所采取的处置措施是可行的。</w:t>
            </w:r>
          </w:p>
          <w:p w14:paraId="33B0A835">
            <w:pPr>
              <w:spacing w:line="360" w:lineRule="auto"/>
              <w:ind w:firstLine="480" w:firstLineChars="200"/>
              <w:jc w:val="left"/>
              <w:rPr>
                <w:rFonts w:hint="eastAsia"/>
                <w:b w:val="0"/>
                <w:bCs w:val="0"/>
                <w:sz w:val="24"/>
                <w:lang w:val="en-US" w:eastAsia="zh-CN"/>
              </w:rPr>
            </w:pPr>
            <w:r>
              <w:rPr>
                <w:rFonts w:hint="eastAsia"/>
                <w:b w:val="0"/>
                <w:bCs w:val="0"/>
                <w:sz w:val="24"/>
                <w:lang w:val="en-US" w:eastAsia="zh-CN"/>
              </w:rPr>
              <w:t>（三）一般固废暂存间设置合理性分析</w:t>
            </w:r>
          </w:p>
          <w:p w14:paraId="452C3A62">
            <w:pPr>
              <w:spacing w:line="360" w:lineRule="auto"/>
              <w:ind w:firstLine="480" w:firstLineChars="200"/>
              <w:jc w:val="left"/>
              <w:rPr>
                <w:rFonts w:hint="eastAsia"/>
                <w:b w:val="0"/>
                <w:bCs w:val="0"/>
                <w:sz w:val="24"/>
                <w:lang w:val="en-US" w:eastAsia="zh-CN"/>
              </w:rPr>
            </w:pPr>
            <w:r>
              <w:rPr>
                <w:rFonts w:hint="eastAsia"/>
                <w:b w:val="0"/>
                <w:bCs w:val="0"/>
                <w:sz w:val="24"/>
                <w:lang w:val="en-US" w:eastAsia="zh-CN"/>
              </w:rPr>
              <w:t>根据上述分析可知，本项目运营期产生的一般固体废物为废边角料、粉末涂料包装袋、收集尘和废布袋。一般固体废物分类暂存于一般工业固体废物暂存间后外售综合利用。</w:t>
            </w:r>
          </w:p>
          <w:p w14:paraId="7E35316C">
            <w:pPr>
              <w:spacing w:line="360" w:lineRule="auto"/>
              <w:ind w:firstLine="480" w:firstLineChars="200"/>
              <w:jc w:val="left"/>
              <w:rPr>
                <w:rFonts w:hint="eastAsia"/>
                <w:b w:val="0"/>
                <w:bCs w:val="0"/>
                <w:sz w:val="24"/>
                <w:lang w:val="en-US" w:eastAsia="zh-CN"/>
              </w:rPr>
            </w:pPr>
            <w:r>
              <w:rPr>
                <w:rFonts w:hint="default"/>
                <w:b w:val="0"/>
                <w:bCs w:val="0"/>
                <w:sz w:val="24"/>
                <w:lang w:val="en-US" w:eastAsia="zh-CN"/>
              </w:rPr>
              <w:t>本项目拟</w:t>
            </w:r>
            <w:r>
              <w:rPr>
                <w:rFonts w:hint="eastAsia"/>
                <w:b w:val="0"/>
                <w:bCs w:val="0"/>
                <w:sz w:val="24"/>
                <w:lang w:val="en-US" w:eastAsia="zh-CN"/>
              </w:rPr>
              <w:t>设置一般固废暂存间</w:t>
            </w:r>
            <w:r>
              <w:rPr>
                <w:rFonts w:hint="default"/>
                <w:b w:val="0"/>
                <w:bCs w:val="0"/>
                <w:sz w:val="24"/>
                <w:lang w:val="en-US" w:eastAsia="zh-CN"/>
              </w:rPr>
              <w:t>位于</w:t>
            </w:r>
            <w:r>
              <w:rPr>
                <w:rFonts w:hint="eastAsia"/>
                <w:b w:val="0"/>
                <w:bCs w:val="0"/>
                <w:sz w:val="24"/>
                <w:lang w:val="en-US" w:eastAsia="zh-CN"/>
              </w:rPr>
              <w:t>A车间北侧，项目一般固废暂存间基本情况样表见下表。</w:t>
            </w:r>
          </w:p>
          <w:p w14:paraId="3240B4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kern w:val="0"/>
                <w:sz w:val="21"/>
                <w:szCs w:val="21"/>
                <w:lang w:val="en-US" w:eastAsia="zh-CN" w:bidi="ar-SA"/>
              </w:rPr>
            </w:pPr>
            <w:r>
              <w:rPr>
                <w:rFonts w:hint="eastAsia" w:ascii="Times New Roman" w:hAnsi="Times New Roman" w:eastAsia="宋体" w:cs="Times New Roman"/>
                <w:b/>
                <w:kern w:val="0"/>
                <w:sz w:val="21"/>
                <w:szCs w:val="21"/>
                <w:lang w:val="en-US" w:eastAsia="zh-CN" w:bidi="ar-SA"/>
              </w:rPr>
              <w:t>表4-1</w:t>
            </w:r>
            <w:r>
              <w:rPr>
                <w:rFonts w:hint="eastAsia" w:cs="Times New Roman"/>
                <w:b/>
                <w:kern w:val="0"/>
                <w:sz w:val="21"/>
                <w:szCs w:val="21"/>
                <w:lang w:val="en-US" w:eastAsia="zh-CN" w:bidi="ar-SA"/>
              </w:rPr>
              <w:t>3</w:t>
            </w:r>
            <w:r>
              <w:rPr>
                <w:rFonts w:hint="eastAsia" w:ascii="Times New Roman" w:hAnsi="Times New Roman" w:eastAsia="宋体" w:cs="Times New Roman"/>
                <w:b/>
                <w:kern w:val="0"/>
                <w:sz w:val="21"/>
                <w:szCs w:val="21"/>
                <w:lang w:val="en-US" w:eastAsia="zh-CN" w:bidi="ar-SA"/>
              </w:rPr>
              <w:t xml:space="preserve"> 一般固废暂存间基本情况一览表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813"/>
              <w:gridCol w:w="850"/>
              <w:gridCol w:w="700"/>
              <w:gridCol w:w="680"/>
              <w:gridCol w:w="1172"/>
              <w:gridCol w:w="1496"/>
              <w:gridCol w:w="1078"/>
              <w:gridCol w:w="869"/>
            </w:tblGrid>
            <w:tr w14:paraId="1D6C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4AD4CF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497" w:type="pct"/>
                  <w:vAlign w:val="center"/>
                </w:tcPr>
                <w:p w14:paraId="2A70DAE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贮存场所(设施)名称</w:t>
                  </w:r>
                </w:p>
              </w:tc>
              <w:tc>
                <w:tcPr>
                  <w:tcW w:w="520" w:type="pct"/>
                  <w:vAlign w:val="center"/>
                </w:tcPr>
                <w:p w14:paraId="716C69C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危险废物名称</w:t>
                  </w:r>
                </w:p>
              </w:tc>
              <w:tc>
                <w:tcPr>
                  <w:tcW w:w="428" w:type="pct"/>
                  <w:vAlign w:val="center"/>
                </w:tcPr>
                <w:p w14:paraId="49008F2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位置</w:t>
                  </w:r>
                </w:p>
              </w:tc>
              <w:tc>
                <w:tcPr>
                  <w:tcW w:w="416" w:type="pct"/>
                  <w:vAlign w:val="center"/>
                </w:tcPr>
                <w:p w14:paraId="0BB4BDF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占地面积</w:t>
                  </w:r>
                </w:p>
              </w:tc>
              <w:tc>
                <w:tcPr>
                  <w:tcW w:w="717" w:type="pct"/>
                  <w:vAlign w:val="center"/>
                </w:tcPr>
                <w:p w14:paraId="5D63A39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产生量（t/a）</w:t>
                  </w:r>
                </w:p>
              </w:tc>
              <w:tc>
                <w:tcPr>
                  <w:tcW w:w="915" w:type="pct"/>
                  <w:vAlign w:val="center"/>
                </w:tcPr>
                <w:p w14:paraId="0BB3EB6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贮存方式</w:t>
                  </w:r>
                </w:p>
              </w:tc>
              <w:tc>
                <w:tcPr>
                  <w:tcW w:w="659" w:type="pct"/>
                  <w:vAlign w:val="center"/>
                </w:tcPr>
                <w:p w14:paraId="546C504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贮存能力</w:t>
                  </w:r>
                  <w:r>
                    <w:rPr>
                      <w:rFonts w:hint="eastAsia" w:ascii="Times New Roman" w:hAnsi="Times New Roman" w:eastAsia="宋体" w:cs="Times New Roman"/>
                      <w:sz w:val="21"/>
                      <w:szCs w:val="21"/>
                      <w:vertAlign w:val="baseline"/>
                      <w:lang w:val="en-US" w:eastAsia="zh-CN"/>
                    </w:rPr>
                    <w:t>（t/a）</w:t>
                  </w:r>
                </w:p>
              </w:tc>
              <w:tc>
                <w:tcPr>
                  <w:tcW w:w="531" w:type="pct"/>
                  <w:vAlign w:val="center"/>
                </w:tcPr>
                <w:p w14:paraId="1374C4E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贮存周期</w:t>
                  </w:r>
                </w:p>
              </w:tc>
            </w:tr>
            <w:tr w14:paraId="084B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49DB2AE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497" w:type="pct"/>
                  <w:vMerge w:val="restart"/>
                  <w:vAlign w:val="center"/>
                </w:tcPr>
                <w:p w14:paraId="0FFB2C4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lang w:val="en-US" w:eastAsia="zh-CN"/>
                    </w:rPr>
                    <w:t>一般固废暂存间</w:t>
                  </w:r>
                </w:p>
              </w:tc>
              <w:tc>
                <w:tcPr>
                  <w:tcW w:w="520" w:type="pct"/>
                  <w:shd w:val="clear" w:color="auto" w:fill="auto"/>
                  <w:vAlign w:val="center"/>
                </w:tcPr>
                <w:p w14:paraId="7E4710D4">
                  <w:pPr>
                    <w:widowControl/>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sz w:val="21"/>
                      <w:szCs w:val="21"/>
                      <w:lang w:val="en-US" w:eastAsia="zh-CN"/>
                    </w:rPr>
                    <w:t>废边角料</w:t>
                  </w:r>
                </w:p>
              </w:tc>
              <w:tc>
                <w:tcPr>
                  <w:tcW w:w="428" w:type="pct"/>
                  <w:vMerge w:val="restart"/>
                  <w:vAlign w:val="center"/>
                </w:tcPr>
                <w:p w14:paraId="3AF0355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A</w:t>
                  </w:r>
                  <w:r>
                    <w:rPr>
                      <w:rFonts w:hint="default" w:ascii="Times New Roman" w:hAnsi="Times New Roman" w:eastAsia="宋体" w:cs="Times New Roman"/>
                      <w:sz w:val="21"/>
                      <w:szCs w:val="21"/>
                      <w:vertAlign w:val="baseline"/>
                      <w:lang w:val="en-US" w:eastAsia="zh-CN"/>
                    </w:rPr>
                    <w:t>车间</w:t>
                  </w:r>
                  <w:r>
                    <w:rPr>
                      <w:rFonts w:hint="eastAsia" w:cs="Times New Roman"/>
                      <w:sz w:val="21"/>
                      <w:szCs w:val="21"/>
                      <w:vertAlign w:val="baseline"/>
                      <w:lang w:val="en-US" w:eastAsia="zh-CN"/>
                    </w:rPr>
                    <w:t>北</w:t>
                  </w:r>
                  <w:r>
                    <w:rPr>
                      <w:rFonts w:hint="default" w:ascii="Times New Roman" w:hAnsi="Times New Roman" w:eastAsia="宋体" w:cs="Times New Roman"/>
                      <w:sz w:val="21"/>
                      <w:szCs w:val="21"/>
                      <w:vertAlign w:val="baseline"/>
                      <w:lang w:val="en-US" w:eastAsia="zh-CN"/>
                    </w:rPr>
                    <w:t>侧</w:t>
                  </w:r>
                </w:p>
              </w:tc>
              <w:tc>
                <w:tcPr>
                  <w:tcW w:w="416" w:type="pct"/>
                  <w:vMerge w:val="restart"/>
                  <w:vAlign w:val="center"/>
                </w:tcPr>
                <w:p w14:paraId="301895A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80m</w:t>
                  </w:r>
                  <w:r>
                    <w:rPr>
                      <w:rFonts w:hint="eastAsia" w:ascii="Times New Roman" w:hAnsi="Times New Roman" w:eastAsia="宋体" w:cs="Times New Roman"/>
                      <w:sz w:val="21"/>
                      <w:szCs w:val="21"/>
                      <w:vertAlign w:val="superscript"/>
                      <w:lang w:val="en-US" w:eastAsia="zh-CN"/>
                    </w:rPr>
                    <w:t>2</w:t>
                  </w:r>
                </w:p>
              </w:tc>
              <w:tc>
                <w:tcPr>
                  <w:tcW w:w="717" w:type="pct"/>
                  <w:shd w:val="clear" w:color="auto" w:fill="auto"/>
                  <w:vAlign w:val="center"/>
                </w:tcPr>
                <w:p w14:paraId="60969B6C">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50</w:t>
                  </w:r>
                </w:p>
              </w:tc>
              <w:tc>
                <w:tcPr>
                  <w:tcW w:w="915" w:type="pct"/>
                  <w:vAlign w:val="center"/>
                </w:tcPr>
                <w:p w14:paraId="0829288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托盘码垛、离地贮存</w:t>
                  </w:r>
                </w:p>
              </w:tc>
              <w:tc>
                <w:tcPr>
                  <w:tcW w:w="659" w:type="pct"/>
                  <w:shd w:val="clear" w:color="auto" w:fill="auto"/>
                  <w:vAlign w:val="center"/>
                </w:tcPr>
                <w:p w14:paraId="419EFBAB">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50</w:t>
                  </w:r>
                </w:p>
              </w:tc>
              <w:tc>
                <w:tcPr>
                  <w:tcW w:w="531" w:type="pct"/>
                  <w:vMerge w:val="restart"/>
                  <w:vAlign w:val="center"/>
                </w:tcPr>
                <w:p w14:paraId="35A61A1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6</w:t>
                  </w:r>
                  <w:r>
                    <w:rPr>
                      <w:rFonts w:hint="eastAsia" w:ascii="Times New Roman" w:hAnsi="Times New Roman" w:eastAsia="宋体" w:cs="Times New Roman"/>
                      <w:sz w:val="21"/>
                      <w:szCs w:val="21"/>
                      <w:vertAlign w:val="baseline"/>
                      <w:lang w:val="en-US" w:eastAsia="zh-CN"/>
                    </w:rPr>
                    <w:t>个月</w:t>
                  </w:r>
                </w:p>
              </w:tc>
            </w:tr>
            <w:tr w14:paraId="76D0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13C32FE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497" w:type="pct"/>
                  <w:vMerge w:val="continue"/>
                  <w:vAlign w:val="center"/>
                </w:tcPr>
                <w:p w14:paraId="396D9FE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520" w:type="pct"/>
                  <w:shd w:val="clear" w:color="auto" w:fill="auto"/>
                  <w:vAlign w:val="center"/>
                </w:tcPr>
                <w:p w14:paraId="6A60BE7A">
                  <w:pPr>
                    <w:widowControl/>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sz w:val="21"/>
                      <w:szCs w:val="21"/>
                      <w:lang w:val="en-US" w:eastAsia="zh-CN"/>
                    </w:rPr>
                    <w:t>粉末涂料包装袋</w:t>
                  </w:r>
                </w:p>
              </w:tc>
              <w:tc>
                <w:tcPr>
                  <w:tcW w:w="428" w:type="pct"/>
                  <w:vMerge w:val="continue"/>
                  <w:vAlign w:val="center"/>
                </w:tcPr>
                <w:p w14:paraId="0AE1B5A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416" w:type="pct"/>
                  <w:vMerge w:val="continue"/>
                  <w:vAlign w:val="center"/>
                </w:tcPr>
                <w:p w14:paraId="38AF50E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17" w:type="pct"/>
                  <w:shd w:val="clear" w:color="auto" w:fill="auto"/>
                  <w:vAlign w:val="center"/>
                </w:tcPr>
                <w:p w14:paraId="0F968B33">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0.005</w:t>
                  </w:r>
                </w:p>
              </w:tc>
              <w:tc>
                <w:tcPr>
                  <w:tcW w:w="915" w:type="pct"/>
                  <w:vAlign w:val="center"/>
                </w:tcPr>
                <w:p w14:paraId="076A21B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密封桶装</w:t>
                  </w:r>
                </w:p>
              </w:tc>
              <w:tc>
                <w:tcPr>
                  <w:tcW w:w="659" w:type="pct"/>
                  <w:shd w:val="clear" w:color="auto" w:fill="auto"/>
                  <w:vAlign w:val="center"/>
                </w:tcPr>
                <w:p w14:paraId="2A919297">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0.005</w:t>
                  </w:r>
                </w:p>
              </w:tc>
              <w:tc>
                <w:tcPr>
                  <w:tcW w:w="531" w:type="pct"/>
                  <w:vMerge w:val="continue"/>
                  <w:vAlign w:val="center"/>
                </w:tcPr>
                <w:p w14:paraId="21F202F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r w14:paraId="4217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5644284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497" w:type="pct"/>
                  <w:vMerge w:val="continue"/>
                  <w:vAlign w:val="center"/>
                </w:tcPr>
                <w:p w14:paraId="205AE70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520" w:type="pct"/>
                  <w:shd w:val="clear" w:color="auto" w:fill="auto"/>
                  <w:vAlign w:val="center"/>
                </w:tcPr>
                <w:p w14:paraId="0A2688B7">
                  <w:pPr>
                    <w:widowControl/>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sz w:val="21"/>
                      <w:szCs w:val="21"/>
                      <w:lang w:val="en-US" w:eastAsia="zh-CN"/>
                    </w:rPr>
                    <w:t>收集尘</w:t>
                  </w:r>
                </w:p>
              </w:tc>
              <w:tc>
                <w:tcPr>
                  <w:tcW w:w="428" w:type="pct"/>
                  <w:vMerge w:val="continue"/>
                  <w:vAlign w:val="center"/>
                </w:tcPr>
                <w:p w14:paraId="75B894B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416" w:type="pct"/>
                  <w:vMerge w:val="continue"/>
                  <w:vAlign w:val="center"/>
                </w:tcPr>
                <w:p w14:paraId="200A4F2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17" w:type="pct"/>
                  <w:shd w:val="clear" w:color="auto" w:fill="auto"/>
                  <w:vAlign w:val="center"/>
                </w:tcPr>
                <w:p w14:paraId="77AB8DF9">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1.0507</w:t>
                  </w:r>
                </w:p>
              </w:tc>
              <w:tc>
                <w:tcPr>
                  <w:tcW w:w="915" w:type="pct"/>
                  <w:vAlign w:val="center"/>
                </w:tcPr>
                <w:p w14:paraId="751B81D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密封桶装</w:t>
                  </w:r>
                </w:p>
              </w:tc>
              <w:tc>
                <w:tcPr>
                  <w:tcW w:w="659" w:type="pct"/>
                  <w:shd w:val="clear" w:color="auto" w:fill="auto"/>
                  <w:vAlign w:val="center"/>
                </w:tcPr>
                <w:p w14:paraId="3AF2FF71">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1.0507</w:t>
                  </w:r>
                </w:p>
              </w:tc>
              <w:tc>
                <w:tcPr>
                  <w:tcW w:w="531" w:type="pct"/>
                  <w:vMerge w:val="continue"/>
                  <w:vAlign w:val="center"/>
                </w:tcPr>
                <w:p w14:paraId="3D52B91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r w14:paraId="58D8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 w:type="pct"/>
                  <w:vAlign w:val="center"/>
                </w:tcPr>
                <w:p w14:paraId="30EA749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497" w:type="pct"/>
                  <w:vMerge w:val="continue"/>
                  <w:vAlign w:val="center"/>
                </w:tcPr>
                <w:p w14:paraId="4DDBDE5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520" w:type="pct"/>
                  <w:shd w:val="clear" w:color="auto" w:fill="auto"/>
                  <w:vAlign w:val="center"/>
                </w:tcPr>
                <w:p w14:paraId="306C52E3">
                  <w:pPr>
                    <w:widowControl/>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sz w:val="21"/>
                      <w:szCs w:val="21"/>
                      <w:lang w:val="en-US" w:eastAsia="zh-CN"/>
                    </w:rPr>
                    <w:t>废布袋</w:t>
                  </w:r>
                </w:p>
              </w:tc>
              <w:tc>
                <w:tcPr>
                  <w:tcW w:w="428" w:type="pct"/>
                  <w:vMerge w:val="continue"/>
                  <w:vAlign w:val="center"/>
                </w:tcPr>
                <w:p w14:paraId="299D33F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416" w:type="pct"/>
                  <w:vMerge w:val="continue"/>
                  <w:vAlign w:val="center"/>
                </w:tcPr>
                <w:p w14:paraId="3C6298A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c>
                <w:tcPr>
                  <w:tcW w:w="717" w:type="pct"/>
                  <w:shd w:val="clear" w:color="auto" w:fill="auto"/>
                  <w:vAlign w:val="center"/>
                </w:tcPr>
                <w:p w14:paraId="0A4EEACF">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0.1</w:t>
                  </w:r>
                </w:p>
              </w:tc>
              <w:tc>
                <w:tcPr>
                  <w:tcW w:w="915" w:type="pct"/>
                  <w:vAlign w:val="center"/>
                </w:tcPr>
                <w:p w14:paraId="71E8EFB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r>
                    <w:rPr>
                      <w:rFonts w:hint="eastAsia"/>
                      <w:color w:val="000000"/>
                      <w:kern w:val="0"/>
                      <w:sz w:val="21"/>
                      <w:szCs w:val="21"/>
                      <w:lang w:val="en-US" w:eastAsia="zh-CN"/>
                    </w:rPr>
                    <w:t>密封袋装</w:t>
                  </w:r>
                </w:p>
              </w:tc>
              <w:tc>
                <w:tcPr>
                  <w:tcW w:w="659" w:type="pct"/>
                  <w:shd w:val="clear" w:color="auto" w:fill="auto"/>
                  <w:vAlign w:val="center"/>
                </w:tcPr>
                <w:p w14:paraId="1C78CCFF">
                  <w:pPr>
                    <w:widowControl/>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0.1</w:t>
                  </w:r>
                </w:p>
              </w:tc>
              <w:tc>
                <w:tcPr>
                  <w:tcW w:w="531" w:type="pct"/>
                  <w:vMerge w:val="continue"/>
                  <w:vAlign w:val="center"/>
                </w:tcPr>
                <w:p w14:paraId="3F2FE24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sz w:val="21"/>
                      <w:szCs w:val="21"/>
                      <w:vertAlign w:val="baseline"/>
                      <w:lang w:val="en-US" w:eastAsia="zh-CN"/>
                    </w:rPr>
                  </w:pPr>
                </w:p>
              </w:tc>
            </w:tr>
          </w:tbl>
          <w:p w14:paraId="04D33EBC">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default"/>
                <w:lang w:val="en-US" w:eastAsia="zh-CN"/>
              </w:rPr>
            </w:pPr>
            <w:r>
              <w:rPr>
                <w:rFonts w:hint="default"/>
                <w:color w:val="000000"/>
                <w:kern w:val="0"/>
                <w:sz w:val="24"/>
                <w:lang w:val="en-US" w:eastAsia="zh-CN"/>
              </w:rPr>
              <w:t>综上所述，项目</w:t>
            </w:r>
            <w:r>
              <w:rPr>
                <w:rFonts w:hint="eastAsia"/>
                <w:color w:val="000000"/>
                <w:kern w:val="0"/>
                <w:sz w:val="24"/>
                <w:lang w:val="en-US" w:eastAsia="zh-CN"/>
              </w:rPr>
              <w:t>建设80m</w:t>
            </w:r>
            <w:r>
              <w:rPr>
                <w:rFonts w:hint="eastAsia"/>
                <w:color w:val="000000"/>
                <w:kern w:val="0"/>
                <w:sz w:val="24"/>
                <w:vertAlign w:val="superscript"/>
                <w:lang w:val="en-US" w:eastAsia="zh-CN"/>
              </w:rPr>
              <w:t>2</w:t>
            </w:r>
            <w:r>
              <w:rPr>
                <w:rFonts w:hint="eastAsia"/>
                <w:color w:val="000000"/>
                <w:kern w:val="0"/>
                <w:sz w:val="24"/>
                <w:lang w:val="en-US" w:eastAsia="zh-CN"/>
              </w:rPr>
              <w:t>一般固废暂存间能够</w:t>
            </w:r>
            <w:r>
              <w:rPr>
                <w:rFonts w:hint="default"/>
                <w:color w:val="000000"/>
                <w:kern w:val="0"/>
                <w:sz w:val="24"/>
                <w:lang w:val="en-US" w:eastAsia="zh-CN"/>
              </w:rPr>
              <w:t>分类收集、妥善处理</w:t>
            </w:r>
            <w:r>
              <w:rPr>
                <w:rFonts w:hint="eastAsia"/>
                <w:color w:val="000000"/>
                <w:kern w:val="0"/>
                <w:sz w:val="24"/>
                <w:lang w:val="en-US" w:eastAsia="zh-CN"/>
              </w:rPr>
              <w:t>产生的一般固废</w:t>
            </w:r>
            <w:r>
              <w:rPr>
                <w:rFonts w:hint="default"/>
                <w:color w:val="000000"/>
                <w:kern w:val="0"/>
                <w:sz w:val="24"/>
                <w:lang w:val="en-US" w:eastAsia="zh-CN"/>
              </w:rPr>
              <w:t>，对周围环境及人体不会造成影响，亦不会对环境产生二次污染，所采取的处置措施是可行</w:t>
            </w:r>
            <w:r>
              <w:rPr>
                <w:rFonts w:hint="eastAsia"/>
                <w:color w:val="000000"/>
                <w:kern w:val="0"/>
                <w:sz w:val="24"/>
                <w:lang w:val="en-US" w:eastAsia="zh-CN"/>
              </w:rPr>
              <w:t>。</w:t>
            </w:r>
          </w:p>
          <w:p w14:paraId="52476757">
            <w:pPr>
              <w:spacing w:line="360" w:lineRule="auto"/>
              <w:ind w:firstLine="480" w:firstLineChars="200"/>
              <w:jc w:val="left"/>
              <w:rPr>
                <w:rFonts w:hint="default" w:ascii="Times New Roman" w:hAnsi="Times New Roman" w:cs="Times New Roman"/>
                <w:color w:val="000000"/>
                <w:sz w:val="24"/>
                <w:szCs w:val="24"/>
                <w:lang w:val="en-US" w:eastAsia="zh-CN"/>
              </w:rPr>
            </w:pPr>
            <w:r>
              <w:rPr>
                <w:rFonts w:hint="eastAsia"/>
                <w:b w:val="0"/>
                <w:bCs w:val="0"/>
                <w:sz w:val="24"/>
                <w:lang w:val="en-US" w:eastAsia="zh-CN"/>
              </w:rPr>
              <w:t>（四）环境管理要求</w:t>
            </w:r>
          </w:p>
          <w:p w14:paraId="267BD895">
            <w:pPr>
              <w:adjustRightInd w:val="0"/>
              <w:snapToGrid w:val="0"/>
              <w:spacing w:line="360" w:lineRule="auto"/>
              <w:ind w:firstLine="480" w:firstLineChars="200"/>
              <w:rPr>
                <w:rFonts w:hint="default" w:ascii="Times New Roman" w:hAnsi="Times New Roman" w:cs="Times New Roman"/>
                <w:color w:val="000000"/>
                <w:sz w:val="24"/>
                <w:szCs w:val="24"/>
              </w:rPr>
            </w:pPr>
            <w:r>
              <w:rPr>
                <w:rFonts w:hint="eastAsia"/>
                <w:color w:val="000000"/>
                <w:kern w:val="0"/>
                <w:sz w:val="24"/>
                <w:lang w:val="en-US" w:eastAsia="zh-CN"/>
              </w:rPr>
              <w:t>①一般工业固体废物暂存处的设置应符合《中华人民共和国固体废物污染环境防治法》和《一般工业固体废物贮存和填埋污染控制标准》(GB 18599-2020)中相关要求。</w:t>
            </w:r>
          </w:p>
          <w:p w14:paraId="789CF757">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a.设分区暂存，确保各类一般工业固体废物得到合理处置。</w:t>
            </w:r>
          </w:p>
          <w:p w14:paraId="46898CD5">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b.加强固体废物规范化管理，固体废物分类定点堆放，堆放场所远离办公区和周围环境敏感点。为了减少雨水侵蚀造成的二次污染，临时堆放场地要加盖顶棚。</w:t>
            </w:r>
          </w:p>
          <w:p w14:paraId="12262483">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c.为加强监督管理，贮存、处置场应按GB15562.2设置环境保护图形标志。</w:t>
            </w:r>
          </w:p>
          <w:p w14:paraId="2000AD8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d.一般工业固体贮存、处置场禁止危险废物和生活垃圾混入。</w:t>
            </w:r>
          </w:p>
          <w:p w14:paraId="276A3513">
            <w:pPr>
              <w:adjustRightInd w:val="0"/>
              <w:snapToGrid w:val="0"/>
              <w:spacing w:line="360" w:lineRule="auto"/>
              <w:ind w:firstLine="480" w:firstLineChars="200"/>
              <w:rPr>
                <w:rFonts w:hint="default" w:ascii="Times New Roman" w:hAnsi="Times New Roman" w:cs="Times New Roman"/>
                <w:color w:val="000000"/>
                <w:sz w:val="24"/>
                <w:szCs w:val="24"/>
              </w:rPr>
            </w:pPr>
            <w:r>
              <w:rPr>
                <w:rFonts w:hint="eastAsia"/>
                <w:color w:val="000000"/>
                <w:kern w:val="0"/>
                <w:sz w:val="24"/>
                <w:lang w:val="en-US" w:eastAsia="zh-CN"/>
              </w:rPr>
              <w:t>e.贮存、处置场的使用单位，应建立档案制度，应将入场的一般工业固体废物的种类和数量等资料详细记录在案，长期保存，供随时查阅。</w:t>
            </w:r>
          </w:p>
          <w:p w14:paraId="651C8976">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②危险废物：项目拟建设危废暂存库位于C车间外南侧并处于与南厂界之间，面积约为50m</w:t>
            </w:r>
            <w:r>
              <w:rPr>
                <w:rFonts w:hint="eastAsia"/>
                <w:color w:val="000000"/>
                <w:kern w:val="0"/>
                <w:sz w:val="24"/>
                <w:vertAlign w:val="superscript"/>
                <w:lang w:val="en-US" w:eastAsia="zh-CN"/>
              </w:rPr>
              <w:t>2</w:t>
            </w:r>
            <w:r>
              <w:rPr>
                <w:rFonts w:hint="eastAsia"/>
                <w:color w:val="000000"/>
                <w:kern w:val="0"/>
                <w:sz w:val="24"/>
                <w:lang w:val="en-US" w:eastAsia="zh-CN"/>
              </w:rPr>
              <w:t>，按照《危险废物贮存污染控制标准》（GB18597-2023）进行污染控制和管理。</w:t>
            </w:r>
          </w:p>
          <w:p w14:paraId="1265CBA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a.产生、收集、贮存、利用、处置危险废物的单位应建造危险废物贮存设施或设置贮存场所，并根据需要选择贮存设施类型。</w:t>
            </w:r>
          </w:p>
          <w:p w14:paraId="47069132">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b.贮存危险废物应根据危险废物的类别、数量、形态、物理化学性质和环境风险等因素，确定贮存设施或场所类型和规模，</w:t>
            </w:r>
          </w:p>
          <w:p w14:paraId="4A52A0CE">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c.贮存危险废物应根据危险废物的类别、形态、物理化学性质和污染防治要求进行分类贮存，且应避免危险废物与不相容的物质或材料接触。</w:t>
            </w:r>
          </w:p>
          <w:p w14:paraId="4E2DE508">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d.贮存危险废物应根据危险废物的形态、物理化学性质、包装形式和污染物迁移途径，采取措施减少渗滤液及其衍生废物、渗漏的液态废物(简称渗漏液)、粉尘、VOCs、有毒有害大气污染物等污染物的产生，防止其污染环境。</w:t>
            </w:r>
          </w:p>
          <w:p w14:paraId="6AFFFD9F">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e.危险废物贮存过程中产生的液态废物和固态废物应分类收集，按其环境管理要求妥善处理。</w:t>
            </w:r>
          </w:p>
          <w:p w14:paraId="5F90ED30">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f.贮存设施或场所、容器和包装物应按HJ1276要求设置危险废物贮存设施或场所标志、危险废物贮存分区标志和危险废物标签等危险废物识别标志。</w:t>
            </w:r>
          </w:p>
          <w:p w14:paraId="1F9E91BA">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g.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2F84D164">
            <w:pPr>
              <w:autoSpaceDE w:val="0"/>
              <w:autoSpaceDN w:val="0"/>
              <w:adjustRightInd w:val="0"/>
              <w:snapToGrid w:val="0"/>
              <w:spacing w:line="360" w:lineRule="auto"/>
              <w:ind w:firstLine="480" w:firstLineChars="200"/>
              <w:jc w:val="both"/>
              <w:rPr>
                <w:rFonts w:hint="eastAsia"/>
                <w:color w:val="000000"/>
                <w:kern w:val="0"/>
                <w:sz w:val="24"/>
                <w:lang w:val="en-US" w:eastAsia="zh-CN"/>
              </w:rPr>
            </w:pPr>
            <w:r>
              <w:rPr>
                <w:rFonts w:hint="eastAsia"/>
                <w:color w:val="000000"/>
                <w:kern w:val="0"/>
                <w:sz w:val="24"/>
                <w:lang w:val="en-US" w:eastAsia="zh-CN"/>
              </w:rPr>
              <w:t>h.在常温常压下易爆、易燃及排出有毒气体的危险废物应进行预处理，使之稳定后贮存，否则应按易爆、易燃危险品贮存。</w:t>
            </w:r>
          </w:p>
          <w:p w14:paraId="503C532A">
            <w:pPr>
              <w:autoSpaceDE w:val="0"/>
              <w:autoSpaceDN w:val="0"/>
              <w:adjustRightInd w:val="0"/>
              <w:snapToGrid w:val="0"/>
              <w:spacing w:line="360" w:lineRule="auto"/>
              <w:ind w:firstLine="480" w:firstLineChars="200"/>
              <w:jc w:val="both"/>
              <w:rPr>
                <w:rFonts w:hint="default"/>
                <w:color w:val="000000"/>
                <w:kern w:val="0"/>
                <w:sz w:val="24"/>
                <w:lang w:val="en-US" w:eastAsia="zh-CN"/>
              </w:rPr>
            </w:pPr>
            <w:r>
              <w:rPr>
                <w:rFonts w:hint="eastAsia"/>
                <w:color w:val="000000"/>
                <w:kern w:val="0"/>
                <w:sz w:val="24"/>
                <w:lang w:val="en-US" w:eastAsia="zh-CN"/>
              </w:rPr>
              <w:t>i.危险废物贮存除应满足环境保护相关要求外，还应执行国家安全生产、职业健康、交通运输、消防等法律法规和标准的相关要求。</w:t>
            </w:r>
          </w:p>
          <w:p w14:paraId="319F1C18">
            <w:pPr>
              <w:spacing w:line="360" w:lineRule="auto"/>
              <w:ind w:firstLine="480" w:firstLineChars="200"/>
              <w:jc w:val="left"/>
              <w:rPr>
                <w:rFonts w:hint="default"/>
                <w:b w:val="0"/>
                <w:bCs w:val="0"/>
                <w:sz w:val="24"/>
                <w:lang w:val="en-US" w:eastAsia="zh-CN"/>
              </w:rPr>
            </w:pPr>
            <w:r>
              <w:rPr>
                <w:rFonts w:hint="eastAsia"/>
                <w:color w:val="000000"/>
                <w:kern w:val="0"/>
                <w:sz w:val="24"/>
                <w:lang w:val="en-US" w:eastAsia="zh-CN"/>
              </w:rPr>
              <w:t>综上，本项目在采取以上措施后，产生的固体废物对项目区外环境产生影响较小</w:t>
            </w:r>
            <w:r>
              <w:rPr>
                <w:rFonts w:hint="eastAsia"/>
                <w:b w:val="0"/>
                <w:bCs w:val="0"/>
                <w:sz w:val="24"/>
                <w:lang w:val="en-US" w:eastAsia="zh-CN"/>
              </w:rPr>
              <w:t>。</w:t>
            </w:r>
          </w:p>
          <w:p w14:paraId="5E64B129">
            <w:pPr>
              <w:spacing w:line="360" w:lineRule="auto"/>
              <w:jc w:val="left"/>
              <w:rPr>
                <w:rFonts w:hint="eastAsia"/>
                <w:b/>
                <w:bCs/>
                <w:sz w:val="24"/>
                <w:lang w:val="en-US" w:eastAsia="zh-CN"/>
              </w:rPr>
            </w:pPr>
            <w:r>
              <w:rPr>
                <w:rFonts w:hint="eastAsia"/>
                <w:b/>
                <w:bCs/>
                <w:sz w:val="24"/>
                <w:lang w:val="en-US" w:eastAsia="zh-CN"/>
              </w:rPr>
              <w:t>5、地下水、土壤</w:t>
            </w:r>
          </w:p>
          <w:p w14:paraId="16FF477B">
            <w:pPr>
              <w:widowControl/>
              <w:spacing w:line="360" w:lineRule="auto"/>
              <w:ind w:firstLine="480" w:firstLineChars="200"/>
              <w:jc w:val="left"/>
              <w:rPr>
                <w:rFonts w:hint="eastAsia"/>
                <w:color w:val="000000"/>
                <w:sz w:val="24"/>
                <w:szCs w:val="24"/>
              </w:rPr>
            </w:pPr>
            <w:r>
              <w:rPr>
                <w:rFonts w:hint="eastAsia"/>
                <w:color w:val="000000"/>
                <w:sz w:val="24"/>
                <w:szCs w:val="24"/>
              </w:rPr>
              <w:t>本项目应做到生产区域全面防渗，可能会对地下水造成污染的区域主要为</w:t>
            </w:r>
            <w:r>
              <w:rPr>
                <w:rFonts w:hint="eastAsia"/>
                <w:color w:val="000000"/>
                <w:sz w:val="24"/>
                <w:szCs w:val="24"/>
                <w:highlight w:val="none"/>
                <w:lang w:val="en-US" w:eastAsia="zh-CN"/>
              </w:rPr>
              <w:t>化学品库、喷塑房、喷漆房、喷砂房、事故应急池和危废暂存间</w:t>
            </w:r>
            <w:r>
              <w:rPr>
                <w:rFonts w:hint="eastAsia"/>
                <w:color w:val="000000"/>
                <w:sz w:val="24"/>
                <w:szCs w:val="24"/>
              </w:rPr>
              <w:t>。项目地下水污染防治</w:t>
            </w:r>
            <w:r>
              <w:rPr>
                <w:rFonts w:hint="eastAsia"/>
                <w:color w:val="000000"/>
                <w:sz w:val="24"/>
                <w:szCs w:val="24"/>
                <w:lang w:eastAsia="zh-CN"/>
              </w:rPr>
              <w:t>是以预防为主</w:t>
            </w:r>
            <w:r>
              <w:rPr>
                <w:rFonts w:hint="eastAsia"/>
                <w:color w:val="000000"/>
                <w:sz w:val="24"/>
                <w:szCs w:val="24"/>
              </w:rPr>
              <w:t>，防治结合，主要从以下几方面考虑：项目运营后可能对土壤和地下水环境造成影响的环节主要包括</w:t>
            </w:r>
            <w:r>
              <w:rPr>
                <w:rFonts w:hint="eastAsia"/>
                <w:color w:val="000000"/>
                <w:sz w:val="24"/>
                <w:szCs w:val="24"/>
                <w:lang w:val="en-US" w:eastAsia="zh-CN"/>
              </w:rPr>
              <w:t>化粪池及污水管道</w:t>
            </w:r>
            <w:r>
              <w:rPr>
                <w:rFonts w:hint="eastAsia"/>
                <w:color w:val="000000"/>
                <w:sz w:val="24"/>
                <w:szCs w:val="24"/>
              </w:rPr>
              <w:t>跑、冒、滴、漏等下渗对地下水及土壤的影响。针对可能对土壤和地下水造成影响的各环节，按照“考虑重点，辐射全面”的防腐防渗原则，一般区域采用水泥硬化地面，</w:t>
            </w:r>
            <w:r>
              <w:rPr>
                <w:rFonts w:hint="eastAsia"/>
                <w:color w:val="000000"/>
                <w:sz w:val="24"/>
                <w:szCs w:val="24"/>
                <w:highlight w:val="none"/>
                <w:lang w:val="en-US" w:eastAsia="zh-CN"/>
              </w:rPr>
              <w:t>化学品库、喷塑房、喷漆房、事故应急池和危废暂存间</w:t>
            </w:r>
            <w:r>
              <w:rPr>
                <w:rFonts w:hint="eastAsia"/>
                <w:color w:val="000000"/>
                <w:sz w:val="24"/>
                <w:szCs w:val="24"/>
                <w:lang w:val="en-US" w:eastAsia="zh-CN"/>
              </w:rPr>
              <w:t>等</w:t>
            </w:r>
            <w:r>
              <w:rPr>
                <w:rFonts w:hint="eastAsia"/>
                <w:color w:val="000000"/>
                <w:sz w:val="24"/>
                <w:szCs w:val="24"/>
              </w:rPr>
              <w:t>采取重点防腐防渗。</w:t>
            </w:r>
          </w:p>
          <w:p w14:paraId="6C5C87ED">
            <w:pPr>
              <w:widowControl/>
              <w:spacing w:line="360" w:lineRule="auto"/>
              <w:ind w:firstLine="480" w:firstLineChars="200"/>
              <w:jc w:val="left"/>
              <w:rPr>
                <w:rFonts w:hint="eastAsia"/>
                <w:color w:val="000000"/>
                <w:sz w:val="24"/>
                <w:szCs w:val="24"/>
                <w:lang w:eastAsia="zh-CN"/>
              </w:rPr>
            </w:pPr>
            <w:r>
              <w:rPr>
                <w:rFonts w:hint="eastAsia"/>
                <w:color w:val="000000"/>
                <w:sz w:val="24"/>
                <w:szCs w:val="24"/>
              </w:rPr>
              <w:t>本项目生产过程中不涉及重金属使用，有机废气经有效处置</w:t>
            </w:r>
            <w:r>
              <w:rPr>
                <w:rFonts w:hint="eastAsia"/>
                <w:color w:val="000000"/>
                <w:sz w:val="24"/>
                <w:szCs w:val="24"/>
                <w:lang w:val="en-US" w:eastAsia="zh-CN"/>
              </w:rPr>
              <w:t>由</w:t>
            </w:r>
            <w:r>
              <w:rPr>
                <w:rFonts w:hint="eastAsia"/>
                <w:color w:val="000000"/>
                <w:sz w:val="24"/>
                <w:szCs w:val="24"/>
              </w:rPr>
              <w:t>高空排放，颗粒物</w:t>
            </w:r>
            <w:r>
              <w:rPr>
                <w:rFonts w:hint="eastAsia"/>
                <w:color w:val="000000"/>
                <w:sz w:val="24"/>
                <w:szCs w:val="24"/>
                <w:lang w:val="en-US" w:eastAsia="zh-CN"/>
              </w:rPr>
              <w:t>大多</w:t>
            </w:r>
            <w:r>
              <w:rPr>
                <w:rFonts w:hint="eastAsia"/>
                <w:color w:val="000000"/>
                <w:sz w:val="24"/>
                <w:szCs w:val="24"/>
              </w:rPr>
              <w:t>经收集后综合利用</w:t>
            </w:r>
            <w:r>
              <w:rPr>
                <w:rFonts w:hint="eastAsia"/>
                <w:color w:val="000000"/>
                <w:sz w:val="24"/>
                <w:szCs w:val="24"/>
                <w:lang w:eastAsia="zh-CN"/>
              </w:rPr>
              <w:t>，</w:t>
            </w:r>
            <w:r>
              <w:rPr>
                <w:rFonts w:hint="eastAsia"/>
                <w:color w:val="000000"/>
                <w:sz w:val="24"/>
                <w:szCs w:val="24"/>
                <w:lang w:val="en-US" w:eastAsia="zh-CN"/>
              </w:rPr>
              <w:t>部分经处理后达标排放</w:t>
            </w:r>
            <w:r>
              <w:rPr>
                <w:rFonts w:hint="eastAsia"/>
                <w:color w:val="000000"/>
                <w:sz w:val="24"/>
                <w:szCs w:val="24"/>
              </w:rPr>
              <w:t>。正常工况下，本项目潜在污染土壤的防治措施均达到设计要求，防渗性能完好，对周边土壤环境的影响小</w:t>
            </w:r>
            <w:r>
              <w:rPr>
                <w:rFonts w:hint="eastAsia"/>
                <w:color w:val="000000"/>
                <w:sz w:val="24"/>
                <w:szCs w:val="24"/>
                <w:lang w:eastAsia="zh-CN"/>
              </w:rPr>
              <w:t>。</w:t>
            </w:r>
          </w:p>
          <w:p w14:paraId="4BD5339B">
            <w:pPr>
              <w:widowControl/>
              <w:spacing w:line="360" w:lineRule="auto"/>
              <w:ind w:firstLine="480" w:firstLineChars="200"/>
              <w:jc w:val="left"/>
              <w:rPr>
                <w:rFonts w:hint="eastAsia"/>
                <w:color w:val="000000"/>
                <w:sz w:val="24"/>
                <w:szCs w:val="24"/>
                <w:lang w:eastAsia="zh-CN"/>
              </w:rPr>
            </w:pPr>
            <w:r>
              <w:rPr>
                <w:rFonts w:hint="eastAsia"/>
                <w:color w:val="000000"/>
                <w:sz w:val="24"/>
                <w:szCs w:val="24"/>
              </w:rPr>
              <w:t>根据工程分析，项目对土壤的影响主要来自危废暂存间及有机废气排放后大气沉降对土壤造成的污染，因此建设单位须做好危废暂存间的防渗工作，同时应保证废气的达标排放</w:t>
            </w:r>
            <w:r>
              <w:rPr>
                <w:rFonts w:hint="eastAsia"/>
                <w:color w:val="000000"/>
                <w:sz w:val="24"/>
                <w:szCs w:val="24"/>
                <w:lang w:eastAsia="zh-CN"/>
              </w:rPr>
              <w:t>减少</w:t>
            </w:r>
            <w:r>
              <w:rPr>
                <w:rFonts w:hint="eastAsia"/>
                <w:color w:val="000000"/>
                <w:sz w:val="24"/>
                <w:szCs w:val="24"/>
              </w:rPr>
              <w:t>有机废气大气沉降对土壤造成的污染。</w:t>
            </w:r>
          </w:p>
          <w:p w14:paraId="32B9E93C">
            <w:pPr>
              <w:widowControl/>
              <w:spacing w:line="360" w:lineRule="auto"/>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一般防渗区：对土壤和地下水环境有污染的物料或污染物泄漏后可及时发现和处理的区域和部位</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主要为生产车间，</w:t>
            </w:r>
            <w:r>
              <w:rPr>
                <w:rFonts w:hint="default" w:ascii="Times New Roman" w:hAnsi="Times New Roman" w:cs="Times New Roman"/>
                <w:color w:val="000000"/>
                <w:sz w:val="24"/>
                <w:szCs w:val="24"/>
              </w:rPr>
              <w:t>污染物污染防治区参照《一般工业固体废物贮存和填埋污染控制标准》（GB18599-2020）。一般防渗场区防渗层的性能应不低于1.5m厚渗透系数≤1.0×10</w:t>
            </w:r>
            <w:r>
              <w:rPr>
                <w:rFonts w:hint="default" w:ascii="Times New Roman" w:hAnsi="Times New Roman" w:cs="Times New Roman"/>
                <w:color w:val="000000"/>
                <w:sz w:val="24"/>
                <w:szCs w:val="24"/>
                <w:vertAlign w:val="superscript"/>
              </w:rPr>
              <w:t>-7</w:t>
            </w:r>
            <w:r>
              <w:rPr>
                <w:rFonts w:hint="default" w:ascii="Times New Roman" w:hAnsi="Times New Roman" w:cs="Times New Roman"/>
                <w:color w:val="000000"/>
                <w:sz w:val="24"/>
                <w:szCs w:val="24"/>
              </w:rPr>
              <w:t>cm/s黏土层的防渗性能。</w:t>
            </w:r>
          </w:p>
          <w:p w14:paraId="1804E5E7">
            <w:pPr>
              <w:widowControl/>
              <w:spacing w:line="360" w:lineRule="auto"/>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重点防渗区：对土壤和地下水环境有污染的物料或污染物泄漏后不易及时发现和处理的区域和部位</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主要</w:t>
            </w:r>
            <w:r>
              <w:rPr>
                <w:rFonts w:hint="eastAsia"/>
                <w:color w:val="000000"/>
                <w:sz w:val="24"/>
                <w:szCs w:val="24"/>
                <w:highlight w:val="none"/>
                <w:lang w:val="en-US" w:eastAsia="zh-CN"/>
              </w:rPr>
              <w:t>化学品库、喷塑房、喷漆房、事故应急池和危废暂存间</w:t>
            </w: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CN"/>
              </w:rPr>
              <w:t>根据《危险废物贮存污染控制标准》（GB18597-2023）要求，危废暂存间防渗层为至少1m厚黏土层（渗透系数不大于10</w:t>
            </w:r>
            <w:r>
              <w:rPr>
                <w:rFonts w:hint="default" w:ascii="Times New Roman" w:hAnsi="Times New Roman" w:cs="Times New Roman"/>
                <w:color w:val="000000"/>
                <w:sz w:val="24"/>
                <w:szCs w:val="24"/>
                <w:vertAlign w:val="superscript"/>
                <w:lang w:val="en-US" w:eastAsia="zh-CN"/>
              </w:rPr>
              <w:t>-7</w:t>
            </w:r>
            <w:r>
              <w:rPr>
                <w:rFonts w:hint="default" w:ascii="Times New Roman" w:hAnsi="Times New Roman" w:cs="Times New Roman"/>
                <w:color w:val="000000"/>
                <w:sz w:val="24"/>
                <w:szCs w:val="24"/>
                <w:lang w:val="en-US" w:eastAsia="zh-CN"/>
              </w:rPr>
              <w:t>cm/s），或至少2 mm厚高密度聚乙烯膜等人工防渗材料（渗透系数不大于10</w:t>
            </w:r>
            <w:r>
              <w:rPr>
                <w:rFonts w:hint="default" w:ascii="Times New Roman" w:hAnsi="Times New Roman" w:cs="Times New Roman"/>
                <w:color w:val="000000"/>
                <w:sz w:val="24"/>
                <w:szCs w:val="24"/>
                <w:vertAlign w:val="superscript"/>
                <w:lang w:val="en-US" w:eastAsia="zh-CN"/>
              </w:rPr>
              <w:t>-10</w:t>
            </w:r>
            <w:r>
              <w:rPr>
                <w:rFonts w:hint="default" w:ascii="Times New Roman" w:hAnsi="Times New Roman" w:cs="Times New Roman"/>
                <w:color w:val="000000"/>
                <w:sz w:val="24"/>
                <w:szCs w:val="24"/>
                <w:lang w:val="en-US" w:eastAsia="zh-CN"/>
              </w:rPr>
              <w:t xml:space="preserve"> cm/s），或其他防渗性能等效的材料。</w:t>
            </w:r>
          </w:p>
          <w:p w14:paraId="0742CD70">
            <w:pPr>
              <w:pStyle w:val="66"/>
              <w:ind w:left="0" w:leftChars="0" w:right="0" w:rightChars="0" w:firstLine="0" w:firstLineChars="0"/>
              <w:jc w:val="center"/>
              <w:rPr>
                <w:rFonts w:hint="eastAsia"/>
                <w:color w:val="000000"/>
                <w:sz w:val="22"/>
                <w:szCs w:val="22"/>
              </w:rPr>
            </w:pPr>
            <w:r>
              <w:rPr>
                <w:rFonts w:hint="eastAsia"/>
                <w:color w:val="000000"/>
                <w:sz w:val="22"/>
                <w:szCs w:val="22"/>
              </w:rPr>
              <w:t>表4-</w:t>
            </w:r>
            <w:r>
              <w:rPr>
                <w:rFonts w:hint="eastAsia"/>
                <w:color w:val="000000"/>
                <w:sz w:val="22"/>
                <w:szCs w:val="22"/>
                <w:lang w:val="en-US" w:eastAsia="zh-CN"/>
              </w:rPr>
              <w:t xml:space="preserve">14 </w:t>
            </w:r>
            <w:r>
              <w:rPr>
                <w:rFonts w:hint="eastAsia"/>
                <w:color w:val="000000"/>
                <w:sz w:val="22"/>
                <w:szCs w:val="22"/>
              </w:rPr>
              <w:t xml:space="preserve"> </w:t>
            </w:r>
            <w:r>
              <w:rPr>
                <w:rFonts w:hint="eastAsia"/>
                <w:color w:val="000000"/>
                <w:sz w:val="22"/>
                <w:szCs w:val="22"/>
                <w:lang w:val="en-US" w:eastAsia="zh-CN"/>
              </w:rPr>
              <w:t>本项目分区</w:t>
            </w:r>
            <w:r>
              <w:rPr>
                <w:rFonts w:hint="eastAsia"/>
                <w:color w:val="000000"/>
                <w:sz w:val="22"/>
                <w:szCs w:val="22"/>
              </w:rPr>
              <w:t>防渗一览表</w:t>
            </w:r>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13"/>
              <w:gridCol w:w="2036"/>
              <w:gridCol w:w="4912"/>
            </w:tblGrid>
            <w:tr w14:paraId="761C2C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43" w:type="pct"/>
                  <w:noWrap w:val="0"/>
                  <w:vAlign w:val="center"/>
                </w:tcPr>
                <w:p w14:paraId="51839D7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防渗级别</w:t>
                  </w:r>
                </w:p>
              </w:tc>
              <w:tc>
                <w:tcPr>
                  <w:tcW w:w="1247" w:type="pct"/>
                  <w:noWrap w:val="0"/>
                  <w:vAlign w:val="center"/>
                </w:tcPr>
                <w:p w14:paraId="2D3179D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工作区</w:t>
                  </w:r>
                </w:p>
              </w:tc>
              <w:tc>
                <w:tcPr>
                  <w:tcW w:w="3009" w:type="pct"/>
                  <w:noWrap w:val="0"/>
                  <w:vAlign w:val="center"/>
                </w:tcPr>
                <w:p w14:paraId="0C63EA47">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防渗要求</w:t>
                  </w:r>
                </w:p>
              </w:tc>
            </w:tr>
            <w:tr w14:paraId="22664D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4" w:hRule="atLeast"/>
                <w:jc w:val="center"/>
              </w:trPr>
              <w:tc>
                <w:tcPr>
                  <w:tcW w:w="743" w:type="pct"/>
                  <w:noWrap w:val="0"/>
                  <w:vAlign w:val="center"/>
                </w:tcPr>
                <w:p w14:paraId="4A6C6EA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重点防渗区</w:t>
                  </w:r>
                </w:p>
              </w:tc>
              <w:tc>
                <w:tcPr>
                  <w:tcW w:w="1247" w:type="pct"/>
                  <w:noWrap w:val="0"/>
                  <w:vAlign w:val="center"/>
                </w:tcPr>
                <w:p w14:paraId="350E58FA">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化学品</w:t>
                  </w:r>
                  <w:r>
                    <w:rPr>
                      <w:rFonts w:hint="eastAsia" w:cs="Times New Roman"/>
                      <w:color w:val="000000"/>
                      <w:sz w:val="21"/>
                      <w:szCs w:val="21"/>
                      <w:lang w:val="en-US" w:eastAsia="zh-CN"/>
                    </w:rPr>
                    <w:t>库</w:t>
                  </w:r>
                  <w:r>
                    <w:rPr>
                      <w:rFonts w:hint="default" w:ascii="Times New Roman" w:hAnsi="Times New Roman" w:cs="Times New Roman"/>
                      <w:color w:val="000000"/>
                      <w:sz w:val="21"/>
                      <w:szCs w:val="21"/>
                      <w:lang w:val="en-US" w:eastAsia="zh-CN"/>
                    </w:rPr>
                    <w:t>、喷塑房、喷漆房、</w:t>
                  </w:r>
                  <w:r>
                    <w:rPr>
                      <w:rFonts w:hint="eastAsia" w:cs="Times New Roman"/>
                      <w:color w:val="000000"/>
                      <w:sz w:val="21"/>
                      <w:szCs w:val="21"/>
                      <w:lang w:val="en-US" w:eastAsia="zh-CN"/>
                    </w:rPr>
                    <w:t>喷砂房、事故应急池</w:t>
                  </w:r>
                  <w:r>
                    <w:rPr>
                      <w:rFonts w:hint="default" w:ascii="Times New Roman" w:hAnsi="Times New Roman" w:cs="Times New Roman"/>
                      <w:color w:val="000000"/>
                      <w:sz w:val="21"/>
                      <w:szCs w:val="21"/>
                      <w:lang w:val="en-US" w:eastAsia="zh-CN"/>
                    </w:rPr>
                    <w:t>和危废暂存间</w:t>
                  </w:r>
                </w:p>
              </w:tc>
              <w:tc>
                <w:tcPr>
                  <w:tcW w:w="3009" w:type="pct"/>
                  <w:noWrap w:val="0"/>
                  <w:vAlign w:val="center"/>
                </w:tcPr>
                <w:p w14:paraId="54B6B8A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等效黏土防渗层Mb≥6.0m，渗透系数≤1.0×10</w:t>
                  </w:r>
                  <w:r>
                    <w:rPr>
                      <w:rFonts w:hint="default" w:ascii="Times New Roman" w:hAnsi="Times New Roman" w:cs="Times New Roman"/>
                      <w:color w:val="000000"/>
                      <w:sz w:val="21"/>
                      <w:szCs w:val="21"/>
                      <w:vertAlign w:val="superscript"/>
                    </w:rPr>
                    <w:t>-7</w:t>
                  </w:r>
                  <w:r>
                    <w:rPr>
                      <w:rFonts w:hint="default" w:ascii="Times New Roman" w:hAnsi="Times New Roman" w:cs="Times New Roman"/>
                      <w:color w:val="000000"/>
                      <w:sz w:val="21"/>
                      <w:szCs w:val="21"/>
                    </w:rPr>
                    <w:t>cm/s</w:t>
                  </w:r>
                </w:p>
              </w:tc>
            </w:tr>
            <w:tr w14:paraId="1CA54C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43" w:type="pct"/>
                  <w:noWrap w:val="0"/>
                  <w:vAlign w:val="center"/>
                </w:tcPr>
                <w:p w14:paraId="5A1D6261">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一般防渗区</w:t>
                  </w:r>
                </w:p>
              </w:tc>
              <w:tc>
                <w:tcPr>
                  <w:tcW w:w="1247" w:type="pct"/>
                  <w:noWrap w:val="0"/>
                  <w:vAlign w:val="center"/>
                </w:tcPr>
                <w:p w14:paraId="61E27DF4">
                  <w:pPr>
                    <w:pStyle w:val="6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其他生产区域</w:t>
                  </w:r>
                </w:p>
              </w:tc>
              <w:tc>
                <w:tcPr>
                  <w:tcW w:w="3009" w:type="pct"/>
                  <w:noWrap w:val="0"/>
                  <w:vAlign w:val="center"/>
                </w:tcPr>
                <w:p w14:paraId="3805A2BD">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等效黏土防渗层Mb≥1.5m，渗透系数≤1.0×10-7cm/s</w:t>
                  </w:r>
                </w:p>
              </w:tc>
            </w:tr>
          </w:tbl>
          <w:p w14:paraId="08F54430">
            <w:pPr>
              <w:bidi w:val="0"/>
            </w:pPr>
          </w:p>
          <w:p w14:paraId="24A8C54E">
            <w:pPr>
              <w:spacing w:line="360" w:lineRule="auto"/>
              <w:ind w:firstLine="482"/>
              <w:rPr>
                <w:color w:val="000000"/>
                <w:sz w:val="24"/>
                <w:szCs w:val="24"/>
              </w:rPr>
            </w:pPr>
            <w:r>
              <w:rPr>
                <w:rFonts w:hint="eastAsia" w:ascii="Times New Roman" w:hAnsi="Times New Roman" w:eastAsia="宋体" w:cs="Times New Roman"/>
                <w:color w:val="auto"/>
                <w:szCs w:val="24"/>
              </w:rPr>
              <w:t>除此之外，建议项目运营后还应加强现场巡查</w:t>
            </w:r>
            <w:r>
              <w:rPr>
                <w:rFonts w:hint="eastAsia" w:ascii="Times New Roman" w:hAnsi="Times New Roman" w:eastAsia="宋体" w:cs="Times New Roman"/>
                <w:color w:val="auto"/>
                <w:szCs w:val="24"/>
                <w:lang w:eastAsia="zh-CN"/>
              </w:rPr>
              <w:t>，</w:t>
            </w:r>
            <w:r>
              <w:rPr>
                <w:rFonts w:hint="eastAsia" w:ascii="Times New Roman" w:hAnsi="Times New Roman" w:eastAsia="宋体" w:cs="Times New Roman"/>
                <w:color w:val="auto"/>
                <w:szCs w:val="24"/>
              </w:rPr>
              <w:t>重点检查有无渗漏情况。若发现问题，及时分析原因，找到泄漏点制定整改措施，尽快修补，确保防腐防渗层的完整性。</w:t>
            </w:r>
          </w:p>
          <w:p w14:paraId="76709E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lang w:val="en-US" w:eastAsia="zh-CN"/>
              </w:rPr>
            </w:pPr>
            <w:r>
              <w:rPr>
                <w:color w:val="000000"/>
                <w:sz w:val="24"/>
                <w:szCs w:val="24"/>
              </w:rPr>
              <w:t>经采取以上措施后，可以有效避免对土壤、地下水造成污染</w:t>
            </w:r>
            <w:r>
              <w:rPr>
                <w:rFonts w:hint="eastAsia"/>
                <w:color w:val="000000"/>
                <w:sz w:val="24"/>
                <w:szCs w:val="24"/>
                <w:lang w:eastAsia="zh-CN"/>
              </w:rPr>
              <w:t>。</w:t>
            </w:r>
          </w:p>
          <w:p w14:paraId="42787C1B">
            <w:pPr>
              <w:spacing w:line="360" w:lineRule="auto"/>
              <w:jc w:val="left"/>
              <w:rPr>
                <w:rFonts w:hint="eastAsia"/>
                <w:b/>
                <w:bCs/>
                <w:sz w:val="24"/>
                <w:lang w:val="en-US" w:eastAsia="zh-CN"/>
              </w:rPr>
            </w:pPr>
            <w:r>
              <w:rPr>
                <w:rFonts w:hint="eastAsia"/>
                <w:b/>
                <w:bCs/>
                <w:sz w:val="24"/>
                <w:lang w:val="en-US" w:eastAsia="zh-CN"/>
              </w:rPr>
              <w:t>6、生态</w:t>
            </w:r>
          </w:p>
          <w:p w14:paraId="32BF6DC8">
            <w:pPr>
              <w:spacing w:line="360" w:lineRule="auto"/>
              <w:ind w:firstLine="480" w:firstLineChars="200"/>
              <w:jc w:val="left"/>
              <w:rPr>
                <w:rFonts w:hint="default"/>
                <w:b w:val="0"/>
                <w:bCs w:val="0"/>
                <w:sz w:val="24"/>
                <w:lang w:val="en-US" w:eastAsia="zh-CN"/>
              </w:rPr>
            </w:pPr>
            <w:r>
              <w:rPr>
                <w:rFonts w:hint="eastAsia"/>
                <w:b w:val="0"/>
                <w:bCs w:val="0"/>
                <w:sz w:val="24"/>
                <w:lang w:val="en-US" w:eastAsia="zh-CN"/>
              </w:rPr>
              <w:t>本项目不涉及。</w:t>
            </w:r>
          </w:p>
          <w:p w14:paraId="632804D0">
            <w:pPr>
              <w:spacing w:line="360" w:lineRule="auto"/>
              <w:jc w:val="left"/>
              <w:rPr>
                <w:rFonts w:hint="eastAsia"/>
                <w:b/>
                <w:bCs/>
                <w:sz w:val="24"/>
                <w:lang w:val="en-US" w:eastAsia="zh-CN"/>
              </w:rPr>
            </w:pPr>
            <w:r>
              <w:rPr>
                <w:rFonts w:hint="eastAsia"/>
                <w:b/>
                <w:bCs/>
                <w:sz w:val="24"/>
                <w:lang w:val="en-US" w:eastAsia="zh-CN"/>
              </w:rPr>
              <w:t>7、环境风险</w:t>
            </w:r>
          </w:p>
          <w:p w14:paraId="140E86E7">
            <w:pPr>
              <w:autoSpaceDE w:val="0"/>
              <w:autoSpaceDN w:val="0"/>
              <w:adjustRightInd w:val="0"/>
              <w:snapToGrid w:val="0"/>
              <w:spacing w:line="360" w:lineRule="auto"/>
              <w:ind w:firstLine="480" w:firstLineChars="200"/>
              <w:jc w:val="left"/>
              <w:rPr>
                <w:rFonts w:hint="eastAsia" w:ascii="宋体" w:hAnsi="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根据《建设项目环境影响报告表编制技术指南（污染影响类）（试行）》文件要求，需</w:t>
            </w:r>
            <w:r>
              <w:rPr>
                <w:rFonts w:hint="eastAsia" w:ascii="宋体" w:hAnsi="宋体" w:cs="宋体"/>
                <w:color w:val="000000" w:themeColor="text1"/>
                <w:kern w:val="0"/>
                <w:sz w:val="24"/>
                <w:szCs w:val="24"/>
                <w:lang w:eastAsia="zh-CN"/>
                <w14:textFill>
                  <w14:solidFill>
                    <w14:schemeClr w14:val="tx1"/>
                  </w14:solidFill>
                </w14:textFill>
              </w:rPr>
              <w:t>明确有毒有害和易燃易爆等危险物质和风险源分布情况及可能影响途径，并提出相应环境风险防范措施。</w:t>
            </w:r>
          </w:p>
          <w:p w14:paraId="750C130D">
            <w:pPr>
              <w:spacing w:line="360" w:lineRule="auto"/>
              <w:ind w:firstLine="482"/>
              <w:rPr>
                <w:rFonts w:ascii="Times New Roman" w:hAnsi="Times New Roman" w:eastAsia="宋体" w:cs="Times New Roman"/>
                <w:color w:val="auto"/>
                <w:szCs w:val="24"/>
              </w:rPr>
            </w:pPr>
            <w:r>
              <w:rPr>
                <w:rFonts w:hint="eastAsia" w:ascii="Times New Roman" w:hAnsi="Times New Roman" w:eastAsia="宋体" w:cs="Times New Roman"/>
                <w:color w:val="auto"/>
                <w:szCs w:val="24"/>
              </w:rPr>
              <w:t>1、危险物质和风险源分布情况</w:t>
            </w:r>
          </w:p>
          <w:p w14:paraId="19EAAD5C">
            <w:pPr>
              <w:spacing w:line="360" w:lineRule="auto"/>
              <w:ind w:firstLine="482"/>
              <w:rPr>
                <w:rFonts w:hint="eastAsia" w:ascii="Times New Roman" w:hAnsi="Times New Roman" w:cs="Times New Roman" w:eastAsiaTheme="minorEastAsia"/>
                <w:color w:val="auto"/>
                <w:szCs w:val="24"/>
                <w:lang w:eastAsia="zh-CN"/>
              </w:rPr>
            </w:pPr>
            <w:r>
              <w:rPr>
                <w:rFonts w:ascii="Times New Roman" w:hAnsi="Times New Roman" w:eastAsia="宋体" w:cs="Times New Roman"/>
                <w:color w:val="auto"/>
                <w:szCs w:val="24"/>
              </w:rPr>
              <w:t>根据《建设项目环境风险评价技术导则》</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HJ168-2018</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附录B</w:t>
            </w:r>
            <w:r>
              <w:rPr>
                <w:rFonts w:hint="default" w:ascii="Times New Roman" w:hAnsi="Times New Roman" w:cs="Times New Roman" w:eastAsiaTheme="minorEastAsia"/>
                <w:bCs/>
                <w:color w:val="auto"/>
                <w:sz w:val="24"/>
                <w:szCs w:val="24"/>
              </w:rPr>
              <w:t>计算危险物质的Q值。计算结果如下表所示</w:t>
            </w:r>
            <w:r>
              <w:rPr>
                <w:rFonts w:hint="eastAsia" w:ascii="Times New Roman" w:hAnsi="Times New Roman" w:cs="Times New Roman" w:eastAsiaTheme="minorEastAsia"/>
                <w:bCs/>
                <w:color w:val="auto"/>
                <w:sz w:val="24"/>
                <w:szCs w:val="24"/>
                <w:lang w:eastAsia="zh-CN"/>
              </w:rPr>
              <w:t>：</w:t>
            </w:r>
          </w:p>
          <w:p w14:paraId="225A6D83">
            <w:pPr>
              <w:adjustRightInd w:val="0"/>
              <w:snapToGrid w:val="0"/>
              <w:spacing w:line="240" w:lineRule="auto"/>
              <w:jc w:val="center"/>
              <w:rPr>
                <w:rFonts w:ascii="Times New Roman" w:hAnsi="Times New Roman" w:eastAsia="宋体" w:cs="Times New Roman"/>
                <w:b/>
                <w:color w:val="auto"/>
                <w:spacing w:val="6"/>
                <w:sz w:val="22"/>
                <w:szCs w:val="22"/>
              </w:rPr>
            </w:pPr>
            <w:r>
              <w:rPr>
                <w:rFonts w:ascii="Times New Roman" w:hAnsi="Times New Roman" w:eastAsia="宋体" w:cs="Times New Roman"/>
                <w:b/>
                <w:color w:val="auto"/>
                <w:spacing w:val="6"/>
                <w:sz w:val="22"/>
                <w:szCs w:val="22"/>
              </w:rPr>
              <w:t>表4</w:t>
            </w:r>
            <w:r>
              <w:rPr>
                <w:rFonts w:hint="eastAsia" w:ascii="Times New Roman" w:hAnsi="Times New Roman" w:eastAsia="宋体" w:cs="Times New Roman"/>
                <w:b/>
                <w:color w:val="auto"/>
                <w:spacing w:val="6"/>
                <w:sz w:val="22"/>
                <w:szCs w:val="22"/>
                <w:lang w:val="en-US" w:eastAsia="zh-CN"/>
              </w:rPr>
              <w:t>-1</w:t>
            </w:r>
            <w:r>
              <w:rPr>
                <w:rFonts w:hint="eastAsia" w:cs="Times New Roman"/>
                <w:b/>
                <w:color w:val="auto"/>
                <w:spacing w:val="6"/>
                <w:sz w:val="22"/>
                <w:szCs w:val="22"/>
                <w:lang w:val="en-US" w:eastAsia="zh-CN"/>
              </w:rPr>
              <w:t>5</w:t>
            </w:r>
            <w:r>
              <w:rPr>
                <w:rFonts w:ascii="Times New Roman" w:hAnsi="Times New Roman" w:eastAsia="宋体" w:cs="Times New Roman"/>
                <w:b/>
                <w:color w:val="auto"/>
                <w:sz w:val="22"/>
                <w:szCs w:val="22"/>
              </w:rPr>
              <w:t xml:space="preserve"> </w:t>
            </w:r>
            <w:r>
              <w:rPr>
                <w:rFonts w:ascii="Times New Roman" w:hAnsi="Times New Roman" w:eastAsia="宋体" w:cs="Times New Roman"/>
                <w:b/>
                <w:color w:val="auto"/>
                <w:spacing w:val="6"/>
                <w:sz w:val="22"/>
                <w:szCs w:val="22"/>
              </w:rPr>
              <w:t>危险物质储量一览表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963"/>
              <w:gridCol w:w="2051"/>
              <w:gridCol w:w="1835"/>
              <w:gridCol w:w="1615"/>
            </w:tblGrid>
            <w:tr w14:paraId="04AE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7EB20510">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01" w:type="pct"/>
                  <w:noWrap w:val="0"/>
                  <w:vAlign w:val="center"/>
                </w:tcPr>
                <w:p w14:paraId="5D637262">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危险</w:t>
                  </w:r>
                  <w:r>
                    <w:rPr>
                      <w:rFonts w:hint="default" w:ascii="Times New Roman" w:hAnsi="Times New Roman" w:eastAsia="宋体" w:cs="Times New Roman"/>
                      <w:b/>
                      <w:bCs/>
                      <w:color w:val="auto"/>
                      <w:sz w:val="21"/>
                      <w:szCs w:val="21"/>
                      <w:lang w:eastAsia="zh-CN"/>
                    </w:rPr>
                    <w:t>物质</w:t>
                  </w:r>
                </w:p>
              </w:tc>
              <w:tc>
                <w:tcPr>
                  <w:tcW w:w="1255" w:type="pct"/>
                  <w:noWrap w:val="0"/>
                  <w:vAlign w:val="center"/>
                </w:tcPr>
                <w:p w14:paraId="1DD118D3">
                  <w:pPr>
                    <w:pStyle w:val="64"/>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t>最大暂存量（t）</w:t>
                  </w:r>
                </w:p>
              </w:tc>
              <w:tc>
                <w:tcPr>
                  <w:tcW w:w="1123" w:type="pct"/>
                  <w:noWrap w:val="0"/>
                  <w:vAlign w:val="center"/>
                </w:tcPr>
                <w:p w14:paraId="45787ABB">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临界量（t）</w:t>
                  </w:r>
                </w:p>
              </w:tc>
              <w:tc>
                <w:tcPr>
                  <w:tcW w:w="988" w:type="pct"/>
                  <w:noWrap w:val="0"/>
                  <w:vAlign w:val="center"/>
                </w:tcPr>
                <w:p w14:paraId="0BB12647">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Q值</w:t>
                  </w:r>
                </w:p>
              </w:tc>
            </w:tr>
            <w:tr w14:paraId="420D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22B9B2FA">
                  <w:pPr>
                    <w:keepNext w:val="0"/>
                    <w:keepLines w:val="0"/>
                    <w:pageBreakBefore w:val="0"/>
                    <w:numPr>
                      <w:ilvl w:val="0"/>
                      <w:numId w:val="12"/>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Times New Roman" w:hAnsi="Times New Roman" w:eastAsia="宋体" w:cs="Times New Roman"/>
                      <w:color w:val="auto"/>
                      <w:sz w:val="21"/>
                      <w:szCs w:val="21"/>
                      <w:lang w:val="en-US" w:eastAsia="zh-CN"/>
                    </w:rPr>
                  </w:pPr>
                </w:p>
              </w:tc>
              <w:tc>
                <w:tcPr>
                  <w:tcW w:w="1201" w:type="pct"/>
                  <w:noWrap w:val="0"/>
                  <w:vAlign w:val="center"/>
                </w:tcPr>
                <w:p w14:paraId="4985C5AC">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（废）</w:t>
                  </w:r>
                  <w:r>
                    <w:rPr>
                      <w:rFonts w:hint="default" w:ascii="Times New Roman" w:hAnsi="Times New Roman" w:cs="Times New Roman"/>
                      <w:color w:val="auto"/>
                      <w:sz w:val="21"/>
                      <w:szCs w:val="21"/>
                      <w:lang w:val="en-US" w:eastAsia="zh-CN"/>
                    </w:rPr>
                    <w:t>机</w:t>
                  </w:r>
                  <w:r>
                    <w:rPr>
                      <w:rFonts w:hint="default" w:ascii="Times New Roman" w:hAnsi="Times New Roman" w:cs="Times New Roman"/>
                      <w:color w:val="auto"/>
                      <w:sz w:val="21"/>
                      <w:szCs w:val="21"/>
                      <w:lang w:eastAsia="zh-CN"/>
                    </w:rPr>
                    <w:t>油</w:t>
                  </w:r>
                </w:p>
              </w:tc>
              <w:tc>
                <w:tcPr>
                  <w:tcW w:w="1255" w:type="pct"/>
                  <w:noWrap w:val="0"/>
                  <w:vAlign w:val="center"/>
                </w:tcPr>
                <w:p w14:paraId="438B5D03">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c>
                <w:tcPr>
                  <w:tcW w:w="1123" w:type="pct"/>
                  <w:noWrap w:val="0"/>
                  <w:vAlign w:val="center"/>
                </w:tcPr>
                <w:p w14:paraId="21AE1880">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2500</w:t>
                  </w:r>
                </w:p>
              </w:tc>
              <w:tc>
                <w:tcPr>
                  <w:tcW w:w="988" w:type="pct"/>
                  <w:noWrap w:val="0"/>
                  <w:vAlign w:val="center"/>
                </w:tcPr>
                <w:p w14:paraId="75CA0549">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0.000004</w:t>
                  </w:r>
                </w:p>
              </w:tc>
            </w:tr>
            <w:tr w14:paraId="155B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6FB33BF5">
                  <w:pPr>
                    <w:keepNext w:val="0"/>
                    <w:keepLines w:val="0"/>
                    <w:pageBreakBefore w:val="0"/>
                    <w:numPr>
                      <w:ilvl w:val="0"/>
                      <w:numId w:val="12"/>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Times New Roman" w:hAnsi="Times New Roman" w:eastAsia="宋体" w:cs="Times New Roman"/>
                      <w:color w:val="auto"/>
                      <w:sz w:val="21"/>
                      <w:szCs w:val="21"/>
                      <w:lang w:val="en-US" w:eastAsia="zh-CN"/>
                    </w:rPr>
                  </w:pPr>
                </w:p>
              </w:tc>
              <w:tc>
                <w:tcPr>
                  <w:tcW w:w="1201" w:type="pct"/>
                  <w:noWrap w:val="0"/>
                  <w:vAlign w:val="center"/>
                </w:tcPr>
                <w:p w14:paraId="1CBD60A0">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切削液</w:t>
                  </w:r>
                </w:p>
              </w:tc>
              <w:tc>
                <w:tcPr>
                  <w:tcW w:w="1255" w:type="pct"/>
                  <w:noWrap w:val="0"/>
                  <w:vAlign w:val="center"/>
                </w:tcPr>
                <w:p w14:paraId="1C20C56F">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w:t>
                  </w:r>
                  <w:r>
                    <w:rPr>
                      <w:rFonts w:hint="eastAsia" w:cs="Times New Roman"/>
                      <w:color w:val="auto"/>
                      <w:sz w:val="21"/>
                      <w:szCs w:val="21"/>
                      <w:highlight w:val="none"/>
                      <w:lang w:val="en-US" w:eastAsia="zh-CN"/>
                    </w:rPr>
                    <w:t>4</w:t>
                  </w:r>
                </w:p>
              </w:tc>
              <w:tc>
                <w:tcPr>
                  <w:tcW w:w="1123" w:type="pct"/>
                  <w:noWrap w:val="0"/>
                  <w:vAlign w:val="center"/>
                </w:tcPr>
                <w:p w14:paraId="56655A83">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2500</w:t>
                  </w:r>
                </w:p>
              </w:tc>
              <w:tc>
                <w:tcPr>
                  <w:tcW w:w="988" w:type="pct"/>
                  <w:noWrap w:val="0"/>
                  <w:vAlign w:val="center"/>
                </w:tcPr>
                <w:p w14:paraId="430FFF4B">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w:t>
                  </w:r>
                  <w:r>
                    <w:rPr>
                      <w:rFonts w:hint="eastAsia" w:cs="Times New Roman"/>
                      <w:color w:val="auto"/>
                      <w:sz w:val="21"/>
                      <w:szCs w:val="21"/>
                      <w:highlight w:val="none"/>
                      <w:lang w:val="en-US" w:eastAsia="zh-CN"/>
                    </w:rPr>
                    <w:t>16</w:t>
                  </w:r>
                </w:p>
              </w:tc>
            </w:tr>
            <w:tr w14:paraId="3D10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2B879589">
                  <w:pPr>
                    <w:keepNext w:val="0"/>
                    <w:keepLines w:val="0"/>
                    <w:pageBreakBefore w:val="0"/>
                    <w:numPr>
                      <w:ilvl w:val="0"/>
                      <w:numId w:val="12"/>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Times New Roman" w:hAnsi="Times New Roman" w:eastAsia="宋体" w:cs="Times New Roman"/>
                      <w:color w:val="auto"/>
                      <w:sz w:val="21"/>
                      <w:szCs w:val="21"/>
                      <w:lang w:val="en-US" w:eastAsia="zh-CN"/>
                    </w:rPr>
                  </w:pPr>
                </w:p>
              </w:tc>
              <w:tc>
                <w:tcPr>
                  <w:tcW w:w="1201" w:type="pct"/>
                  <w:noWrap w:val="0"/>
                  <w:vAlign w:val="center"/>
                </w:tcPr>
                <w:p w14:paraId="1545CD32">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w:t>
                  </w:r>
                  <w:r>
                    <w:rPr>
                      <w:rFonts w:hint="default" w:ascii="Times New Roman" w:hAnsi="Times New Roman" w:cs="Times New Roman"/>
                      <w:color w:val="auto"/>
                      <w:sz w:val="21"/>
                      <w:szCs w:val="21"/>
                      <w:lang w:val="en-US" w:eastAsia="zh-CN"/>
                    </w:rPr>
                    <w:t>切削液</w:t>
                  </w:r>
                </w:p>
              </w:tc>
              <w:tc>
                <w:tcPr>
                  <w:tcW w:w="2051" w:type="dxa"/>
                  <w:noWrap w:val="0"/>
                  <w:vAlign w:val="center"/>
                </w:tcPr>
                <w:p w14:paraId="0CDD01FE">
                  <w:pPr>
                    <w:keepNext w:val="0"/>
                    <w:keepLines w:val="0"/>
                    <w:pageBreakBefore w:val="0"/>
                    <w:kinsoku/>
                    <w:wordWrap/>
                    <w:overflowPunct/>
                    <w:topLinePunct w:val="0"/>
                    <w:autoSpaceDE/>
                    <w:autoSpaceDN/>
                    <w:bidi w:val="0"/>
                    <w:adjustRightInd/>
                    <w:snapToGrid/>
                    <w:spacing w:line="240" w:lineRule="auto"/>
                    <w:ind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1835" w:type="dxa"/>
                  <w:noWrap w:val="0"/>
                  <w:vAlign w:val="center"/>
                </w:tcPr>
                <w:p w14:paraId="6852A8F7">
                  <w:pPr>
                    <w:keepNext w:val="0"/>
                    <w:keepLines w:val="0"/>
                    <w:pageBreakBefore w:val="0"/>
                    <w:kinsoku/>
                    <w:wordWrap/>
                    <w:overflowPunct/>
                    <w:topLinePunct w:val="0"/>
                    <w:autoSpaceDE/>
                    <w:autoSpaceDN/>
                    <w:bidi w:val="0"/>
                    <w:adjustRightInd/>
                    <w:snapToGrid/>
                    <w:spacing w:line="240" w:lineRule="auto"/>
                    <w:ind w:right="0" w:righ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2500</w:t>
                  </w:r>
                </w:p>
              </w:tc>
              <w:tc>
                <w:tcPr>
                  <w:tcW w:w="1615" w:type="dxa"/>
                  <w:noWrap w:val="0"/>
                  <w:vAlign w:val="center"/>
                </w:tcPr>
                <w:p w14:paraId="06954042">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0.0000</w:t>
                  </w:r>
                  <w:r>
                    <w:rPr>
                      <w:rFonts w:hint="eastAsia" w:cs="Times New Roman"/>
                      <w:color w:val="auto"/>
                      <w:sz w:val="21"/>
                      <w:szCs w:val="21"/>
                      <w:highlight w:val="none"/>
                      <w:lang w:val="en-US" w:eastAsia="zh-CN"/>
                    </w:rPr>
                    <w:t>8</w:t>
                  </w:r>
                </w:p>
              </w:tc>
            </w:tr>
            <w:tr w14:paraId="7671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0444B4C3">
                  <w:pPr>
                    <w:keepNext w:val="0"/>
                    <w:keepLines w:val="0"/>
                    <w:pageBreakBefore w:val="0"/>
                    <w:numPr>
                      <w:ilvl w:val="0"/>
                      <w:numId w:val="12"/>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Times New Roman" w:hAnsi="Times New Roman" w:eastAsia="宋体" w:cs="Times New Roman"/>
                      <w:color w:val="auto"/>
                      <w:sz w:val="21"/>
                      <w:szCs w:val="21"/>
                      <w:lang w:val="en-US" w:eastAsia="zh-CN"/>
                    </w:rPr>
                  </w:pPr>
                </w:p>
              </w:tc>
              <w:tc>
                <w:tcPr>
                  <w:tcW w:w="1201" w:type="pct"/>
                  <w:noWrap w:val="0"/>
                  <w:vAlign w:val="center"/>
                </w:tcPr>
                <w:p w14:paraId="1DA56D47">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液压油</w:t>
                  </w:r>
                </w:p>
              </w:tc>
              <w:tc>
                <w:tcPr>
                  <w:tcW w:w="1255" w:type="pct"/>
                  <w:noWrap w:val="0"/>
                  <w:vAlign w:val="center"/>
                </w:tcPr>
                <w:p w14:paraId="2909598D">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123" w:type="pct"/>
                  <w:noWrap w:val="0"/>
                  <w:vAlign w:val="center"/>
                </w:tcPr>
                <w:p w14:paraId="4409C7EB">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2500</w:t>
                  </w:r>
                </w:p>
              </w:tc>
              <w:tc>
                <w:tcPr>
                  <w:tcW w:w="988" w:type="pct"/>
                  <w:noWrap w:val="0"/>
                  <w:vAlign w:val="center"/>
                </w:tcPr>
                <w:p w14:paraId="0A50A452">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0.0012</w:t>
                  </w:r>
                </w:p>
              </w:tc>
            </w:tr>
            <w:tr w14:paraId="194E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4F41BD12">
                  <w:pPr>
                    <w:keepNext w:val="0"/>
                    <w:keepLines w:val="0"/>
                    <w:pageBreakBefore w:val="0"/>
                    <w:numPr>
                      <w:ilvl w:val="0"/>
                      <w:numId w:val="12"/>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Times New Roman" w:hAnsi="Times New Roman" w:eastAsia="宋体" w:cs="Times New Roman"/>
                      <w:color w:val="auto"/>
                      <w:sz w:val="21"/>
                      <w:szCs w:val="21"/>
                      <w:lang w:val="en-US" w:eastAsia="zh-CN"/>
                    </w:rPr>
                  </w:pPr>
                </w:p>
              </w:tc>
              <w:tc>
                <w:tcPr>
                  <w:tcW w:w="1201" w:type="pct"/>
                  <w:noWrap w:val="0"/>
                  <w:vAlign w:val="center"/>
                </w:tcPr>
                <w:p w14:paraId="567AA513">
                  <w:pPr>
                    <w:keepNext w:val="0"/>
                    <w:keepLines w:val="0"/>
                    <w:pageBreakBefore w:val="0"/>
                    <w:kinsoku/>
                    <w:wordWrap/>
                    <w:overflowPunct/>
                    <w:topLinePunct w:val="0"/>
                    <w:autoSpaceDE/>
                    <w:autoSpaceDN/>
                    <w:bidi w:val="0"/>
                    <w:adjustRightInd/>
                    <w:snapToGrid/>
                    <w:spacing w:line="240" w:lineRule="auto"/>
                    <w:ind w:right="0"/>
                    <w:jc w:val="center"/>
                    <w:rPr>
                      <w:rFonts w:hint="eastAsia" w:cs="Times New Roman"/>
                      <w:color w:val="auto"/>
                      <w:sz w:val="21"/>
                      <w:szCs w:val="21"/>
                      <w:lang w:val="en-US" w:eastAsia="zh-CN"/>
                    </w:rPr>
                  </w:pPr>
                  <w:r>
                    <w:rPr>
                      <w:rFonts w:hint="eastAsia" w:cs="Times New Roman"/>
                      <w:color w:val="auto"/>
                      <w:sz w:val="21"/>
                      <w:szCs w:val="21"/>
                      <w:lang w:val="en-US" w:eastAsia="zh-CN"/>
                    </w:rPr>
                    <w:t>废液压油</w:t>
                  </w:r>
                </w:p>
              </w:tc>
              <w:tc>
                <w:tcPr>
                  <w:tcW w:w="1255" w:type="pct"/>
                  <w:noWrap w:val="0"/>
                  <w:vAlign w:val="center"/>
                </w:tcPr>
                <w:p w14:paraId="78C4CF74">
                  <w:pPr>
                    <w:keepNext w:val="0"/>
                    <w:keepLines w:val="0"/>
                    <w:pageBreakBefore w:val="0"/>
                    <w:kinsoku/>
                    <w:wordWrap/>
                    <w:overflowPunct/>
                    <w:topLinePunct w:val="0"/>
                    <w:autoSpaceDE/>
                    <w:autoSpaceDN/>
                    <w:bidi w:val="0"/>
                    <w:adjustRightInd/>
                    <w:snapToGrid/>
                    <w:spacing w:line="240" w:lineRule="auto"/>
                    <w:ind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123" w:type="pct"/>
                  <w:noWrap w:val="0"/>
                  <w:vAlign w:val="center"/>
                </w:tcPr>
                <w:p w14:paraId="16C31D2C">
                  <w:pPr>
                    <w:keepNext w:val="0"/>
                    <w:keepLines w:val="0"/>
                    <w:pageBreakBefore w:val="0"/>
                    <w:kinsoku/>
                    <w:wordWrap/>
                    <w:overflowPunct/>
                    <w:topLinePunct w:val="0"/>
                    <w:autoSpaceDE/>
                    <w:autoSpaceDN/>
                    <w:bidi w:val="0"/>
                    <w:adjustRightInd/>
                    <w:snapToGrid/>
                    <w:spacing w:line="240" w:lineRule="auto"/>
                    <w:ind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2500</w:t>
                  </w:r>
                </w:p>
              </w:tc>
              <w:tc>
                <w:tcPr>
                  <w:tcW w:w="988" w:type="pct"/>
                  <w:noWrap w:val="0"/>
                  <w:vAlign w:val="center"/>
                </w:tcPr>
                <w:p w14:paraId="56F44B3E">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0.0008</w:t>
                  </w:r>
                </w:p>
              </w:tc>
            </w:tr>
            <w:tr w14:paraId="2EF9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63EC2BB4">
                  <w:pPr>
                    <w:keepNext w:val="0"/>
                    <w:keepLines w:val="0"/>
                    <w:pageBreakBefore w:val="0"/>
                    <w:numPr>
                      <w:ilvl w:val="0"/>
                      <w:numId w:val="12"/>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Times New Roman" w:hAnsi="Times New Roman" w:eastAsia="宋体" w:cs="Times New Roman"/>
                      <w:color w:val="auto"/>
                      <w:sz w:val="21"/>
                      <w:szCs w:val="21"/>
                      <w:lang w:val="en-US" w:eastAsia="zh-CN"/>
                    </w:rPr>
                  </w:pPr>
                </w:p>
              </w:tc>
              <w:tc>
                <w:tcPr>
                  <w:tcW w:w="1201" w:type="pct"/>
                  <w:noWrap w:val="0"/>
                  <w:vAlign w:val="center"/>
                </w:tcPr>
                <w:p w14:paraId="52A317EA">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油性漆（二甲苯）</w:t>
                  </w:r>
                </w:p>
              </w:tc>
              <w:tc>
                <w:tcPr>
                  <w:tcW w:w="1255" w:type="pct"/>
                  <w:noWrap w:val="0"/>
                  <w:vAlign w:val="center"/>
                </w:tcPr>
                <w:p w14:paraId="63455534">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0.104</w:t>
                  </w:r>
                </w:p>
              </w:tc>
              <w:tc>
                <w:tcPr>
                  <w:tcW w:w="1123" w:type="pct"/>
                  <w:noWrap w:val="0"/>
                  <w:vAlign w:val="center"/>
                </w:tcPr>
                <w:p w14:paraId="16C2B610">
                  <w:pPr>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88" w:type="pct"/>
                  <w:noWrap w:val="0"/>
                  <w:vAlign w:val="center"/>
                </w:tcPr>
                <w:p w14:paraId="1FD39FC4">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0.0104</w:t>
                  </w:r>
                </w:p>
              </w:tc>
            </w:tr>
            <w:tr w14:paraId="3C4F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noWrap w:val="0"/>
                  <w:vAlign w:val="center"/>
                </w:tcPr>
                <w:p w14:paraId="1CB9FD11">
                  <w:pPr>
                    <w:keepNext w:val="0"/>
                    <w:keepLines w:val="0"/>
                    <w:pageBreakBefore w:val="0"/>
                    <w:numPr>
                      <w:ilvl w:val="0"/>
                      <w:numId w:val="12"/>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Times New Roman" w:hAnsi="Times New Roman" w:eastAsia="宋体" w:cs="Times New Roman"/>
                      <w:color w:val="auto"/>
                      <w:sz w:val="21"/>
                      <w:szCs w:val="21"/>
                      <w:lang w:val="en-US" w:eastAsia="zh-CN"/>
                    </w:rPr>
                  </w:pPr>
                </w:p>
              </w:tc>
              <w:tc>
                <w:tcPr>
                  <w:tcW w:w="1201" w:type="pct"/>
                  <w:shd w:val="clear" w:color="auto" w:fill="auto"/>
                  <w:noWrap w:val="0"/>
                  <w:vAlign w:val="center"/>
                </w:tcPr>
                <w:p w14:paraId="1BC32C01">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丙烷</w:t>
                  </w:r>
                </w:p>
              </w:tc>
              <w:tc>
                <w:tcPr>
                  <w:tcW w:w="1255" w:type="pct"/>
                  <w:shd w:val="clear" w:color="auto" w:fill="auto"/>
                  <w:noWrap w:val="0"/>
                  <w:vAlign w:val="center"/>
                </w:tcPr>
                <w:p w14:paraId="2821D266">
                  <w:pPr>
                    <w:keepNext w:val="0"/>
                    <w:keepLines w:val="0"/>
                    <w:pageBreakBefore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kern w:val="2"/>
                      <w:sz w:val="21"/>
                      <w:szCs w:val="21"/>
                      <w:highlight w:val="yellow"/>
                      <w:lang w:val="en-US" w:eastAsia="zh-CN" w:bidi="ar-SA"/>
                    </w:rPr>
                  </w:pPr>
                  <w:r>
                    <w:rPr>
                      <w:rFonts w:hint="eastAsia" w:ascii="Times New Roman" w:hAnsi="Times New Roman" w:cs="Times New Roman"/>
                      <w:color w:val="auto"/>
                      <w:sz w:val="21"/>
                      <w:szCs w:val="21"/>
                      <w:highlight w:val="none"/>
                      <w:lang w:val="en-US" w:eastAsia="zh-CN"/>
                    </w:rPr>
                    <w:t>0.24</w:t>
                  </w:r>
                </w:p>
              </w:tc>
              <w:tc>
                <w:tcPr>
                  <w:tcW w:w="1123" w:type="pct"/>
                  <w:shd w:val="clear" w:color="auto" w:fill="auto"/>
                  <w:noWrap w:val="0"/>
                  <w:vAlign w:val="center"/>
                </w:tcPr>
                <w:p w14:paraId="367DF1B5">
                  <w:pPr>
                    <w:keepNext w:val="0"/>
                    <w:keepLines w:val="0"/>
                    <w:pageBreakBefore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w:t>
                  </w:r>
                </w:p>
              </w:tc>
              <w:tc>
                <w:tcPr>
                  <w:tcW w:w="988" w:type="pct"/>
                  <w:shd w:val="clear" w:color="auto" w:fill="auto"/>
                  <w:noWrap w:val="0"/>
                  <w:vAlign w:val="center"/>
                </w:tcPr>
                <w:p w14:paraId="7579D804">
                  <w:pPr>
                    <w:keepNext w:val="0"/>
                    <w:keepLines w:val="0"/>
                    <w:pageBreakBefore w:val="0"/>
                    <w:kinsoku/>
                    <w:wordWrap/>
                    <w:overflowPunct/>
                    <w:topLinePunct w:val="0"/>
                    <w:autoSpaceDE/>
                    <w:autoSpaceDN/>
                    <w:bidi w:val="0"/>
                    <w:adjustRightInd/>
                    <w:snapToGrid/>
                    <w:spacing w:line="240" w:lineRule="auto"/>
                    <w:ind w:right="0" w:rightChars="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0.024</w:t>
                  </w:r>
                </w:p>
              </w:tc>
            </w:tr>
            <w:tr w14:paraId="3818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1" w:type="pct"/>
                  <w:gridSpan w:val="4"/>
                  <w:noWrap w:val="0"/>
                  <w:vAlign w:val="center"/>
                </w:tcPr>
                <w:p w14:paraId="401BAC47">
                  <w:pPr>
                    <w:keepNext w:val="0"/>
                    <w:keepLines w:val="0"/>
                    <w:pageBreakBefore w:val="0"/>
                    <w:kinsoku/>
                    <w:wordWrap/>
                    <w:overflowPunct/>
                    <w:topLinePunct w:val="0"/>
                    <w:autoSpaceDE/>
                    <w:autoSpaceDN/>
                    <w:bidi w:val="0"/>
                    <w:adjustRightInd/>
                    <w:snapToGrid/>
                    <w:spacing w:line="240" w:lineRule="auto"/>
                    <w:ind w:right="0"/>
                    <w:jc w:val="center"/>
                    <w:rPr>
                      <w:rFonts w:hint="default" w:cs="Times New Roman"/>
                      <w:color w:val="auto"/>
                      <w:sz w:val="21"/>
                      <w:szCs w:val="21"/>
                      <w:highlight w:val="yellow"/>
                      <w:lang w:val="en-US" w:eastAsia="zh-CN"/>
                    </w:rPr>
                  </w:pPr>
                  <w:r>
                    <w:rPr>
                      <w:sz w:val="21"/>
                      <w:szCs w:val="21"/>
                      <w:highlight w:val="none"/>
                    </w:rPr>
                    <w:t>项目Q值Σ</w:t>
                  </w:r>
                </w:p>
              </w:tc>
              <w:tc>
                <w:tcPr>
                  <w:tcW w:w="988" w:type="pct"/>
                  <w:noWrap w:val="0"/>
                  <w:vAlign w:val="center"/>
                </w:tcPr>
                <w:p w14:paraId="03DDF099">
                  <w:pPr>
                    <w:keepNext w:val="0"/>
                    <w:keepLines w:val="0"/>
                    <w:pageBreakBefore w:val="0"/>
                    <w:kinsoku/>
                    <w:wordWrap/>
                    <w:overflowPunct/>
                    <w:topLinePunct w:val="0"/>
                    <w:autoSpaceDE/>
                    <w:autoSpaceDN/>
                    <w:bidi w:val="0"/>
                    <w:adjustRightInd/>
                    <w:snapToGrid/>
                    <w:spacing w:line="240" w:lineRule="auto"/>
                    <w:ind w:right="0" w:rightChars="0"/>
                    <w:jc w:val="center"/>
                    <w:rPr>
                      <w:rFonts w:hint="default" w:ascii="Times New Roman" w:hAnsi="Times New Roman" w:cs="Times New Roman"/>
                      <w:i w:val="0"/>
                      <w:iCs w:val="0"/>
                      <w:color w:val="auto"/>
                      <w:kern w:val="0"/>
                      <w:sz w:val="21"/>
                      <w:szCs w:val="21"/>
                      <w:highlight w:val="yellow"/>
                      <w:u w:val="none"/>
                      <w:lang w:val="en-US" w:eastAsia="zh-CN" w:bidi="ar"/>
                    </w:rPr>
                  </w:pPr>
                  <w:r>
                    <w:rPr>
                      <w:rFonts w:hint="eastAsia" w:cs="Times New Roman"/>
                      <w:i w:val="0"/>
                      <w:iCs w:val="0"/>
                      <w:color w:val="auto"/>
                      <w:kern w:val="0"/>
                      <w:sz w:val="21"/>
                      <w:szCs w:val="21"/>
                      <w:highlight w:val="none"/>
                      <w:u w:val="none"/>
                      <w:lang w:val="en-US" w:eastAsia="zh-CN" w:bidi="ar"/>
                    </w:rPr>
                    <w:t>0.0365</w:t>
                  </w:r>
                </w:p>
              </w:tc>
            </w:tr>
          </w:tbl>
          <w:p w14:paraId="60113A1B">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ascii="Times New Roman" w:hAnsi="Times New Roman" w:eastAsia="宋体" w:cs="Times New Roman"/>
                <w:color w:val="auto"/>
                <w:szCs w:val="24"/>
              </w:rPr>
            </w:pPr>
            <w:r>
              <w:rPr>
                <w:rFonts w:hint="eastAsia" w:cs="Times New Roman"/>
                <w:color w:val="auto"/>
                <w:spacing w:val="-3"/>
                <w:szCs w:val="24"/>
                <w:lang w:val="en-US" w:eastAsia="zh-CN"/>
              </w:rPr>
              <w:t>由上计算可知</w:t>
            </w:r>
            <w:r>
              <w:rPr>
                <w:rFonts w:ascii="Times New Roman" w:hAnsi="Times New Roman" w:eastAsia="宋体" w:cs="Times New Roman"/>
                <w:color w:val="auto"/>
                <w:spacing w:val="-3"/>
                <w:szCs w:val="24"/>
              </w:rPr>
              <w:t>本项目Q＜1。</w:t>
            </w:r>
          </w:p>
          <w:p w14:paraId="28CE00F1">
            <w:pPr>
              <w:spacing w:line="360" w:lineRule="auto"/>
              <w:ind w:firstLine="480" w:firstLineChars="200"/>
              <w:rPr>
                <w:rFonts w:hint="default" w:ascii="Times New Roman" w:hAnsi="Times New Roman" w:eastAsia="宋体" w:cs="Times New Roman"/>
                <w:color w:val="auto"/>
                <w:szCs w:val="20"/>
              </w:rPr>
            </w:pPr>
            <w:r>
              <w:rPr>
                <w:rFonts w:hint="eastAsia" w:ascii="Times New Roman" w:hAnsi="Times New Roman" w:eastAsia="宋体" w:cs="Times New Roman"/>
                <w:color w:val="auto"/>
                <w:szCs w:val="20"/>
              </w:rPr>
              <w:t>2、</w:t>
            </w:r>
            <w:r>
              <w:rPr>
                <w:rFonts w:hint="eastAsia" w:cs="Times New Roman"/>
                <w:color w:val="auto"/>
                <w:szCs w:val="20"/>
                <w:lang w:val="en-US" w:eastAsia="zh-CN"/>
              </w:rPr>
              <w:t>风险源分布及可能</w:t>
            </w:r>
            <w:r>
              <w:rPr>
                <w:rFonts w:ascii="Times New Roman" w:hAnsi="Times New Roman" w:eastAsia="宋体" w:cs="Times New Roman"/>
                <w:color w:val="auto"/>
                <w:szCs w:val="20"/>
              </w:rPr>
              <w:t>影响途径</w:t>
            </w:r>
          </w:p>
          <w:p w14:paraId="25E3BA5D">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eastAsia="宋体" w:cs="Times New Roman"/>
                <w:color w:val="auto"/>
                <w:szCs w:val="20"/>
              </w:rPr>
              <w:t>（1）</w:t>
            </w:r>
            <w:r>
              <w:rPr>
                <w:rFonts w:hint="default" w:ascii="Times New Roman" w:hAnsi="Times New Roman" w:cs="Times New Roman"/>
                <w:color w:val="auto"/>
                <w:kern w:val="0"/>
                <w:sz w:val="24"/>
                <w:szCs w:val="24"/>
                <w:lang w:val="en-US" w:eastAsia="zh-CN" w:bidi="ar"/>
              </w:rPr>
              <w:t>火灾</w:t>
            </w:r>
          </w:p>
          <w:p w14:paraId="62929CB2">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cs="Times New Roman"/>
                <w:color w:val="auto"/>
                <w:kern w:val="0"/>
                <w:sz w:val="24"/>
                <w:szCs w:val="24"/>
                <w:lang w:bidi="ar"/>
              </w:rPr>
              <w:t>企业员工在厂区吸烟或生产过程中不慎造成电气设备故障等，可能引起火灾</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bidi="ar"/>
              </w:rPr>
              <w:t>有时会发生火灾连片使大批设备烧毁。火灾是通过放出辐射热影响周围环境。如果辐射热的能量足够大，可引起其他可燃物燃烧。物质在燃烧过程中会产生大量浓烟和烟尘</w:t>
            </w:r>
            <w:r>
              <w:rPr>
                <w:rFonts w:hint="default" w:ascii="Times New Roman" w:hAnsi="Times New Roman" w:cs="Times New Roman"/>
                <w:color w:val="auto"/>
                <w:kern w:val="0"/>
                <w:sz w:val="24"/>
                <w:szCs w:val="24"/>
                <w:lang w:eastAsia="zh-CN" w:bidi="ar"/>
              </w:rPr>
              <w:t>，</w:t>
            </w:r>
            <w:r>
              <w:rPr>
                <w:rFonts w:hint="default" w:ascii="Times New Roman" w:hAnsi="Times New Roman" w:cs="Times New Roman"/>
                <w:color w:val="auto"/>
                <w:kern w:val="0"/>
                <w:sz w:val="24"/>
                <w:szCs w:val="24"/>
                <w:lang w:bidi="ar"/>
              </w:rPr>
              <w:t>其中含有大量的一氧化碳、二氧化碳及其他有毒气体，带来大气环境污染。</w:t>
            </w:r>
          </w:p>
          <w:p w14:paraId="765183CB">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环保设施故障引起的环境污染</w:t>
            </w:r>
          </w:p>
          <w:p w14:paraId="4813323F">
            <w:pPr>
              <w:keepNext w:val="0"/>
              <w:keepLines w:val="0"/>
              <w:pageBreakBefore w:val="0"/>
              <w:widowControl/>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厂区环保设施主要为配套的环保设施。生产运营过程中，</w:t>
            </w:r>
            <w:r>
              <w:rPr>
                <w:rFonts w:hint="default" w:ascii="Times New Roman" w:hAnsi="Times New Roman" w:cs="Times New Roman"/>
                <w:color w:val="auto"/>
                <w:kern w:val="0"/>
                <w:sz w:val="24"/>
                <w:szCs w:val="24"/>
                <w:lang w:val="en-US" w:eastAsia="zh-CN" w:bidi="ar"/>
              </w:rPr>
              <w:t>环保</w:t>
            </w:r>
            <w:r>
              <w:rPr>
                <w:rFonts w:hint="default" w:ascii="Times New Roman" w:hAnsi="Times New Roman" w:eastAsia="宋体" w:cs="Times New Roman"/>
                <w:color w:val="auto"/>
                <w:kern w:val="0"/>
                <w:sz w:val="24"/>
                <w:szCs w:val="24"/>
                <w:lang w:val="en-US" w:eastAsia="zh-CN" w:bidi="ar"/>
              </w:rPr>
              <w:t>设施发生故障导致废气污染物超标排放，少量未处理</w:t>
            </w:r>
            <w:r>
              <w:rPr>
                <w:rFonts w:hint="default" w:ascii="Times New Roman" w:hAnsi="Times New Roman" w:cs="Times New Roman"/>
                <w:color w:val="auto"/>
                <w:kern w:val="0"/>
                <w:sz w:val="24"/>
                <w:szCs w:val="24"/>
                <w:lang w:val="en-US" w:eastAsia="zh-CN" w:bidi="ar"/>
              </w:rPr>
              <w:t>废气</w:t>
            </w:r>
            <w:r>
              <w:rPr>
                <w:rFonts w:hint="default" w:ascii="Times New Roman" w:hAnsi="Times New Roman" w:eastAsia="宋体" w:cs="Times New Roman"/>
                <w:color w:val="auto"/>
                <w:kern w:val="0"/>
                <w:sz w:val="24"/>
                <w:szCs w:val="24"/>
                <w:lang w:val="en-US" w:eastAsia="zh-CN" w:bidi="ar"/>
              </w:rPr>
              <w:t>直接进入大气环境，对大气环境造成污染。</w:t>
            </w:r>
          </w:p>
          <w:p w14:paraId="607AEFC3">
            <w:pPr>
              <w:shd w:val="clear" w:color="auto"/>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危险废物</w:t>
            </w:r>
            <w:r>
              <w:rPr>
                <w:rFonts w:hint="default" w:ascii="Times New Roman" w:hAnsi="Times New Roman" w:cs="Times New Roman"/>
                <w:color w:val="auto"/>
                <w:sz w:val="24"/>
                <w:szCs w:val="24"/>
              </w:rPr>
              <w:t>事故风险防范措施</w:t>
            </w:r>
          </w:p>
          <w:p w14:paraId="5326CE29">
            <w:pPr>
              <w:shd w:val="clear" w:color="auto"/>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全厂各种固废分类收集，</w:t>
            </w:r>
            <w:r>
              <w:rPr>
                <w:rFonts w:hint="eastAsia" w:cs="Times New Roman"/>
                <w:color w:val="auto"/>
                <w:sz w:val="24"/>
                <w:szCs w:val="24"/>
                <w:lang w:val="en-US" w:eastAsia="zh-CN"/>
              </w:rPr>
              <w:t>储存</w:t>
            </w:r>
            <w:r>
              <w:rPr>
                <w:rFonts w:hint="default" w:ascii="Times New Roman" w:hAnsi="Times New Roman" w:cs="Times New Roman"/>
                <w:color w:val="auto"/>
                <w:sz w:val="24"/>
                <w:szCs w:val="24"/>
              </w:rPr>
              <w:t>，临时存放室内固定场所，不被雨淋、风吹、专车运送，所有固废都得到合适的处置或综合利用，危险废物委托有资质的单位处置，生活垃圾由环卫部门统一收集处理，固废实现“零排放”是有保证的，不会对环境产生二次污染。</w:t>
            </w:r>
          </w:p>
          <w:p w14:paraId="3B2691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3、环境风险</w:t>
            </w:r>
            <w:r>
              <w:rPr>
                <w:rStyle w:val="70"/>
                <w:rFonts w:hint="default" w:ascii="Times New Roman" w:hAnsi="Times New Roman" w:eastAsia="宋体" w:cs="Times New Roman"/>
                <w:b w:val="0"/>
                <w:color w:val="auto"/>
                <w:sz w:val="24"/>
                <w:szCs w:val="24"/>
              </w:rPr>
              <w:t>防范措施</w:t>
            </w:r>
          </w:p>
          <w:p w14:paraId="5D611E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w:t>
            </w: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）漆料存储及使用</w:t>
            </w:r>
          </w:p>
          <w:p w14:paraId="0D87EEF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①漆料按相关要求贮存，明确贮存注意事项。专人负责看管。</w:t>
            </w:r>
          </w:p>
          <w:p w14:paraId="738A751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②漆库应配备足够的消防器材，应</w:t>
            </w:r>
            <w:r>
              <w:rPr>
                <w:rFonts w:hint="eastAsia" w:cs="Times New Roman"/>
                <w:color w:val="auto"/>
                <w:sz w:val="24"/>
                <w:szCs w:val="24"/>
                <w:lang w:eastAsia="zh-CN"/>
              </w:rPr>
              <w:t>设置</w:t>
            </w:r>
            <w:r>
              <w:rPr>
                <w:rFonts w:hint="default" w:ascii="Times New Roman" w:hAnsi="Times New Roman" w:eastAsia="宋体" w:cs="Times New Roman"/>
                <w:color w:val="auto"/>
                <w:sz w:val="24"/>
                <w:szCs w:val="24"/>
              </w:rPr>
              <w:t>明显的防火等级标志，通道、出入口和通向消防设施的道路应保持通畅。并应装设消防通讯和报警设备。</w:t>
            </w:r>
          </w:p>
          <w:p w14:paraId="53077DA7">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③必须加强管理，建立健全岗位防火责任制度，火源电源管理制度、门卫制度、值班巡回制度和各项操作制度，做好防火，防窃等工作。</w:t>
            </w:r>
          </w:p>
          <w:p w14:paraId="075F8C7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b w:val="0"/>
                <w:bCs w:val="0"/>
                <w:color w:val="auto"/>
                <w:kern w:val="0"/>
                <w:sz w:val="24"/>
                <w:szCs w:val="24"/>
              </w:rPr>
              <w:t>（</w:t>
            </w:r>
            <w:r>
              <w:rPr>
                <w:rFonts w:hint="default" w:ascii="Times New Roman" w:hAnsi="Times New Roman" w:eastAsia="宋体" w:cs="Times New Roman"/>
                <w:b w:val="0"/>
                <w:bCs w:val="0"/>
                <w:color w:val="auto"/>
                <w:kern w:val="0"/>
                <w:sz w:val="24"/>
                <w:szCs w:val="24"/>
                <w:lang w:val="en-US" w:eastAsia="zh-CN"/>
              </w:rPr>
              <w:t>2</w:t>
            </w:r>
            <w:r>
              <w:rPr>
                <w:rFonts w:hint="default" w:ascii="Times New Roman" w:hAnsi="Times New Roman" w:eastAsia="宋体" w:cs="Times New Roman"/>
                <w:b w:val="0"/>
                <w:bCs w:val="0"/>
                <w:color w:val="auto"/>
                <w:kern w:val="0"/>
                <w:sz w:val="24"/>
                <w:szCs w:val="24"/>
              </w:rPr>
              <w:t>）</w:t>
            </w:r>
            <w:r>
              <w:rPr>
                <w:rFonts w:hint="eastAsia" w:cs="Times New Roman"/>
                <w:b w:val="0"/>
                <w:bCs w:val="0"/>
                <w:color w:val="auto"/>
                <w:kern w:val="0"/>
                <w:sz w:val="24"/>
                <w:szCs w:val="24"/>
                <w:lang w:val="en-US" w:eastAsia="zh-CN"/>
              </w:rPr>
              <w:t>气</w:t>
            </w:r>
            <w:r>
              <w:rPr>
                <w:rFonts w:hint="default" w:ascii="Times New Roman" w:hAnsi="Times New Roman" w:cs="Times New Roman"/>
                <w:b w:val="0"/>
                <w:bCs w:val="0"/>
                <w:color w:val="auto"/>
                <w:kern w:val="0"/>
                <w:sz w:val="24"/>
                <w:szCs w:val="24"/>
                <w:lang w:val="en-US" w:eastAsia="zh-CN"/>
              </w:rPr>
              <w:t>瓶</w:t>
            </w:r>
            <w:r>
              <w:rPr>
                <w:rFonts w:hint="default" w:ascii="Times New Roman" w:hAnsi="Times New Roman" w:eastAsia="宋体" w:cs="Times New Roman"/>
                <w:b w:val="0"/>
                <w:bCs w:val="0"/>
                <w:color w:val="auto"/>
                <w:sz w:val="24"/>
                <w:szCs w:val="24"/>
              </w:rPr>
              <w:t>存储及使用</w:t>
            </w:r>
          </w:p>
          <w:p w14:paraId="276588C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lang w:eastAsia="zh-CN"/>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sz w:val="24"/>
                <w:szCs w:val="24"/>
              </w:rPr>
              <w:t>气体保护焊气瓶</w:t>
            </w:r>
            <w:r>
              <w:rPr>
                <w:rFonts w:hint="default" w:ascii="Times New Roman" w:hAnsi="Times New Roman" w:eastAsia="宋体" w:cs="Times New Roman"/>
                <w:sz w:val="24"/>
                <w:szCs w:val="24"/>
                <w:lang w:eastAsia="zh-CN"/>
              </w:rPr>
              <w:t>（氩气、二氧化碳、混合气、氧气等）存放，核心遵循分类隔离、直立固定、远离火源热源、通风避光、专人管理五大原则。</w:t>
            </w:r>
            <w:r>
              <w:rPr>
                <w:rFonts w:hint="default" w:ascii="Times New Roman" w:hAnsi="Times New Roman" w:eastAsia="宋体" w:cs="Times New Roman"/>
                <w:sz w:val="24"/>
                <w:szCs w:val="24"/>
                <w:lang w:val="en-US" w:eastAsia="zh-CN"/>
              </w:rPr>
              <w:t>要求做到</w:t>
            </w:r>
            <w:r>
              <w:rPr>
                <w:rFonts w:hint="default" w:ascii="Times New Roman" w:hAnsi="Times New Roman" w:eastAsia="宋体" w:cs="Times New Roman"/>
                <w:sz w:val="24"/>
                <w:szCs w:val="24"/>
                <w:lang w:eastAsia="zh-CN"/>
              </w:rPr>
              <w:t>直立存放，严禁卧放，佩戴瓶帽、防震圈，瓶阀朝上，稳固防倾倒</w:t>
            </w:r>
            <w:r>
              <w:rPr>
                <w:rFonts w:hint="eastAsia" w:ascii="Times New Roman" w:hAnsi="Times New Roman" w:eastAsia="宋体" w:cs="Times New Roman"/>
                <w:sz w:val="24"/>
                <w:szCs w:val="24"/>
                <w:lang w:eastAsia="zh-CN"/>
              </w:rPr>
              <w:t>；</w:t>
            </w:r>
            <w:r>
              <w:rPr>
                <w:rFonts w:ascii="宋体" w:hAnsi="宋体" w:eastAsia="宋体" w:cs="宋体"/>
                <w:sz w:val="24"/>
                <w:szCs w:val="24"/>
              </w:rPr>
              <w:t>搬运</w:t>
            </w:r>
            <w:r>
              <w:rPr>
                <w:rFonts w:hint="eastAsia" w:ascii="宋体" w:hAnsi="宋体" w:eastAsia="宋体" w:cs="宋体"/>
                <w:sz w:val="24"/>
                <w:szCs w:val="24"/>
                <w:lang w:val="en-US" w:eastAsia="zh-CN"/>
              </w:rPr>
              <w:t>时做到</w:t>
            </w:r>
            <w:r>
              <w:rPr>
                <w:rFonts w:ascii="宋体" w:hAnsi="宋体" w:eastAsia="宋体" w:cs="宋体"/>
                <w:sz w:val="24"/>
                <w:szCs w:val="24"/>
              </w:rPr>
              <w:t>轻装轻卸，用专用手推车，禁止抛掷、滚动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分区设 “实瓶区 / 空瓶区 / 待检区”，张贴警示标识；专人管理，建立出入库台账，定期检查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配备适用灭火器（乙炔 / CO₂用干粉、二氧化碳；氧气禁油类灭火器</w:t>
            </w:r>
            <w:r>
              <w:rPr>
                <w:rFonts w:ascii="宋体" w:hAnsi="宋体" w:eastAsia="宋体" w:cs="宋体"/>
                <w:sz w:val="24"/>
                <w:szCs w:val="24"/>
              </w:rPr>
              <w:t>）</w:t>
            </w:r>
            <w:r>
              <w:rPr>
                <w:rFonts w:hint="eastAsia" w:ascii="宋体" w:hAnsi="宋体" w:eastAsia="宋体" w:cs="宋体"/>
                <w:sz w:val="24"/>
                <w:szCs w:val="24"/>
                <w:lang w:eastAsia="zh-CN"/>
              </w:rPr>
              <w:t>。</w:t>
            </w:r>
          </w:p>
          <w:p w14:paraId="5B1BC37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sz w:val="24"/>
                <w:szCs w:val="24"/>
              </w:rPr>
              <w:t>②</w:t>
            </w:r>
            <w:r>
              <w:rPr>
                <w:rFonts w:ascii="宋体" w:hAnsi="宋体" w:eastAsia="宋体" w:cs="宋体"/>
                <w:sz w:val="24"/>
                <w:szCs w:val="24"/>
              </w:rPr>
              <w:t>作业前检查气瓶</w:t>
            </w:r>
            <w:r>
              <w:rPr>
                <w:rFonts w:hint="eastAsia" w:ascii="宋体" w:hAnsi="宋体" w:eastAsia="宋体" w:cs="宋体"/>
                <w:sz w:val="24"/>
                <w:szCs w:val="24"/>
                <w:lang w:val="en-US" w:eastAsia="zh-CN"/>
              </w:rPr>
              <w:t>与附件是否完好，</w:t>
            </w:r>
            <w:r>
              <w:rPr>
                <w:rFonts w:ascii="宋体" w:hAnsi="宋体" w:eastAsia="宋体" w:cs="宋体"/>
                <w:sz w:val="24"/>
                <w:szCs w:val="24"/>
              </w:rPr>
              <w:t>确认余压充足，气瓶固定直立，远离热源、电气设备、易燃易爆物</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规范操作，</w:t>
            </w:r>
            <w:r>
              <w:rPr>
                <w:rFonts w:ascii="宋体" w:hAnsi="宋体" w:eastAsia="宋体" w:cs="宋体"/>
                <w:sz w:val="24"/>
                <w:szCs w:val="24"/>
              </w:rPr>
              <w:t>严禁用明火、撬杠撬动阀门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并保持</w:t>
            </w:r>
            <w:r>
              <w:rPr>
                <w:rFonts w:ascii="宋体" w:hAnsi="宋体" w:eastAsia="宋体" w:cs="宋体"/>
                <w:sz w:val="24"/>
                <w:szCs w:val="24"/>
              </w:rPr>
              <w:t>作业区通风</w:t>
            </w:r>
            <w:r>
              <w:rPr>
                <w:rFonts w:hint="eastAsia" w:ascii="宋体" w:hAnsi="宋体" w:eastAsia="宋体" w:cs="宋体"/>
                <w:sz w:val="24"/>
                <w:szCs w:val="24"/>
                <w:lang w:eastAsia="zh-CN"/>
              </w:rPr>
              <w:t>，</w:t>
            </w:r>
            <w:r>
              <w:rPr>
                <w:rFonts w:ascii="宋体" w:hAnsi="宋体" w:eastAsia="宋体" w:cs="宋体"/>
                <w:sz w:val="24"/>
                <w:szCs w:val="24"/>
              </w:rPr>
              <w:t>避免有害气体、惰性气体积聚；作业后关闭瓶阀、卸压，拆除软管；气瓶直立固定，放回指定区域，做好使用记录</w:t>
            </w:r>
            <w:r>
              <w:rPr>
                <w:rFonts w:hint="eastAsia" w:ascii="宋体" w:hAnsi="宋体" w:eastAsia="宋体" w:cs="宋体"/>
                <w:sz w:val="24"/>
                <w:szCs w:val="24"/>
                <w:lang w:eastAsia="zh-CN"/>
              </w:rPr>
              <w:t>；</w:t>
            </w:r>
            <w:r>
              <w:rPr>
                <w:rFonts w:ascii="宋体" w:hAnsi="宋体" w:eastAsia="宋体" w:cs="宋体"/>
                <w:sz w:val="24"/>
                <w:szCs w:val="24"/>
              </w:rPr>
              <w:t>清理作业现场，无残留易燃物、油污，工具归位</w:t>
            </w:r>
            <w:r>
              <w:rPr>
                <w:rFonts w:hint="eastAsia" w:ascii="宋体" w:hAnsi="宋体" w:eastAsia="宋体" w:cs="宋体"/>
                <w:sz w:val="24"/>
                <w:szCs w:val="24"/>
                <w:lang w:eastAsia="zh-CN"/>
              </w:rPr>
              <w:t>。</w:t>
            </w:r>
          </w:p>
          <w:p w14:paraId="003210B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w:t>
            </w:r>
            <w:r>
              <w:rPr>
                <w:rFonts w:hint="eastAsia" w:cs="Times New Roman"/>
                <w:b w:val="0"/>
                <w:bCs w:val="0"/>
                <w:color w:val="auto"/>
                <w:kern w:val="0"/>
                <w:sz w:val="24"/>
                <w:szCs w:val="24"/>
                <w:lang w:val="en-US" w:eastAsia="zh-CN"/>
              </w:rPr>
              <w:t>3</w:t>
            </w:r>
            <w:r>
              <w:rPr>
                <w:rFonts w:hint="default" w:ascii="Times New Roman" w:hAnsi="Times New Roman" w:eastAsia="宋体" w:cs="Times New Roman"/>
                <w:b w:val="0"/>
                <w:bCs w:val="0"/>
                <w:color w:val="auto"/>
                <w:kern w:val="0"/>
                <w:sz w:val="24"/>
                <w:szCs w:val="24"/>
              </w:rPr>
              <w:t>）运输过程中的事故防范措施</w:t>
            </w:r>
          </w:p>
          <w:p w14:paraId="764D8E83">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由于危险品的运输较其它货物的运输有更大的危险性，因此在运输过程中应小心谨慎，确保安全。为此注意以下几个问题：</w:t>
            </w:r>
          </w:p>
          <w:p w14:paraId="007313DB">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①用于危险废物</w:t>
            </w:r>
            <w:r>
              <w:rPr>
                <w:rFonts w:hint="default" w:ascii="Times New Roman" w:hAnsi="Times New Roman" w:eastAsia="宋体" w:cs="Times New Roman"/>
                <w:color w:val="auto"/>
                <w:sz w:val="24"/>
                <w:szCs w:val="24"/>
                <w:lang w:val="en-US" w:eastAsia="zh-CN"/>
              </w:rPr>
              <w:t>废</w:t>
            </w:r>
            <w:r>
              <w:rPr>
                <w:rFonts w:hint="eastAsia" w:cs="Times New Roman"/>
                <w:color w:val="auto"/>
                <w:sz w:val="24"/>
                <w:szCs w:val="24"/>
                <w:lang w:val="en-US" w:eastAsia="zh-CN"/>
              </w:rPr>
              <w:t>过滤棉</w:t>
            </w:r>
            <w:r>
              <w:rPr>
                <w:rFonts w:hint="default" w:ascii="Times New Roman" w:hAnsi="Times New Roman" w:eastAsia="宋体" w:cs="Times New Roman"/>
                <w:color w:val="auto"/>
                <w:sz w:val="24"/>
                <w:szCs w:val="24"/>
                <w:lang w:val="en-US" w:eastAsia="zh-CN"/>
              </w:rPr>
              <w:t>、废漆桶</w:t>
            </w:r>
            <w:r>
              <w:rPr>
                <w:rFonts w:hint="eastAsia" w:cs="Times New Roman"/>
                <w:color w:val="auto"/>
                <w:sz w:val="24"/>
                <w:szCs w:val="24"/>
                <w:lang w:val="en-US" w:eastAsia="zh-CN"/>
              </w:rPr>
              <w:t>等</w:t>
            </w:r>
            <w:r>
              <w:rPr>
                <w:rFonts w:hint="default" w:ascii="Times New Roman" w:hAnsi="Times New Roman" w:eastAsia="宋体" w:cs="Times New Roman"/>
                <w:color w:val="auto"/>
                <w:sz w:val="24"/>
                <w:szCs w:val="24"/>
              </w:rPr>
              <w:t>运输工具，必须由配备运输该类物质资质的运输单位从事运输。</w:t>
            </w:r>
          </w:p>
          <w:p w14:paraId="41F8046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②通过公路运输的危险废物，必须配备押运人员，并随时处于押运人员的监管之下，不得超装、超载，不得进入危险化学品运输车辆禁止通行的区域；运输车辆必须遵守报备时确定的行车时间和路线。</w:t>
            </w:r>
          </w:p>
          <w:p w14:paraId="79729D9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③运输车辆必须配备必要的应急处理器材和防护用品。</w:t>
            </w:r>
          </w:p>
          <w:p w14:paraId="52F9535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④危险废物的装卸作业必须在装卸管理人员的现场指挥下进行。</w:t>
            </w:r>
          </w:p>
          <w:p w14:paraId="6EAF167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zh-CN"/>
              </w:rPr>
            </w:pPr>
            <w:r>
              <w:rPr>
                <w:rFonts w:hint="default" w:ascii="Times New Roman" w:hAnsi="Times New Roman" w:eastAsia="宋体" w:cs="Times New Roman"/>
                <w:b w:val="0"/>
                <w:bCs w:val="0"/>
                <w:color w:val="auto"/>
                <w:kern w:val="0"/>
                <w:sz w:val="24"/>
                <w:szCs w:val="24"/>
                <w:lang w:val="zh-CN"/>
              </w:rPr>
              <w:t>（</w:t>
            </w:r>
            <w:r>
              <w:rPr>
                <w:rFonts w:hint="eastAsia" w:cs="Times New Roman"/>
                <w:b w:val="0"/>
                <w:bCs w:val="0"/>
                <w:color w:val="auto"/>
                <w:kern w:val="0"/>
                <w:sz w:val="24"/>
                <w:szCs w:val="24"/>
                <w:lang w:val="en-US" w:eastAsia="zh-CN"/>
              </w:rPr>
              <w:t>4</w:t>
            </w:r>
            <w:r>
              <w:rPr>
                <w:rFonts w:hint="default" w:ascii="Times New Roman" w:hAnsi="Times New Roman" w:eastAsia="宋体" w:cs="Times New Roman"/>
                <w:b w:val="0"/>
                <w:bCs w:val="0"/>
                <w:color w:val="auto"/>
                <w:kern w:val="0"/>
                <w:sz w:val="24"/>
                <w:szCs w:val="24"/>
                <w:lang w:val="zh-CN"/>
              </w:rPr>
              <w:t>）火灾的防范与应急措施</w:t>
            </w:r>
          </w:p>
          <w:p w14:paraId="19FAF2A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zh-CN" w:bidi="zh-CN"/>
              </w:rPr>
            </w:pPr>
            <w:r>
              <w:rPr>
                <w:rFonts w:hint="default" w:ascii="Times New Roman" w:hAnsi="Times New Roman" w:eastAsia="宋体" w:cs="Times New Roman"/>
                <w:color w:val="auto"/>
                <w:kern w:val="0"/>
                <w:sz w:val="24"/>
                <w:szCs w:val="24"/>
                <w:lang w:val="zh-CN" w:bidi="zh-CN"/>
              </w:rPr>
              <w:t>项目应加强管理和安全知识教育，加强对用电设备管理，电线线路及设备线路定期进行检查，增强防范意识，防止火灾发生。要有充分的应急措施，项目应按照相关规定设置逃生系统，并能够有足够并匹配的消防器材及备用应急电源。一旦发生意外，应立即启动应急预案。</w:t>
            </w:r>
          </w:p>
          <w:p w14:paraId="7B2A2C5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zh-CN" w:bidi="zh-CN"/>
              </w:rPr>
            </w:pPr>
            <w:r>
              <w:rPr>
                <w:rFonts w:hint="default" w:ascii="Times New Roman" w:hAnsi="Times New Roman" w:eastAsia="宋体" w:cs="Times New Roman"/>
                <w:color w:val="auto"/>
                <w:kern w:val="0"/>
                <w:sz w:val="24"/>
                <w:szCs w:val="24"/>
                <w:lang w:val="zh-CN" w:bidi="zh-CN"/>
              </w:rPr>
              <w:t>在生产过程中如果发生火灾事故，除了对周围环境空气产生影响外，事故污水也会对周围的环境水体造成风险影响，可引发一系列的次生水环境风险事故。因此，本项目在实施中应针对事故情况下的火灾扑救中的消防废水等危险物质采取了控制、收集及储存措施，切断危险物质进入外部水体的途径，从根本上消除了事故情况下对周边水域造成污染的可能。</w:t>
            </w:r>
          </w:p>
          <w:p w14:paraId="31D00AE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zh-CN"/>
              </w:rPr>
            </w:pPr>
            <w:r>
              <w:rPr>
                <w:rFonts w:hint="default" w:ascii="Times New Roman" w:hAnsi="Times New Roman" w:eastAsia="宋体" w:cs="Times New Roman"/>
                <w:b w:val="0"/>
                <w:bCs w:val="0"/>
                <w:color w:val="auto"/>
                <w:kern w:val="0"/>
                <w:sz w:val="24"/>
                <w:szCs w:val="24"/>
                <w:lang w:val="zh-CN"/>
              </w:rPr>
              <w:t>（</w:t>
            </w:r>
            <w:r>
              <w:rPr>
                <w:rFonts w:hint="eastAsia" w:cs="Times New Roman"/>
                <w:b w:val="0"/>
                <w:bCs w:val="0"/>
                <w:color w:val="auto"/>
                <w:kern w:val="0"/>
                <w:sz w:val="24"/>
                <w:szCs w:val="24"/>
                <w:lang w:val="en-US" w:eastAsia="zh-CN"/>
              </w:rPr>
              <w:t>5</w:t>
            </w:r>
            <w:r>
              <w:rPr>
                <w:rFonts w:hint="default" w:ascii="Times New Roman" w:hAnsi="Times New Roman" w:eastAsia="宋体" w:cs="Times New Roman"/>
                <w:b w:val="0"/>
                <w:bCs w:val="0"/>
                <w:color w:val="auto"/>
                <w:kern w:val="0"/>
                <w:sz w:val="24"/>
                <w:szCs w:val="24"/>
                <w:lang w:val="zh-CN"/>
              </w:rPr>
              <w:t>）</w:t>
            </w:r>
            <w:r>
              <w:rPr>
                <w:rFonts w:hint="default" w:ascii="Times New Roman" w:hAnsi="Times New Roman" w:eastAsia="宋体" w:cs="Times New Roman"/>
                <w:b w:val="0"/>
                <w:bCs w:val="0"/>
                <w:color w:val="auto"/>
                <w:kern w:val="0"/>
                <w:sz w:val="24"/>
                <w:szCs w:val="24"/>
                <w:lang w:val="en-US" w:eastAsia="zh-CN"/>
              </w:rPr>
              <w:t>危废流失</w:t>
            </w:r>
            <w:r>
              <w:rPr>
                <w:rFonts w:hint="default" w:ascii="Times New Roman" w:hAnsi="Times New Roman" w:eastAsia="宋体" w:cs="Times New Roman"/>
                <w:b w:val="0"/>
                <w:bCs w:val="0"/>
                <w:color w:val="auto"/>
                <w:kern w:val="0"/>
                <w:sz w:val="24"/>
                <w:szCs w:val="24"/>
                <w:lang w:val="zh-CN"/>
              </w:rPr>
              <w:t>的防范与应急措施</w:t>
            </w:r>
          </w:p>
          <w:p w14:paraId="097EC8F8">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val="en-US" w:eastAsia="zh-CN"/>
              </w:rPr>
              <w:t>为确保在发生危险废物流失、泄漏、扩散等意</w:t>
            </w:r>
            <w:r>
              <w:rPr>
                <w:rFonts w:hint="default" w:ascii="Times New Roman" w:hAnsi="Times New Roman" w:eastAsia="宋体" w:cs="Times New Roman"/>
                <w:color w:val="auto"/>
                <w:sz w:val="24"/>
                <w:szCs w:val="24"/>
                <w:lang w:val="en-US" w:eastAsia="zh-CN"/>
              </w:rPr>
              <w:t>外，项目</w:t>
            </w:r>
            <w:r>
              <w:rPr>
                <w:rFonts w:hint="default" w:ascii="Times New Roman" w:hAnsi="Times New Roman" w:eastAsia="宋体" w:cs="Times New Roman"/>
                <w:color w:val="auto"/>
                <w:sz w:val="24"/>
                <w:szCs w:val="24"/>
              </w:rPr>
              <w:t>危废在危废暂存间存放时，严禁盛满、堆叠。危废暂存间</w:t>
            </w:r>
            <w:r>
              <w:rPr>
                <w:rFonts w:hint="default" w:ascii="Times New Roman" w:hAnsi="Times New Roman" w:eastAsia="宋体" w:cs="Times New Roman"/>
                <w:color w:val="auto"/>
                <w:sz w:val="24"/>
                <w:szCs w:val="24"/>
                <w:lang w:val="en-US" w:eastAsia="zh-CN"/>
              </w:rPr>
              <w:t>单独</w:t>
            </w:r>
            <w:r>
              <w:rPr>
                <w:rFonts w:hint="default" w:ascii="Times New Roman" w:hAnsi="Times New Roman" w:eastAsia="宋体" w:cs="Times New Roman"/>
                <w:color w:val="auto"/>
                <w:sz w:val="24"/>
                <w:szCs w:val="24"/>
              </w:rPr>
              <w:t>设</w:t>
            </w:r>
            <w:r>
              <w:rPr>
                <w:rFonts w:hint="eastAsia" w:cs="Times New Roman"/>
                <w:color w:val="auto"/>
                <w:sz w:val="24"/>
                <w:szCs w:val="24"/>
                <w:lang w:eastAsia="zh-CN"/>
              </w:rPr>
              <w:t>置</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rPr>
              <w:t>独立的空间，做好防腐防渗等工作</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日常工作中应</w:t>
            </w:r>
            <w:r>
              <w:rPr>
                <w:rFonts w:hint="default" w:ascii="Times New Roman" w:hAnsi="Times New Roman" w:eastAsia="宋体" w:cs="Times New Roman"/>
                <w:color w:val="auto"/>
                <w:sz w:val="24"/>
                <w:szCs w:val="24"/>
              </w:rPr>
              <w:t>加强操作人员环保意识，了解危废种类、收容要求及环境危害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应</w:t>
            </w:r>
            <w:r>
              <w:rPr>
                <w:rFonts w:hint="default" w:ascii="Times New Roman" w:hAnsi="Times New Roman" w:eastAsia="宋体" w:cs="Times New Roman"/>
                <w:color w:val="auto"/>
                <w:sz w:val="24"/>
                <w:szCs w:val="24"/>
              </w:rPr>
              <w:t>建立健全危废台账制度，严格管理，责任到人。</w:t>
            </w:r>
            <w:r>
              <w:rPr>
                <w:rFonts w:hint="default" w:ascii="Times New Roman" w:hAnsi="Times New Roman" w:eastAsia="宋体" w:cs="Times New Roman"/>
                <w:color w:val="auto"/>
                <w:sz w:val="24"/>
                <w:szCs w:val="24"/>
                <w:lang w:val="en-US" w:eastAsia="zh-CN"/>
              </w:rPr>
              <w:t>采取视频</w:t>
            </w:r>
            <w:r>
              <w:rPr>
                <w:rFonts w:hint="default" w:ascii="Times New Roman" w:hAnsi="Times New Roman" w:eastAsia="宋体" w:cs="Times New Roman"/>
                <w:b w:val="0"/>
                <w:bCs w:val="0"/>
                <w:color w:val="auto"/>
                <w:sz w:val="24"/>
                <w:szCs w:val="24"/>
              </w:rPr>
              <w:t>监控，发现异常立即采取措施处置</w:t>
            </w:r>
            <w:r>
              <w:rPr>
                <w:rFonts w:hint="eastAsia" w:cs="Times New Roman"/>
                <w:b w:val="0"/>
                <w:bCs w:val="0"/>
                <w:color w:val="auto"/>
                <w:sz w:val="24"/>
                <w:szCs w:val="24"/>
                <w:lang w:eastAsia="zh-CN"/>
              </w:rPr>
              <w:t>。</w:t>
            </w:r>
          </w:p>
          <w:p w14:paraId="05D3B4AE">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zh-CN"/>
              </w:rPr>
            </w:pPr>
            <w:r>
              <w:rPr>
                <w:rFonts w:hint="default" w:ascii="Times New Roman" w:hAnsi="Times New Roman" w:eastAsia="宋体" w:cs="Times New Roman"/>
                <w:b w:val="0"/>
                <w:bCs w:val="0"/>
                <w:color w:val="auto"/>
                <w:kern w:val="0"/>
                <w:sz w:val="24"/>
                <w:szCs w:val="24"/>
                <w:lang w:val="en-US" w:eastAsia="zh-CN"/>
              </w:rPr>
              <w:t>（</w:t>
            </w:r>
            <w:r>
              <w:rPr>
                <w:rFonts w:hint="eastAsia" w:cs="Times New Roman"/>
                <w:b w:val="0"/>
                <w:bCs w:val="0"/>
                <w:color w:val="auto"/>
                <w:kern w:val="0"/>
                <w:sz w:val="24"/>
                <w:szCs w:val="24"/>
                <w:lang w:val="en-US" w:eastAsia="zh-CN"/>
              </w:rPr>
              <w:t>6</w:t>
            </w:r>
            <w:r>
              <w:rPr>
                <w:rFonts w:hint="default" w:ascii="Times New Roman" w:hAnsi="Times New Roman" w:eastAsia="宋体" w:cs="Times New Roman"/>
                <w:b w:val="0"/>
                <w:bCs w:val="0"/>
                <w:color w:val="auto"/>
                <w:kern w:val="0"/>
                <w:sz w:val="24"/>
                <w:szCs w:val="24"/>
                <w:lang w:val="en-US" w:eastAsia="zh-CN"/>
              </w:rPr>
              <w:t>）废气处理设施故障</w:t>
            </w:r>
            <w:r>
              <w:rPr>
                <w:rFonts w:hint="default" w:ascii="Times New Roman" w:hAnsi="Times New Roman" w:eastAsia="宋体" w:cs="Times New Roman"/>
                <w:b w:val="0"/>
                <w:bCs w:val="0"/>
                <w:color w:val="auto"/>
                <w:kern w:val="0"/>
                <w:sz w:val="24"/>
                <w:szCs w:val="24"/>
                <w:lang w:val="zh-CN"/>
              </w:rPr>
              <w:t>的防范与应急措施</w:t>
            </w:r>
          </w:p>
          <w:p w14:paraId="561CA69E">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项目应加强对废气处理设备的维护保养，定期对设备进行检查，加强管理和操作规程的培训。要有充分的应急措施，项目应配备</w:t>
            </w:r>
            <w:r>
              <w:rPr>
                <w:rFonts w:hint="default" w:ascii="Times New Roman" w:hAnsi="Times New Roman" w:eastAsia="宋体" w:cs="Times New Roman"/>
                <w:color w:val="auto"/>
                <w:sz w:val="24"/>
                <w:szCs w:val="24"/>
              </w:rPr>
              <w:t>设有</w:t>
            </w:r>
            <w:r>
              <w:rPr>
                <w:rFonts w:hint="default" w:ascii="Times New Roman" w:hAnsi="Times New Roman" w:eastAsia="宋体" w:cs="Times New Roman"/>
                <w:color w:val="auto"/>
                <w:sz w:val="24"/>
                <w:szCs w:val="24"/>
                <w:lang w:val="en-US" w:eastAsia="zh-CN"/>
              </w:rPr>
              <w:t>备用</w:t>
            </w:r>
            <w:r>
              <w:rPr>
                <w:rFonts w:hint="default" w:ascii="Times New Roman" w:hAnsi="Times New Roman" w:eastAsia="宋体" w:cs="Times New Roman"/>
                <w:color w:val="auto"/>
                <w:sz w:val="24"/>
                <w:szCs w:val="24"/>
              </w:rPr>
              <w:t>电源</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备用风机（N+1配置）。</w:t>
            </w:r>
          </w:p>
          <w:p w14:paraId="1143E8F7">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当废气处理设备出现故障时，检修人员可立即到现场进行维修</w:t>
            </w:r>
            <w:r>
              <w:rPr>
                <w:rFonts w:hint="default" w:ascii="Times New Roman" w:hAnsi="Times New Roman" w:eastAsia="宋体" w:cs="Times New Roman"/>
                <w:color w:val="auto"/>
                <w:sz w:val="24"/>
                <w:szCs w:val="24"/>
                <w:lang w:eastAsia="zh-CN"/>
              </w:rPr>
              <w:t>。</w:t>
            </w:r>
          </w:p>
          <w:p w14:paraId="25036D91">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停电、风机出现故障，对生产异常情况，采取以下措施：</w:t>
            </w:r>
          </w:p>
          <w:p w14:paraId="4D77C6CE">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①如果全厂停电，</w:t>
            </w:r>
            <w:r>
              <w:rPr>
                <w:rFonts w:hint="default" w:ascii="Times New Roman" w:hAnsi="Times New Roman" w:eastAsia="宋体" w:cs="Times New Roman"/>
                <w:color w:val="auto"/>
                <w:sz w:val="24"/>
                <w:szCs w:val="24"/>
                <w:lang w:val="en-US" w:eastAsia="zh-CN"/>
              </w:rPr>
              <w:t>应</w:t>
            </w:r>
            <w:r>
              <w:rPr>
                <w:rFonts w:hint="default" w:ascii="Times New Roman" w:hAnsi="Times New Roman" w:eastAsia="宋体" w:cs="Times New Roman"/>
                <w:color w:val="auto"/>
                <w:sz w:val="24"/>
                <w:szCs w:val="24"/>
              </w:rPr>
              <w:t>停止生产。为确保安全，风机仍继续运转。</w:t>
            </w:r>
          </w:p>
          <w:p w14:paraId="53A90373">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②风机出现故障时，备用风机立即启动。</w:t>
            </w:r>
          </w:p>
          <w:p w14:paraId="399B0E6E">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③当废气处理设施出现故障时，应立即维修，必要时停止生产原料的供给。</w:t>
            </w:r>
          </w:p>
          <w:p w14:paraId="368E5836">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val="en-US" w:eastAsia="zh-CN"/>
              </w:rPr>
              <w:t>（</w:t>
            </w:r>
            <w:r>
              <w:rPr>
                <w:rFonts w:hint="eastAsia" w:cs="Times New Roman"/>
                <w:color w:val="auto"/>
                <w:kern w:val="0"/>
                <w:sz w:val="24"/>
                <w:lang w:val="en-US" w:eastAsia="zh-CN"/>
              </w:rPr>
              <w:t>7</w:t>
            </w:r>
            <w:r>
              <w:rPr>
                <w:rFonts w:hint="default" w:ascii="Times New Roman" w:hAnsi="Times New Roman" w:cs="Times New Roman"/>
                <w:color w:val="auto"/>
                <w:kern w:val="0"/>
                <w:sz w:val="24"/>
                <w:lang w:val="en-US" w:eastAsia="zh-CN"/>
              </w:rPr>
              <w:t>）</w:t>
            </w:r>
            <w:r>
              <w:rPr>
                <w:rFonts w:hint="eastAsia" w:cs="Times New Roman"/>
                <w:color w:val="auto"/>
                <w:kern w:val="0"/>
                <w:sz w:val="24"/>
                <w:lang w:eastAsia="zh-CN"/>
              </w:rPr>
              <w:t>事故应急池</w:t>
            </w:r>
          </w:p>
          <w:p w14:paraId="262963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val="0"/>
                <w:color w:val="auto"/>
                <w:sz w:val="24"/>
                <w:szCs w:val="24"/>
              </w:rPr>
            </w:pPr>
            <w:r>
              <w:rPr>
                <w:rFonts w:hint="eastAsia" w:cs="Times New Roman"/>
                <w:bCs w:val="0"/>
                <w:color w:val="auto"/>
                <w:sz w:val="24"/>
                <w:szCs w:val="24"/>
                <w:lang w:val="en-US" w:eastAsia="zh-CN"/>
              </w:rPr>
              <w:t>参考</w:t>
            </w:r>
            <w:r>
              <w:rPr>
                <w:rFonts w:hint="default" w:ascii="Times New Roman" w:hAnsi="Times New Roman" w:eastAsia="宋体" w:cs="Times New Roman"/>
                <w:bCs w:val="0"/>
                <w:color w:val="auto"/>
                <w:sz w:val="24"/>
                <w:szCs w:val="24"/>
              </w:rPr>
              <w:t>《事故状态下水体污染的预防与控制技术要求》(Q/SY1190-2013)，计算事故</w:t>
            </w:r>
            <w:r>
              <w:rPr>
                <w:rFonts w:hint="eastAsia" w:ascii="Times New Roman" w:hAnsi="Times New Roman" w:eastAsia="宋体" w:cs="Times New Roman"/>
                <w:bCs w:val="0"/>
                <w:color w:val="auto"/>
                <w:sz w:val="24"/>
                <w:szCs w:val="24"/>
                <w:lang w:eastAsia="zh-CN"/>
              </w:rPr>
              <w:t>废水</w:t>
            </w:r>
            <w:r>
              <w:rPr>
                <w:rFonts w:hint="default" w:ascii="Times New Roman" w:hAnsi="Times New Roman" w:eastAsia="宋体" w:cs="Times New Roman"/>
                <w:bCs w:val="0"/>
                <w:color w:val="auto"/>
                <w:sz w:val="24"/>
                <w:szCs w:val="24"/>
              </w:rPr>
              <w:t>量。</w:t>
            </w:r>
          </w:p>
          <w:p w14:paraId="54965BAA">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color w:val="auto"/>
                <w:sz w:val="24"/>
                <w:szCs w:val="22"/>
                <w:highlight w:val="none"/>
              </w:rPr>
            </w:pPr>
            <w:r>
              <w:rPr>
                <w:rFonts w:hint="default" w:ascii="Times New Roman" w:hAnsi="Times New Roman" w:eastAsia="宋体" w:cs="Times New Roman"/>
                <w:b w:val="0"/>
                <w:bCs w:val="0"/>
                <w:color w:val="auto"/>
                <w:sz w:val="24"/>
                <w:szCs w:val="22"/>
                <w:highlight w:val="none"/>
              </w:rPr>
              <w:t>V总=（V</w:t>
            </w:r>
            <w:r>
              <w:rPr>
                <w:rFonts w:hint="default" w:ascii="Times New Roman" w:hAnsi="Times New Roman" w:eastAsia="宋体" w:cs="Times New Roman"/>
                <w:b w:val="0"/>
                <w:bCs w:val="0"/>
                <w:color w:val="auto"/>
                <w:sz w:val="24"/>
                <w:szCs w:val="22"/>
                <w:highlight w:val="none"/>
                <w:vertAlign w:val="subscript"/>
              </w:rPr>
              <w:t>1</w:t>
            </w: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2</w:t>
            </w: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3</w:t>
            </w:r>
            <w:r>
              <w:rPr>
                <w:rFonts w:hint="default" w:ascii="Times New Roman" w:hAnsi="Times New Roman" w:eastAsia="宋体" w:cs="Times New Roman"/>
                <w:b w:val="0"/>
                <w:bCs w:val="0"/>
                <w:color w:val="auto"/>
                <w:sz w:val="24"/>
                <w:szCs w:val="22"/>
                <w:highlight w:val="none"/>
              </w:rPr>
              <w:t>）</w:t>
            </w:r>
            <w:r>
              <w:rPr>
                <w:rFonts w:hint="default" w:ascii="Times New Roman" w:hAnsi="Times New Roman" w:eastAsia="宋体" w:cs="Times New Roman"/>
                <w:b w:val="0"/>
                <w:bCs w:val="0"/>
                <w:color w:val="auto"/>
                <w:sz w:val="24"/>
                <w:szCs w:val="22"/>
                <w:highlight w:val="none"/>
                <w:vertAlign w:val="subscript"/>
              </w:rPr>
              <w:t>max</w:t>
            </w: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4</w:t>
            </w: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5</w:t>
            </w:r>
          </w:p>
          <w:p w14:paraId="03687102">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2"/>
                <w:highlight w:val="none"/>
              </w:rPr>
            </w:pPr>
            <w:r>
              <w:rPr>
                <w:rFonts w:hint="default" w:ascii="Times New Roman" w:hAnsi="Times New Roman" w:eastAsia="宋体" w:cs="Times New Roman"/>
                <w:b w:val="0"/>
                <w:bCs w:val="0"/>
                <w:color w:val="auto"/>
                <w:sz w:val="24"/>
                <w:szCs w:val="22"/>
                <w:highlight w:val="none"/>
              </w:rPr>
              <w:t>注：（V</w:t>
            </w:r>
            <w:r>
              <w:rPr>
                <w:rFonts w:hint="default" w:ascii="Times New Roman" w:hAnsi="Times New Roman" w:eastAsia="宋体" w:cs="Times New Roman"/>
                <w:b w:val="0"/>
                <w:bCs w:val="0"/>
                <w:color w:val="auto"/>
                <w:sz w:val="24"/>
                <w:szCs w:val="22"/>
                <w:highlight w:val="none"/>
                <w:vertAlign w:val="subscript"/>
              </w:rPr>
              <w:t>1</w:t>
            </w: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2</w:t>
            </w: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3</w:t>
            </w:r>
            <w:r>
              <w:rPr>
                <w:rFonts w:hint="default" w:ascii="Times New Roman" w:hAnsi="Times New Roman" w:eastAsia="宋体" w:cs="Times New Roman"/>
                <w:b w:val="0"/>
                <w:bCs w:val="0"/>
                <w:color w:val="auto"/>
                <w:sz w:val="24"/>
                <w:szCs w:val="22"/>
                <w:highlight w:val="none"/>
              </w:rPr>
              <w:t>）</w:t>
            </w:r>
            <w:r>
              <w:rPr>
                <w:rFonts w:hint="default" w:ascii="Times New Roman" w:hAnsi="Times New Roman" w:eastAsia="宋体" w:cs="Times New Roman"/>
                <w:b w:val="0"/>
                <w:bCs w:val="0"/>
                <w:color w:val="auto"/>
                <w:sz w:val="24"/>
                <w:szCs w:val="22"/>
                <w:highlight w:val="none"/>
                <w:vertAlign w:val="subscript"/>
              </w:rPr>
              <w:t>max</w:t>
            </w:r>
            <w:r>
              <w:rPr>
                <w:rFonts w:hint="default" w:ascii="Times New Roman" w:hAnsi="Times New Roman" w:eastAsia="宋体" w:cs="Times New Roman"/>
                <w:b w:val="0"/>
                <w:bCs w:val="0"/>
                <w:color w:val="auto"/>
                <w:sz w:val="24"/>
                <w:szCs w:val="22"/>
                <w:highlight w:val="none"/>
              </w:rPr>
              <w:t>是指对收集系统范围内不同罐组或装置分别计算V</w:t>
            </w:r>
            <w:r>
              <w:rPr>
                <w:rFonts w:hint="default" w:ascii="Times New Roman" w:hAnsi="Times New Roman" w:eastAsia="宋体" w:cs="Times New Roman"/>
                <w:b w:val="0"/>
                <w:bCs w:val="0"/>
                <w:color w:val="auto"/>
                <w:sz w:val="24"/>
                <w:szCs w:val="22"/>
                <w:highlight w:val="none"/>
                <w:vertAlign w:val="subscript"/>
              </w:rPr>
              <w:t>1</w:t>
            </w: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2</w:t>
            </w: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3</w:t>
            </w:r>
            <w:r>
              <w:rPr>
                <w:rFonts w:hint="default" w:ascii="Times New Roman" w:hAnsi="Times New Roman" w:eastAsia="宋体" w:cs="Times New Roman"/>
                <w:b w:val="0"/>
                <w:bCs w:val="0"/>
                <w:color w:val="auto"/>
                <w:sz w:val="24"/>
                <w:szCs w:val="22"/>
                <w:highlight w:val="none"/>
              </w:rPr>
              <w:t>，取其中最大值。</w:t>
            </w:r>
          </w:p>
          <w:p w14:paraId="3CAD738A">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1</w:t>
            </w:r>
            <w:r>
              <w:rPr>
                <w:rFonts w:hint="default" w:ascii="Times New Roman" w:hAnsi="Times New Roman" w:eastAsia="宋体" w:cs="Times New Roman"/>
                <w:b w:val="0"/>
                <w:bCs w:val="0"/>
                <w:color w:val="auto"/>
                <w:sz w:val="24"/>
                <w:szCs w:val="22"/>
                <w:highlight w:val="none"/>
              </w:rPr>
              <w:t>—收集系统范围内发生事故的储罐或装置的物料量</w:t>
            </w:r>
            <w:r>
              <w:rPr>
                <w:rFonts w:hint="default" w:ascii="Times New Roman" w:hAnsi="Times New Roman" w:eastAsia="宋体" w:cs="Times New Roman"/>
                <w:b w:val="0"/>
                <w:bCs/>
                <w:color w:val="auto"/>
                <w:sz w:val="24"/>
                <w:szCs w:val="22"/>
                <w:highlight w:val="none"/>
              </w:rPr>
              <w:t>(注：储存相同物料的罐组按一个最大储罐计，装置物料量按存留最大物料量的一台反应器或中间储罐计)</w:t>
            </w:r>
            <w:r>
              <w:rPr>
                <w:rFonts w:hint="default" w:ascii="Times New Roman" w:hAnsi="Times New Roman" w:eastAsia="宋体" w:cs="Times New Roman"/>
                <w:b w:val="0"/>
                <w:bCs w:val="0"/>
                <w:color w:val="auto"/>
                <w:sz w:val="24"/>
                <w:szCs w:val="22"/>
                <w:highlight w:val="none"/>
              </w:rPr>
              <w:t>，m</w:t>
            </w:r>
            <w:r>
              <w:rPr>
                <w:rFonts w:hint="default" w:ascii="Times New Roman" w:hAnsi="Times New Roman" w:eastAsia="宋体" w:cs="Times New Roman"/>
                <w:b w:val="0"/>
                <w:bCs w:val="0"/>
                <w:color w:val="auto"/>
                <w:sz w:val="24"/>
                <w:szCs w:val="22"/>
                <w:highlight w:val="none"/>
                <w:vertAlign w:val="superscript"/>
              </w:rPr>
              <w:t>3</w:t>
            </w:r>
            <w:r>
              <w:rPr>
                <w:rFonts w:hint="eastAsia" w:ascii="Times New Roman" w:hAnsi="Times New Roman" w:eastAsia="宋体" w:cs="Times New Roman"/>
                <w:b w:val="0"/>
                <w:bCs w:val="0"/>
                <w:color w:val="auto"/>
                <w:sz w:val="24"/>
                <w:szCs w:val="22"/>
                <w:highlight w:val="none"/>
                <w:lang w:val="en-US" w:eastAsia="zh-CN"/>
              </w:rPr>
              <w:t>；</w:t>
            </w:r>
          </w:p>
          <w:p w14:paraId="4C9D006D">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2"/>
                <w:highlight w:val="none"/>
              </w:rPr>
            </w:pP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2</w:t>
            </w:r>
            <w:r>
              <w:rPr>
                <w:rFonts w:hint="default" w:ascii="Times New Roman" w:hAnsi="Times New Roman" w:eastAsia="宋体" w:cs="Times New Roman"/>
                <w:b w:val="0"/>
                <w:bCs w:val="0"/>
                <w:color w:val="auto"/>
                <w:sz w:val="24"/>
                <w:szCs w:val="22"/>
                <w:highlight w:val="none"/>
              </w:rPr>
              <w:t>—发生事故的储罐或装置的消防水量，m</w:t>
            </w:r>
            <w:r>
              <w:rPr>
                <w:rFonts w:hint="default" w:ascii="Times New Roman" w:hAnsi="Times New Roman" w:eastAsia="宋体" w:cs="Times New Roman"/>
                <w:b w:val="0"/>
                <w:bCs w:val="0"/>
                <w:color w:val="auto"/>
                <w:sz w:val="24"/>
                <w:szCs w:val="22"/>
                <w:highlight w:val="none"/>
                <w:vertAlign w:val="superscript"/>
              </w:rPr>
              <w:t>3</w:t>
            </w:r>
            <w:r>
              <w:rPr>
                <w:rFonts w:hint="default" w:ascii="Times New Roman" w:hAnsi="Times New Roman" w:eastAsia="宋体" w:cs="Times New Roman"/>
                <w:b w:val="0"/>
                <w:bCs w:val="0"/>
                <w:color w:val="auto"/>
                <w:sz w:val="24"/>
                <w:szCs w:val="22"/>
                <w:highlight w:val="none"/>
              </w:rPr>
              <w:t>；</w:t>
            </w:r>
          </w:p>
          <w:p w14:paraId="2F7BCE1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2"/>
                <w:highlight w:val="none"/>
              </w:rPr>
            </w:pP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3</w:t>
            </w:r>
            <w:r>
              <w:rPr>
                <w:rFonts w:hint="default" w:ascii="Times New Roman" w:hAnsi="Times New Roman" w:eastAsia="宋体" w:cs="Times New Roman"/>
                <w:b w:val="0"/>
                <w:bCs w:val="0"/>
                <w:color w:val="auto"/>
                <w:sz w:val="24"/>
                <w:szCs w:val="22"/>
                <w:highlight w:val="none"/>
              </w:rPr>
              <w:t>—发生事故时可以转输到其他储存或处理设施的物料量，m</w:t>
            </w:r>
            <w:r>
              <w:rPr>
                <w:rFonts w:hint="default" w:ascii="Times New Roman" w:hAnsi="Times New Roman" w:eastAsia="宋体" w:cs="Times New Roman"/>
                <w:b w:val="0"/>
                <w:bCs w:val="0"/>
                <w:color w:val="auto"/>
                <w:sz w:val="24"/>
                <w:szCs w:val="22"/>
                <w:highlight w:val="none"/>
                <w:vertAlign w:val="superscript"/>
              </w:rPr>
              <w:t>3</w:t>
            </w:r>
            <w:r>
              <w:rPr>
                <w:rFonts w:hint="default" w:ascii="Times New Roman" w:hAnsi="Times New Roman" w:eastAsia="宋体" w:cs="Times New Roman"/>
                <w:b w:val="0"/>
                <w:bCs w:val="0"/>
                <w:color w:val="auto"/>
                <w:sz w:val="24"/>
                <w:szCs w:val="22"/>
                <w:highlight w:val="none"/>
              </w:rPr>
              <w:t>；</w:t>
            </w:r>
          </w:p>
          <w:p w14:paraId="261F9253">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2"/>
                <w:highlight w:val="none"/>
              </w:rPr>
            </w:pP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4</w:t>
            </w:r>
            <w:r>
              <w:rPr>
                <w:rFonts w:hint="default" w:ascii="Times New Roman" w:hAnsi="Times New Roman" w:eastAsia="宋体" w:cs="Times New Roman"/>
                <w:b w:val="0"/>
                <w:bCs w:val="0"/>
                <w:color w:val="auto"/>
                <w:sz w:val="24"/>
                <w:szCs w:val="22"/>
                <w:highlight w:val="none"/>
              </w:rPr>
              <w:t>—发生事故时仍必须进入该收集系统的生产废水量，m</w:t>
            </w:r>
            <w:r>
              <w:rPr>
                <w:rFonts w:hint="default" w:ascii="Times New Roman" w:hAnsi="Times New Roman" w:eastAsia="宋体" w:cs="Times New Roman"/>
                <w:b w:val="0"/>
                <w:bCs w:val="0"/>
                <w:color w:val="auto"/>
                <w:sz w:val="24"/>
                <w:szCs w:val="22"/>
                <w:highlight w:val="none"/>
                <w:vertAlign w:val="superscript"/>
              </w:rPr>
              <w:t>3</w:t>
            </w:r>
            <w:r>
              <w:rPr>
                <w:rFonts w:hint="default" w:ascii="Times New Roman" w:hAnsi="Times New Roman" w:eastAsia="宋体" w:cs="Times New Roman"/>
                <w:b w:val="0"/>
                <w:bCs w:val="0"/>
                <w:color w:val="auto"/>
                <w:sz w:val="24"/>
                <w:szCs w:val="22"/>
                <w:highlight w:val="none"/>
              </w:rPr>
              <w:t>；</w:t>
            </w:r>
          </w:p>
          <w:p w14:paraId="2C8522B1">
            <w:pPr>
              <w:widowControl w:val="0"/>
              <w:adjustRightInd/>
              <w:snapToGrid/>
              <w:spacing w:line="360" w:lineRule="auto"/>
              <w:ind w:firstLine="480" w:firstLineChars="200"/>
              <w:jc w:val="both"/>
              <w:rPr>
                <w:rFonts w:hint="default" w:ascii="Times New Roman" w:hAnsi="Times New Roman" w:eastAsia="宋体" w:cs="Times New Roman"/>
                <w:b w:val="0"/>
                <w:bCs w:val="0"/>
                <w:color w:val="auto"/>
                <w:sz w:val="24"/>
                <w:szCs w:val="22"/>
                <w:highlight w:val="none"/>
              </w:rPr>
            </w:pPr>
            <w:r>
              <w:rPr>
                <w:rFonts w:hint="default" w:ascii="Times New Roman" w:hAnsi="Times New Roman" w:eastAsia="宋体" w:cs="Times New Roman"/>
                <w:b w:val="0"/>
                <w:bCs w:val="0"/>
                <w:color w:val="auto"/>
                <w:sz w:val="24"/>
                <w:szCs w:val="22"/>
                <w:highlight w:val="none"/>
              </w:rPr>
              <w:t>V</w:t>
            </w:r>
            <w:r>
              <w:rPr>
                <w:rFonts w:hint="default" w:ascii="Times New Roman" w:hAnsi="Times New Roman" w:eastAsia="宋体" w:cs="Times New Roman"/>
                <w:b w:val="0"/>
                <w:bCs w:val="0"/>
                <w:color w:val="auto"/>
                <w:sz w:val="24"/>
                <w:szCs w:val="22"/>
                <w:highlight w:val="none"/>
                <w:vertAlign w:val="subscript"/>
              </w:rPr>
              <w:t>5</w:t>
            </w:r>
            <w:r>
              <w:rPr>
                <w:rFonts w:hint="default" w:ascii="Times New Roman" w:hAnsi="Times New Roman" w:eastAsia="宋体" w:cs="Times New Roman"/>
                <w:b w:val="0"/>
                <w:bCs w:val="0"/>
                <w:color w:val="auto"/>
                <w:sz w:val="24"/>
                <w:szCs w:val="22"/>
                <w:highlight w:val="none"/>
              </w:rPr>
              <w:t>—发生事故时可能进入该收集系统的降雨量，m</w:t>
            </w:r>
            <w:r>
              <w:rPr>
                <w:rFonts w:hint="default" w:ascii="Times New Roman" w:hAnsi="Times New Roman" w:eastAsia="宋体" w:cs="Times New Roman"/>
                <w:b w:val="0"/>
                <w:bCs w:val="0"/>
                <w:color w:val="auto"/>
                <w:sz w:val="24"/>
                <w:szCs w:val="22"/>
                <w:highlight w:val="none"/>
                <w:vertAlign w:val="superscript"/>
              </w:rPr>
              <w:t>3</w:t>
            </w:r>
            <w:r>
              <w:rPr>
                <w:rFonts w:hint="default" w:ascii="Times New Roman" w:hAnsi="Times New Roman" w:eastAsia="宋体" w:cs="Times New Roman"/>
                <w:b w:val="0"/>
                <w:bCs w:val="0"/>
                <w:color w:val="auto"/>
                <w:sz w:val="24"/>
                <w:szCs w:val="22"/>
                <w:highlight w:val="none"/>
              </w:rPr>
              <w:t>；</w:t>
            </w:r>
          </w:p>
          <w:p w14:paraId="2CCDC1F3">
            <w:pPr>
              <w:widowControl w:val="0"/>
              <w:adjustRightInd/>
              <w:snapToGrid/>
              <w:spacing w:line="360" w:lineRule="auto"/>
              <w:ind w:firstLine="480" w:firstLineChars="200"/>
              <w:jc w:val="center"/>
              <w:rPr>
                <w:rFonts w:ascii="Times New Roman" w:hAnsi="Times New Roman" w:eastAsia="宋体" w:cs="Times New Roman"/>
                <w:bCs w:val="0"/>
                <w:color w:val="auto"/>
                <w:kern w:val="2"/>
                <w:szCs w:val="24"/>
              </w:rPr>
            </w:pPr>
            <w:r>
              <w:rPr>
                <w:rFonts w:ascii="Times New Roman" w:hAnsi="Times New Roman" w:eastAsia="宋体" w:cs="Times New Roman"/>
                <w:bCs w:val="0"/>
                <w:color w:val="auto"/>
                <w:kern w:val="2"/>
                <w:szCs w:val="24"/>
              </w:rPr>
              <w:t>V</w:t>
            </w:r>
            <w:r>
              <w:rPr>
                <w:rFonts w:ascii="Times New Roman" w:hAnsi="Times New Roman" w:eastAsia="宋体" w:cs="Times New Roman"/>
                <w:bCs w:val="0"/>
                <w:color w:val="auto"/>
                <w:kern w:val="2"/>
                <w:szCs w:val="24"/>
                <w:vertAlign w:val="subscript"/>
              </w:rPr>
              <w:t>5</w:t>
            </w:r>
            <w:r>
              <w:rPr>
                <w:rFonts w:ascii="Times New Roman" w:hAnsi="Times New Roman" w:eastAsia="宋体" w:cs="Times New Roman"/>
                <w:bCs w:val="0"/>
                <w:color w:val="auto"/>
                <w:kern w:val="2"/>
                <w:szCs w:val="24"/>
              </w:rPr>
              <w:t>=10qF</w:t>
            </w:r>
          </w:p>
          <w:p w14:paraId="5728275B">
            <w:pPr>
              <w:widowControl w:val="0"/>
              <w:adjustRightInd/>
              <w:snapToGrid/>
              <w:spacing w:line="360" w:lineRule="auto"/>
              <w:ind w:firstLine="480" w:firstLineChars="200"/>
              <w:jc w:val="center"/>
              <w:rPr>
                <w:rFonts w:ascii="Times New Roman" w:hAnsi="Times New Roman" w:eastAsia="宋体" w:cs="Times New Roman"/>
                <w:bCs w:val="0"/>
                <w:color w:val="auto"/>
                <w:kern w:val="2"/>
                <w:szCs w:val="24"/>
              </w:rPr>
            </w:pPr>
            <w:r>
              <w:rPr>
                <w:rFonts w:ascii="Times New Roman" w:hAnsi="Times New Roman" w:eastAsia="宋体" w:cs="Times New Roman"/>
                <w:bCs w:val="0"/>
                <w:color w:val="auto"/>
                <w:kern w:val="2"/>
                <w:szCs w:val="24"/>
              </w:rPr>
              <w:t>q=q</w:t>
            </w:r>
            <w:r>
              <w:rPr>
                <w:rFonts w:ascii="Times New Roman" w:hAnsi="Times New Roman" w:eastAsia="宋体" w:cs="Times New Roman"/>
                <w:bCs w:val="0"/>
                <w:color w:val="auto"/>
                <w:kern w:val="2"/>
                <w:szCs w:val="24"/>
                <w:vertAlign w:val="subscript"/>
              </w:rPr>
              <w:t>a</w:t>
            </w:r>
            <w:r>
              <w:rPr>
                <w:rFonts w:ascii="Times New Roman" w:hAnsi="Times New Roman" w:eastAsia="宋体" w:cs="Times New Roman"/>
                <w:bCs w:val="0"/>
                <w:color w:val="auto"/>
                <w:kern w:val="2"/>
                <w:szCs w:val="24"/>
              </w:rPr>
              <w:t>/n</w:t>
            </w:r>
          </w:p>
          <w:p w14:paraId="6BB215E2">
            <w:pPr>
              <w:widowControl w:val="0"/>
              <w:adjustRightInd/>
              <w:snapToGrid/>
              <w:spacing w:line="360" w:lineRule="auto"/>
              <w:ind w:firstLine="480" w:firstLineChars="200"/>
              <w:jc w:val="both"/>
              <w:rPr>
                <w:rFonts w:hint="eastAsia" w:ascii="Times New Roman" w:hAnsi="Times New Roman" w:eastAsia="宋体" w:cs="Times New Roman"/>
                <w:bCs w:val="0"/>
                <w:color w:val="auto"/>
                <w:kern w:val="2"/>
                <w:szCs w:val="24"/>
              </w:rPr>
            </w:pPr>
            <w:r>
              <w:rPr>
                <w:rFonts w:ascii="Times New Roman" w:hAnsi="Times New Roman" w:eastAsia="宋体" w:cs="Times New Roman"/>
                <w:bCs w:val="0"/>
                <w:color w:val="auto"/>
                <w:kern w:val="2"/>
                <w:szCs w:val="24"/>
              </w:rPr>
              <w:t>q</w:t>
            </w:r>
            <w:r>
              <w:rPr>
                <w:rFonts w:hint="eastAsia" w:ascii="Times New Roman" w:hAnsi="Times New Roman" w:eastAsia="宋体" w:cs="Times New Roman"/>
                <w:bCs w:val="0"/>
                <w:color w:val="auto"/>
                <w:kern w:val="2"/>
                <w:szCs w:val="24"/>
              </w:rPr>
              <w:t>—降雨强度，</w:t>
            </w:r>
            <w:r>
              <w:rPr>
                <w:rFonts w:ascii="Times New Roman" w:hAnsi="Times New Roman" w:eastAsia="宋体" w:cs="Times New Roman"/>
                <w:bCs w:val="0"/>
                <w:color w:val="auto"/>
                <w:kern w:val="2"/>
                <w:szCs w:val="24"/>
              </w:rPr>
              <w:t>mm</w:t>
            </w:r>
            <w:r>
              <w:rPr>
                <w:rFonts w:hint="eastAsia" w:ascii="Times New Roman" w:hAnsi="Times New Roman" w:eastAsia="宋体" w:cs="Times New Roman"/>
                <w:bCs w:val="0"/>
                <w:color w:val="auto"/>
                <w:kern w:val="2"/>
                <w:szCs w:val="24"/>
              </w:rPr>
              <w:t>；按平均日降雨量；</w:t>
            </w:r>
          </w:p>
          <w:p w14:paraId="3053B0CA">
            <w:pPr>
              <w:widowControl w:val="0"/>
              <w:adjustRightInd/>
              <w:snapToGrid/>
              <w:spacing w:line="360" w:lineRule="auto"/>
              <w:ind w:firstLine="480" w:firstLineChars="200"/>
              <w:jc w:val="both"/>
              <w:rPr>
                <w:rFonts w:hint="eastAsia" w:ascii="Times New Roman" w:hAnsi="Times New Roman" w:eastAsia="宋体" w:cs="Times New Roman"/>
                <w:bCs w:val="0"/>
                <w:color w:val="auto"/>
                <w:kern w:val="2"/>
                <w:szCs w:val="24"/>
                <w:lang w:eastAsia="zh-CN"/>
              </w:rPr>
            </w:pPr>
            <w:r>
              <w:rPr>
                <w:rFonts w:ascii="Times New Roman" w:hAnsi="Times New Roman" w:eastAsia="宋体" w:cs="Times New Roman"/>
                <w:bCs w:val="0"/>
                <w:color w:val="auto"/>
                <w:kern w:val="2"/>
                <w:szCs w:val="24"/>
              </w:rPr>
              <w:t>q</w:t>
            </w:r>
            <w:r>
              <w:rPr>
                <w:rFonts w:ascii="Times New Roman" w:hAnsi="Times New Roman" w:eastAsia="宋体" w:cs="Times New Roman"/>
                <w:bCs w:val="0"/>
                <w:color w:val="auto"/>
                <w:kern w:val="2"/>
                <w:szCs w:val="24"/>
                <w:vertAlign w:val="subscript"/>
              </w:rPr>
              <w:t>a</w:t>
            </w:r>
            <w:r>
              <w:rPr>
                <w:rFonts w:hint="eastAsia" w:ascii="Times New Roman" w:hAnsi="Times New Roman" w:eastAsia="宋体" w:cs="Times New Roman"/>
                <w:bCs w:val="0"/>
                <w:color w:val="auto"/>
                <w:kern w:val="2"/>
                <w:szCs w:val="24"/>
              </w:rPr>
              <w:t>—年平均降雨量，</w:t>
            </w:r>
            <w:r>
              <w:rPr>
                <w:rFonts w:ascii="Times New Roman" w:hAnsi="Times New Roman" w:eastAsia="宋体" w:cs="Times New Roman"/>
                <w:bCs w:val="0"/>
                <w:color w:val="auto"/>
                <w:kern w:val="2"/>
                <w:szCs w:val="24"/>
              </w:rPr>
              <w:t>mm</w:t>
            </w:r>
            <w:r>
              <w:rPr>
                <w:rFonts w:hint="eastAsia" w:ascii="Times New Roman" w:hAnsi="Times New Roman" w:eastAsia="宋体" w:cs="Times New Roman"/>
                <w:bCs w:val="0"/>
                <w:color w:val="auto"/>
                <w:kern w:val="2"/>
                <w:szCs w:val="24"/>
              </w:rPr>
              <w:t>；根据淮北市人民政府网站公布的数据，淮北市年平均降雨量为849.6mm</w:t>
            </w:r>
            <w:r>
              <w:rPr>
                <w:rFonts w:hint="eastAsia" w:cs="Times New Roman"/>
                <w:bCs w:val="0"/>
                <w:color w:val="auto"/>
                <w:kern w:val="2"/>
                <w:szCs w:val="24"/>
                <w:lang w:eastAsia="zh-CN"/>
              </w:rPr>
              <w:t>；</w:t>
            </w:r>
          </w:p>
          <w:p w14:paraId="4549EF42">
            <w:pPr>
              <w:widowControl w:val="0"/>
              <w:adjustRightInd/>
              <w:snapToGrid/>
              <w:spacing w:line="360" w:lineRule="auto"/>
              <w:ind w:firstLine="480" w:firstLineChars="200"/>
              <w:jc w:val="both"/>
              <w:rPr>
                <w:rFonts w:hint="eastAsia" w:ascii="Times New Roman" w:hAnsi="Times New Roman" w:eastAsia="宋体" w:cs="Times New Roman"/>
                <w:bCs w:val="0"/>
                <w:color w:val="auto"/>
                <w:kern w:val="2"/>
                <w:szCs w:val="24"/>
                <w:lang w:eastAsia="zh-CN"/>
              </w:rPr>
            </w:pPr>
            <w:r>
              <w:rPr>
                <w:rFonts w:ascii="Times New Roman" w:hAnsi="Times New Roman" w:eastAsia="宋体" w:cs="Times New Roman"/>
                <w:bCs w:val="0"/>
                <w:color w:val="auto"/>
                <w:kern w:val="2"/>
                <w:szCs w:val="24"/>
              </w:rPr>
              <w:t>n</w:t>
            </w:r>
            <w:r>
              <w:rPr>
                <w:rFonts w:hint="eastAsia" w:ascii="Times New Roman" w:hAnsi="Times New Roman" w:eastAsia="宋体" w:cs="Times New Roman"/>
                <w:bCs w:val="0"/>
                <w:color w:val="auto"/>
                <w:kern w:val="2"/>
                <w:szCs w:val="24"/>
              </w:rPr>
              <w:t>—年平均降雨日数；根据淮北市人民政府网站公布的数据，淮北市年平均降雨日数 84天</w:t>
            </w:r>
            <w:r>
              <w:rPr>
                <w:rFonts w:hint="eastAsia" w:cs="Times New Roman"/>
                <w:bCs w:val="0"/>
                <w:color w:val="auto"/>
                <w:kern w:val="2"/>
                <w:szCs w:val="24"/>
                <w:lang w:eastAsia="zh-CN"/>
              </w:rPr>
              <w:t>；</w:t>
            </w:r>
          </w:p>
          <w:p w14:paraId="0EAE1BB2">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2"/>
                <w:highlight w:val="none"/>
                <w:lang w:val="en-US" w:eastAsia="zh-CN"/>
              </w:rPr>
            </w:pPr>
            <w:r>
              <w:rPr>
                <w:rFonts w:ascii="Times New Roman" w:hAnsi="Times New Roman" w:eastAsia="宋体" w:cs="Times New Roman"/>
                <w:bCs w:val="0"/>
                <w:color w:val="auto"/>
                <w:kern w:val="2"/>
                <w:szCs w:val="24"/>
              </w:rPr>
              <w:t>F</w:t>
            </w:r>
            <w:r>
              <w:rPr>
                <w:rFonts w:hint="eastAsia" w:ascii="Times New Roman" w:hAnsi="Times New Roman" w:eastAsia="宋体" w:cs="Times New Roman"/>
                <w:bCs w:val="0"/>
                <w:color w:val="auto"/>
                <w:kern w:val="2"/>
                <w:szCs w:val="24"/>
              </w:rPr>
              <w:t>—必须进入事故废水收集系统的雨水汇水面积，</w:t>
            </w:r>
            <w:r>
              <w:rPr>
                <w:rFonts w:ascii="Times New Roman" w:hAnsi="Times New Roman" w:eastAsia="宋体" w:cs="Times New Roman"/>
                <w:bCs w:val="0"/>
                <w:color w:val="auto"/>
                <w:kern w:val="2"/>
                <w:szCs w:val="24"/>
              </w:rPr>
              <w:t>ha</w:t>
            </w:r>
            <w:r>
              <w:rPr>
                <w:rFonts w:hint="eastAsia" w:cs="Times New Roman"/>
                <w:bCs w:val="0"/>
                <w:color w:val="auto"/>
                <w:kern w:val="2"/>
                <w:szCs w:val="24"/>
                <w:lang w:eastAsia="zh-CN"/>
              </w:rPr>
              <w:t>；最</w:t>
            </w:r>
            <w:r>
              <w:rPr>
                <w:rFonts w:hint="eastAsia" w:cs="Times New Roman"/>
                <w:bCs w:val="0"/>
                <w:color w:val="auto"/>
                <w:kern w:val="2"/>
                <w:szCs w:val="24"/>
                <w:lang w:val="en-US" w:eastAsia="zh-CN"/>
              </w:rPr>
              <w:t>大C车间</w:t>
            </w:r>
            <w:r>
              <w:rPr>
                <w:rFonts w:hint="eastAsia" w:cs="Times New Roman"/>
                <w:bCs w:val="0"/>
                <w:color w:val="auto"/>
                <w:kern w:val="2"/>
                <w:szCs w:val="24"/>
                <w:lang w:eastAsia="zh-CN"/>
              </w:rPr>
              <w:t xml:space="preserve">面积 </w:t>
            </w:r>
            <w:r>
              <w:rPr>
                <w:rFonts w:hint="eastAsia" w:cs="Times New Roman"/>
                <w:bCs w:val="0"/>
                <w:color w:val="auto"/>
                <w:kern w:val="2"/>
                <w:szCs w:val="24"/>
                <w:lang w:val="en-US" w:eastAsia="zh-CN"/>
              </w:rPr>
              <w:t>4500</w:t>
            </w:r>
            <w:r>
              <w:rPr>
                <w:rFonts w:hint="eastAsia" w:cs="Times New Roman"/>
                <w:bCs w:val="0"/>
                <w:color w:val="auto"/>
                <w:kern w:val="2"/>
                <w:szCs w:val="24"/>
                <w:lang w:eastAsia="zh-CN"/>
              </w:rPr>
              <w:t>m</w:t>
            </w:r>
            <w:r>
              <w:rPr>
                <w:rFonts w:hint="eastAsia" w:cs="Times New Roman"/>
                <w:bCs w:val="0"/>
                <w:color w:val="auto"/>
                <w:kern w:val="2"/>
                <w:szCs w:val="24"/>
                <w:vertAlign w:val="superscript"/>
                <w:lang w:val="en-US" w:eastAsia="zh-CN"/>
              </w:rPr>
              <w:t>2</w:t>
            </w:r>
            <w:r>
              <w:rPr>
                <w:rFonts w:hint="eastAsia" w:cs="Times New Roman"/>
                <w:bCs w:val="0"/>
                <w:color w:val="auto"/>
                <w:kern w:val="2"/>
                <w:szCs w:val="24"/>
                <w:lang w:eastAsia="zh-CN"/>
              </w:rPr>
              <w:t>，则汇水面积 0.</w:t>
            </w:r>
            <w:r>
              <w:rPr>
                <w:rFonts w:hint="eastAsia" w:cs="Times New Roman"/>
                <w:bCs w:val="0"/>
                <w:color w:val="auto"/>
                <w:kern w:val="2"/>
                <w:szCs w:val="24"/>
                <w:lang w:val="en-US" w:eastAsia="zh-CN"/>
              </w:rPr>
              <w:t>45</w:t>
            </w:r>
            <w:r>
              <w:rPr>
                <w:rFonts w:hint="eastAsia" w:cs="Times New Roman"/>
                <w:bCs w:val="0"/>
                <w:color w:val="auto"/>
                <w:kern w:val="2"/>
                <w:szCs w:val="24"/>
                <w:lang w:eastAsia="zh-CN"/>
              </w:rPr>
              <w:t>hm</w:t>
            </w:r>
            <w:r>
              <w:rPr>
                <w:rFonts w:hint="eastAsia" w:cs="Times New Roman"/>
                <w:bCs w:val="0"/>
                <w:color w:val="auto"/>
                <w:kern w:val="2"/>
                <w:szCs w:val="24"/>
                <w:vertAlign w:val="superscript"/>
                <w:lang w:val="en-US" w:eastAsia="zh-CN"/>
              </w:rPr>
              <w:t>2</w:t>
            </w:r>
            <w:r>
              <w:rPr>
                <w:rFonts w:hint="eastAsia" w:cs="Times New Roman"/>
                <w:bCs w:val="0"/>
                <w:color w:val="auto"/>
                <w:kern w:val="2"/>
                <w:szCs w:val="24"/>
                <w:lang w:val="en-US" w:eastAsia="zh-CN"/>
              </w:rPr>
              <w:t>。</w:t>
            </w:r>
          </w:p>
          <w:p w14:paraId="65D5DB42">
            <w:pPr>
              <w:widowControl w:val="0"/>
              <w:adjustRightInd/>
              <w:snapToGrid/>
              <w:spacing w:line="360" w:lineRule="auto"/>
              <w:ind w:firstLine="482" w:firstLineChars="200"/>
              <w:jc w:val="both"/>
              <w:rPr>
                <w:rFonts w:hint="eastAsia" w:ascii="Times New Roman" w:hAnsi="Times New Roman" w:eastAsia="宋体" w:cs="Times New Roman"/>
                <w:b/>
                <w:bCs/>
                <w:color w:val="auto"/>
                <w:kern w:val="2"/>
                <w:sz w:val="24"/>
                <w:szCs w:val="22"/>
                <w:lang w:eastAsia="zh-CN"/>
              </w:rPr>
            </w:pPr>
            <w:r>
              <w:rPr>
                <w:rFonts w:hint="eastAsia" w:ascii="Times New Roman" w:hAnsi="Times New Roman" w:eastAsia="宋体" w:cs="Times New Roman"/>
                <w:b/>
                <w:bCs/>
                <w:color w:val="auto"/>
                <w:kern w:val="2"/>
                <w:sz w:val="24"/>
                <w:szCs w:val="22"/>
                <w:lang w:eastAsia="zh-CN"/>
              </w:rPr>
              <w:t>本项目事故废水量</w:t>
            </w:r>
            <w:r>
              <w:rPr>
                <w:rFonts w:hint="eastAsia" w:ascii="Times New Roman" w:hAnsi="Times New Roman" w:eastAsia="宋体" w:cs="Times New Roman"/>
                <w:b/>
                <w:bCs/>
                <w:color w:val="auto"/>
                <w:kern w:val="2"/>
                <w:sz w:val="24"/>
                <w:szCs w:val="22"/>
                <w:lang w:val="en-US" w:eastAsia="zh-CN"/>
              </w:rPr>
              <w:t>V</w:t>
            </w:r>
            <w:r>
              <w:rPr>
                <w:rFonts w:hint="eastAsia" w:ascii="Times New Roman" w:hAnsi="Times New Roman" w:eastAsia="宋体" w:cs="Times New Roman"/>
                <w:b/>
                <w:bCs/>
                <w:color w:val="auto"/>
                <w:kern w:val="2"/>
                <w:sz w:val="24"/>
                <w:szCs w:val="22"/>
                <w:vertAlign w:val="subscript"/>
                <w:lang w:val="en-US" w:eastAsia="zh-CN"/>
              </w:rPr>
              <w:t>总</w:t>
            </w:r>
            <w:r>
              <w:rPr>
                <w:rFonts w:hint="eastAsia" w:ascii="Times New Roman" w:hAnsi="Times New Roman" w:eastAsia="宋体" w:cs="Times New Roman"/>
                <w:b/>
                <w:bCs/>
                <w:color w:val="auto"/>
                <w:kern w:val="2"/>
                <w:sz w:val="24"/>
                <w:szCs w:val="22"/>
                <w:lang w:eastAsia="zh-CN"/>
              </w:rPr>
              <w:t>核算：</w:t>
            </w:r>
          </w:p>
          <w:p w14:paraId="77B16330">
            <w:pPr>
              <w:widowControl w:val="0"/>
              <w:adjustRightInd/>
              <w:snapToGrid/>
              <w:spacing w:line="360" w:lineRule="auto"/>
              <w:ind w:firstLine="480" w:firstLineChars="200"/>
              <w:jc w:val="both"/>
              <w:rPr>
                <w:rFonts w:ascii="Times New Roman" w:hAnsi="Times New Roman" w:eastAsia="宋体" w:cs="Times New Roman"/>
                <w:bCs w:val="0"/>
                <w:color w:val="auto"/>
                <w:kern w:val="2"/>
                <w:sz w:val="24"/>
                <w:szCs w:val="22"/>
              </w:rPr>
            </w:pPr>
            <w:r>
              <w:rPr>
                <w:rFonts w:hint="eastAsia" w:ascii="Times New Roman" w:hAnsi="Times New Roman" w:eastAsia="宋体" w:cs="Times New Roman"/>
                <w:bCs w:val="0"/>
                <w:color w:val="auto"/>
                <w:kern w:val="2"/>
                <w:sz w:val="24"/>
                <w:szCs w:val="22"/>
              </w:rPr>
              <w:t>V</w:t>
            </w:r>
            <w:r>
              <w:rPr>
                <w:rFonts w:ascii="Times New Roman" w:hAnsi="Times New Roman" w:eastAsia="宋体" w:cs="Times New Roman"/>
                <w:bCs w:val="0"/>
                <w:color w:val="auto"/>
                <w:kern w:val="2"/>
                <w:sz w:val="24"/>
                <w:szCs w:val="22"/>
              </w:rPr>
              <w:t>1：</w:t>
            </w:r>
            <w:r>
              <w:rPr>
                <w:rFonts w:hint="eastAsia" w:ascii="Times New Roman" w:hAnsi="Times New Roman" w:eastAsia="宋体" w:cs="宋体"/>
                <w:snapToGrid w:val="0"/>
                <w:color w:val="auto"/>
                <w:sz w:val="24"/>
                <w:szCs w:val="24"/>
                <w:lang w:val="zh-CN"/>
              </w:rPr>
              <w:t>厂区</w:t>
            </w:r>
            <w:r>
              <w:rPr>
                <w:rFonts w:hint="eastAsia" w:cs="宋体"/>
                <w:snapToGrid w:val="0"/>
                <w:color w:val="auto"/>
                <w:sz w:val="24"/>
                <w:szCs w:val="24"/>
                <w:lang w:val="en-US" w:eastAsia="zh-CN"/>
              </w:rPr>
              <w:t>原材料</w:t>
            </w:r>
            <w:r>
              <w:rPr>
                <w:rFonts w:hint="eastAsia" w:ascii="Times New Roman" w:hAnsi="Times New Roman" w:eastAsia="宋体" w:cs="宋体"/>
                <w:snapToGrid w:val="0"/>
                <w:color w:val="auto"/>
                <w:sz w:val="24"/>
                <w:szCs w:val="24"/>
                <w:lang w:val="zh-CN"/>
              </w:rPr>
              <w:t>桶</w:t>
            </w:r>
            <w:r>
              <w:rPr>
                <w:rFonts w:hint="eastAsia" w:cs="宋体"/>
                <w:snapToGrid w:val="0"/>
                <w:color w:val="auto"/>
                <w:sz w:val="24"/>
                <w:szCs w:val="24"/>
                <w:lang w:val="en-US" w:eastAsia="zh-CN"/>
              </w:rPr>
              <w:t>装规格20千克</w:t>
            </w:r>
            <w:r>
              <w:rPr>
                <w:rFonts w:hint="eastAsia" w:ascii="Times New Roman" w:hAnsi="Times New Roman" w:eastAsia="宋体" w:cs="宋体"/>
                <w:snapToGrid w:val="0"/>
                <w:color w:val="auto"/>
                <w:sz w:val="24"/>
                <w:szCs w:val="24"/>
              </w:rPr>
              <w:t>，故</w:t>
            </w:r>
            <w:r>
              <w:rPr>
                <w:rFonts w:ascii="Times New Roman" w:hAnsi="Times New Roman" w:eastAsia="宋体" w:cs="Times New Roman"/>
                <w:snapToGrid w:val="0"/>
                <w:color w:val="auto"/>
                <w:sz w:val="24"/>
                <w:szCs w:val="24"/>
                <w:lang w:val="zh-CN"/>
              </w:rPr>
              <w:t>V</w:t>
            </w:r>
            <w:r>
              <w:rPr>
                <w:rFonts w:ascii="Times New Roman" w:hAnsi="Times New Roman" w:eastAsia="宋体" w:cs="Times New Roman"/>
                <w:snapToGrid w:val="0"/>
                <w:color w:val="auto"/>
                <w:sz w:val="24"/>
                <w:szCs w:val="24"/>
                <w:vertAlign w:val="subscript"/>
                <w:lang w:val="zh-CN"/>
              </w:rPr>
              <w:t>1</w:t>
            </w:r>
            <w:r>
              <w:rPr>
                <w:rFonts w:ascii="Times New Roman" w:hAnsi="Times New Roman" w:eastAsia="宋体" w:cs="Times New Roman"/>
                <w:snapToGrid w:val="0"/>
                <w:color w:val="auto"/>
                <w:sz w:val="24"/>
                <w:szCs w:val="24"/>
                <w:lang w:val="zh-CN"/>
              </w:rPr>
              <w:t>=</w:t>
            </w:r>
            <w:r>
              <w:rPr>
                <w:rFonts w:hint="eastAsia" w:cs="Times New Roman"/>
                <w:snapToGrid w:val="0"/>
                <w:color w:val="auto"/>
                <w:sz w:val="24"/>
                <w:szCs w:val="24"/>
                <w:lang w:val="en-US" w:eastAsia="zh-CN"/>
              </w:rPr>
              <w:t>0.02</w:t>
            </w:r>
            <w:r>
              <w:rPr>
                <w:rFonts w:ascii="Times New Roman" w:hAnsi="Times New Roman" w:eastAsia="宋体" w:cs="Times New Roman"/>
                <w:bCs w:val="0"/>
                <w:color w:val="auto"/>
                <w:kern w:val="2"/>
                <w:sz w:val="24"/>
                <w:szCs w:val="22"/>
              </w:rPr>
              <w:t>m</w:t>
            </w:r>
            <w:r>
              <w:rPr>
                <w:rFonts w:ascii="Times New Roman" w:hAnsi="Times New Roman" w:eastAsia="宋体" w:cs="Times New Roman"/>
                <w:bCs w:val="0"/>
                <w:color w:val="auto"/>
                <w:kern w:val="2"/>
                <w:sz w:val="24"/>
                <w:szCs w:val="22"/>
                <w:vertAlign w:val="superscript"/>
              </w:rPr>
              <w:t>3</w:t>
            </w:r>
            <w:r>
              <w:rPr>
                <w:rFonts w:ascii="Times New Roman" w:hAnsi="Times New Roman" w:eastAsia="宋体" w:cs="Times New Roman"/>
                <w:bCs w:val="0"/>
                <w:color w:val="auto"/>
                <w:kern w:val="2"/>
                <w:sz w:val="24"/>
                <w:szCs w:val="22"/>
              </w:rPr>
              <w:t>；</w:t>
            </w:r>
          </w:p>
          <w:p w14:paraId="5E1EE8A3">
            <w:pPr>
              <w:widowControl w:val="0"/>
              <w:adjustRightInd/>
              <w:snapToGrid/>
              <w:spacing w:line="360" w:lineRule="auto"/>
              <w:ind w:firstLine="480" w:firstLineChars="200"/>
              <w:jc w:val="both"/>
              <w:rPr>
                <w:rFonts w:ascii="Times New Roman" w:hAnsi="宋体" w:eastAsia="宋体" w:cs="Times New Roman"/>
                <w:bCs w:val="0"/>
                <w:color w:val="auto"/>
                <w:kern w:val="2"/>
                <w:sz w:val="24"/>
                <w:szCs w:val="22"/>
              </w:rPr>
            </w:pPr>
            <w:r>
              <w:rPr>
                <w:rFonts w:hint="eastAsia" w:ascii="Times New Roman" w:hAnsi="宋体" w:eastAsia="宋体" w:cs="Times New Roman"/>
                <w:bCs w:val="0"/>
                <w:color w:val="auto"/>
                <w:kern w:val="2"/>
                <w:sz w:val="24"/>
                <w:szCs w:val="22"/>
              </w:rPr>
              <w:t>V</w:t>
            </w:r>
            <w:r>
              <w:rPr>
                <w:rFonts w:ascii="Times New Roman" w:hAnsi="宋体" w:eastAsia="宋体" w:cs="Times New Roman"/>
                <w:bCs w:val="0"/>
                <w:color w:val="auto"/>
                <w:kern w:val="2"/>
                <w:sz w:val="24"/>
                <w:szCs w:val="22"/>
              </w:rPr>
              <w:t>2：</w:t>
            </w:r>
            <w:r>
              <w:rPr>
                <w:rFonts w:hint="default" w:ascii="Times New Roman" w:hAnsi="Times New Roman" w:eastAsia="宋体" w:cs="Times New Roman"/>
                <w:lang w:val="en-US" w:eastAsia="zh-CN"/>
              </w:rPr>
              <w:t>根据工厂、仓库、民用建筑一次灭火的室外消火栓用水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以及室内消火栓用水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确定厂房建筑一次灭火的室外消火栓用水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10L</w:t>
            </w:r>
            <w:r>
              <w:rPr>
                <w:rFonts w:hint="eastAsia" w:ascii="宋体" w:hAnsi="宋体" w:eastAsia="宋体" w:cs="宋体"/>
                <w:lang w:val="en-US" w:eastAsia="zh-CN"/>
              </w:rPr>
              <w:t>/</w:t>
            </w:r>
            <w:r>
              <w:rPr>
                <w:rFonts w:hint="default" w:ascii="Times New Roman" w:hAnsi="Times New Roman" w:eastAsia="宋体" w:cs="Times New Roman"/>
                <w:lang w:val="en-US" w:eastAsia="zh-CN"/>
              </w:rPr>
              <w:t>s</w:t>
            </w:r>
            <w:r>
              <w:rPr>
                <w:rFonts w:hint="eastAsia" w:ascii="宋体" w:hAnsi="宋体" w:eastAsia="宋体" w:cs="宋体"/>
                <w:lang w:val="en-US" w:eastAsia="zh-CN"/>
              </w:rPr>
              <w:t>，</w:t>
            </w:r>
            <w:r>
              <w:rPr>
                <w:rFonts w:hint="default" w:ascii="Times New Roman" w:hAnsi="Times New Roman" w:eastAsia="宋体" w:cs="Times New Roman"/>
                <w:lang w:val="en-US" w:eastAsia="zh-CN"/>
              </w:rPr>
              <w:t>室内消火栓用水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10L</w:t>
            </w:r>
            <w:r>
              <w:rPr>
                <w:rFonts w:hint="eastAsia" w:ascii="宋体" w:hAnsi="宋体" w:eastAsia="宋体" w:cs="宋体"/>
                <w:lang w:val="en-US" w:eastAsia="zh-CN"/>
              </w:rPr>
              <w:t>/</w:t>
            </w:r>
            <w:r>
              <w:rPr>
                <w:rFonts w:hint="default" w:ascii="Times New Roman" w:hAnsi="Times New Roman" w:eastAsia="宋体" w:cs="Times New Roman"/>
                <w:lang w:val="en-US" w:eastAsia="zh-CN"/>
              </w:rPr>
              <w:t>s</w:t>
            </w:r>
            <w:r>
              <w:rPr>
                <w:rFonts w:hint="eastAsia" w:ascii="宋体" w:hAnsi="宋体" w:eastAsia="宋体" w:cs="宋体"/>
                <w:lang w:val="en-US" w:eastAsia="zh-CN"/>
              </w:rPr>
              <w:t>（</w:t>
            </w:r>
            <w:r>
              <w:rPr>
                <w:rFonts w:hint="default" w:ascii="Times New Roman" w:hAnsi="Times New Roman" w:eastAsia="宋体" w:cs="Times New Roman"/>
                <w:lang w:val="en-US" w:eastAsia="zh-CN"/>
              </w:rPr>
              <w:t>同时使用水枪数</w:t>
            </w:r>
            <w:r>
              <w:rPr>
                <w:rFonts w:hint="eastAsia" w:ascii="宋体" w:hAnsi="宋体" w:eastAsia="宋体" w:cs="宋体"/>
                <w:lang w:val="en-US" w:eastAsia="zh-CN"/>
              </w:rPr>
              <w:t>量</w:t>
            </w:r>
            <w:r>
              <w:rPr>
                <w:rFonts w:hint="default" w:ascii="Times New Roman" w:hAnsi="Times New Roman" w:eastAsia="宋体" w:cs="Times New Roman"/>
                <w:lang w:val="en-US" w:eastAsia="zh-CN"/>
              </w:rPr>
              <w:t>两支</w:t>
            </w:r>
            <w:r>
              <w:rPr>
                <w:rFonts w:hint="eastAsia" w:ascii="宋体" w:hAnsi="宋体" w:eastAsia="宋体" w:cs="宋体"/>
                <w:lang w:val="en-US" w:eastAsia="zh-CN"/>
              </w:rPr>
              <w:t>）</w:t>
            </w:r>
            <w:r>
              <w:rPr>
                <w:rFonts w:hint="default" w:ascii="Times New Roman" w:hAnsi="Times New Roman" w:eastAsia="宋体" w:cs="Times New Roman"/>
                <w:lang w:val="en-US" w:eastAsia="zh-CN"/>
              </w:rPr>
              <w:t>。消</w:t>
            </w:r>
            <w:r>
              <w:rPr>
                <w:rFonts w:hint="eastAsia" w:ascii="宋体" w:hAnsi="宋体" w:eastAsia="宋体" w:cs="宋体"/>
                <w:lang w:val="en-US" w:eastAsia="zh-CN"/>
              </w:rPr>
              <w:t>防</w:t>
            </w:r>
            <w:r>
              <w:rPr>
                <w:rFonts w:hint="default" w:ascii="Times New Roman" w:hAnsi="Times New Roman" w:eastAsia="宋体" w:cs="Times New Roman"/>
                <w:lang w:val="en-US" w:eastAsia="zh-CN"/>
              </w:rPr>
              <w:t>持续时</w:t>
            </w:r>
            <w:r>
              <w:rPr>
                <w:rFonts w:hint="eastAsia" w:ascii="宋体" w:hAnsi="宋体" w:eastAsia="宋体" w:cs="宋体"/>
                <w:lang w:val="en-US" w:eastAsia="zh-CN"/>
              </w:rPr>
              <w:t>间</w:t>
            </w:r>
            <w:r>
              <w:rPr>
                <w:rFonts w:hint="eastAsia" w:cs="Times New Roman"/>
                <w:lang w:val="en-US" w:eastAsia="zh-CN"/>
              </w:rPr>
              <w:t>以2h计</w:t>
            </w:r>
            <w:r>
              <w:rPr>
                <w:rFonts w:hint="eastAsia" w:ascii="宋体" w:hAnsi="宋体" w:eastAsia="宋体" w:cs="宋体"/>
                <w:lang w:val="en-US" w:eastAsia="zh-CN"/>
              </w:rPr>
              <w:t>，</w:t>
            </w:r>
            <w:r>
              <w:rPr>
                <w:rFonts w:hint="default" w:ascii="Times New Roman" w:hAnsi="Times New Roman" w:eastAsia="宋体" w:cs="Times New Roman"/>
                <w:lang w:val="en-US" w:eastAsia="zh-CN"/>
              </w:rPr>
              <w:t>一次消</w:t>
            </w:r>
            <w:r>
              <w:rPr>
                <w:rFonts w:hint="eastAsia" w:ascii="宋体" w:hAnsi="宋体" w:eastAsia="宋体" w:cs="宋体"/>
                <w:lang w:val="en-US" w:eastAsia="zh-CN"/>
              </w:rPr>
              <w:t>防</w:t>
            </w:r>
            <w:r>
              <w:rPr>
                <w:rFonts w:hint="default" w:ascii="Times New Roman" w:hAnsi="Times New Roman" w:eastAsia="宋体" w:cs="Times New Roman"/>
                <w:lang w:val="en-US" w:eastAsia="zh-CN"/>
              </w:rPr>
              <w:t>水</w:t>
            </w:r>
            <w:r>
              <w:rPr>
                <w:rFonts w:hint="eastAsia" w:ascii="宋体" w:hAnsi="宋体" w:eastAsia="宋体" w:cs="宋体"/>
                <w:lang w:val="en-US" w:eastAsia="zh-CN"/>
              </w:rPr>
              <w:t>量</w:t>
            </w:r>
            <w:r>
              <w:rPr>
                <w:rFonts w:hint="default" w:ascii="Times New Roman" w:hAnsi="Times New Roman" w:eastAsia="宋体" w:cs="Times New Roman"/>
                <w:lang w:val="en-US" w:eastAsia="zh-CN"/>
              </w:rPr>
              <w:t>为</w:t>
            </w:r>
            <w:r>
              <w:rPr>
                <w:rFonts w:hint="eastAsia" w:cs="Times New Roman"/>
                <w:lang w:val="en-US" w:eastAsia="zh-CN"/>
              </w:rPr>
              <w:t>144</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eastAsia" w:cs="Times New Roman"/>
                <w:lang w:val="en-US" w:eastAsia="zh-CN"/>
              </w:rPr>
              <w:t>，故</w:t>
            </w:r>
            <w:r>
              <w:rPr>
                <w:rFonts w:hint="default" w:ascii="Times New Roman" w:hAnsi="Times New Roman" w:eastAsia="宋体" w:cs="Times New Roman"/>
                <w:lang w:val="en-US" w:eastAsia="zh-CN"/>
              </w:rPr>
              <w:t>V</w:t>
            </w:r>
            <w:r>
              <w:rPr>
                <w:rFonts w:hint="eastAsia" w:cs="Times New Roman"/>
                <w:vertAlign w:val="subscript"/>
                <w:lang w:val="en-US" w:eastAsia="zh-CN"/>
              </w:rPr>
              <w:t>2</w:t>
            </w:r>
            <w:r>
              <w:rPr>
                <w:rFonts w:hint="eastAsia" w:cs="Times New Roman"/>
                <w:lang w:val="en-US" w:eastAsia="zh-CN"/>
              </w:rPr>
              <w:t>取144</w:t>
            </w:r>
            <w:r>
              <w:rPr>
                <w:rFonts w:ascii="Times New Roman" w:hAnsi="Times New Roman" w:eastAsia="宋体" w:cs="Times New Roman"/>
                <w:bCs w:val="0"/>
                <w:color w:val="auto"/>
                <w:kern w:val="2"/>
                <w:sz w:val="24"/>
                <w:szCs w:val="22"/>
              </w:rPr>
              <w:t>m</w:t>
            </w:r>
            <w:r>
              <w:rPr>
                <w:rFonts w:ascii="Times New Roman" w:hAnsi="Times New Roman" w:eastAsia="宋体" w:cs="Times New Roman"/>
                <w:bCs w:val="0"/>
                <w:color w:val="auto"/>
                <w:kern w:val="2"/>
                <w:sz w:val="24"/>
                <w:szCs w:val="22"/>
                <w:vertAlign w:val="superscript"/>
              </w:rPr>
              <w:t>3</w:t>
            </w:r>
            <w:r>
              <w:rPr>
                <w:rFonts w:hint="eastAsia" w:ascii="Times New Roman" w:hAnsi="宋体" w:eastAsia="宋体" w:cs="Times New Roman"/>
                <w:bCs w:val="0"/>
                <w:color w:val="auto"/>
                <w:kern w:val="2"/>
                <w:sz w:val="24"/>
                <w:szCs w:val="22"/>
              </w:rPr>
              <w:t>。</w:t>
            </w:r>
          </w:p>
          <w:p w14:paraId="144EF810">
            <w:pPr>
              <w:widowControl w:val="0"/>
              <w:adjustRightInd/>
              <w:snapToGrid/>
              <w:spacing w:line="360" w:lineRule="auto"/>
              <w:ind w:firstLine="480" w:firstLineChars="200"/>
              <w:jc w:val="both"/>
              <w:rPr>
                <w:rFonts w:hint="eastAsia" w:ascii="Times New Roman" w:hAnsi="Times New Roman" w:eastAsia="宋体" w:cs="Times New Roman"/>
                <w:bCs w:val="0"/>
                <w:color w:val="auto"/>
                <w:kern w:val="2"/>
                <w:sz w:val="24"/>
                <w:szCs w:val="22"/>
                <w:lang w:eastAsia="zh-CN"/>
              </w:rPr>
            </w:pPr>
            <w:r>
              <w:rPr>
                <w:rFonts w:hint="eastAsia" w:ascii="Times New Roman" w:hAnsi="宋体" w:eastAsia="宋体" w:cs="Times New Roman"/>
                <w:bCs w:val="0"/>
                <w:color w:val="auto"/>
                <w:kern w:val="2"/>
                <w:sz w:val="24"/>
                <w:szCs w:val="22"/>
              </w:rPr>
              <w:t>V</w:t>
            </w:r>
            <w:r>
              <w:rPr>
                <w:rFonts w:ascii="Times New Roman" w:hAnsi="宋体" w:eastAsia="宋体" w:cs="Times New Roman"/>
                <w:bCs w:val="0"/>
                <w:color w:val="auto"/>
                <w:kern w:val="2"/>
                <w:sz w:val="24"/>
                <w:szCs w:val="22"/>
              </w:rPr>
              <w:t>3：</w:t>
            </w:r>
            <w:r>
              <w:rPr>
                <w:rFonts w:hint="eastAsia" w:hAnsi="宋体" w:cs="Times New Roman"/>
                <w:bCs w:val="0"/>
                <w:color w:val="auto"/>
                <w:kern w:val="2"/>
                <w:sz w:val="24"/>
                <w:szCs w:val="22"/>
                <w:u w:val="none"/>
                <w:lang w:eastAsia="zh-CN"/>
              </w:rPr>
              <w:t>无可以转输到其他储存或处理的设施</w:t>
            </w:r>
            <w:r>
              <w:rPr>
                <w:rFonts w:hint="eastAsia" w:hAnsi="宋体" w:cs="Times New Roman"/>
                <w:bCs w:val="0"/>
                <w:color w:val="auto"/>
                <w:kern w:val="2"/>
                <w:sz w:val="24"/>
                <w:szCs w:val="22"/>
                <w:lang w:eastAsia="zh-CN"/>
              </w:rPr>
              <w:t>，</w:t>
            </w:r>
            <w:r>
              <w:rPr>
                <w:rFonts w:hint="eastAsia" w:ascii="Times New Roman" w:hAnsi="宋体" w:eastAsia="宋体" w:cs="Times New Roman"/>
                <w:bCs w:val="0"/>
                <w:color w:val="auto"/>
                <w:kern w:val="2"/>
                <w:sz w:val="24"/>
                <w:szCs w:val="22"/>
              </w:rPr>
              <w:t>V</w:t>
            </w:r>
            <w:r>
              <w:rPr>
                <w:rFonts w:ascii="Times New Roman" w:hAnsi="宋体" w:eastAsia="宋体" w:cs="Times New Roman"/>
                <w:bCs w:val="0"/>
                <w:color w:val="auto"/>
                <w:kern w:val="2"/>
                <w:sz w:val="24"/>
                <w:szCs w:val="22"/>
              </w:rPr>
              <w:t>3为</w:t>
            </w:r>
            <w:r>
              <w:rPr>
                <w:rFonts w:hint="eastAsia" w:cs="Times New Roman"/>
                <w:bCs w:val="0"/>
                <w:color w:val="auto"/>
                <w:kern w:val="2"/>
                <w:sz w:val="24"/>
                <w:szCs w:val="22"/>
                <w:lang w:val="en-US" w:eastAsia="zh-CN"/>
              </w:rPr>
              <w:t>0</w:t>
            </w:r>
            <w:r>
              <w:rPr>
                <w:rFonts w:ascii="Times New Roman" w:hAnsi="Times New Roman" w:eastAsia="宋体" w:cs="Times New Roman"/>
                <w:bCs w:val="0"/>
                <w:color w:val="auto"/>
                <w:kern w:val="2"/>
                <w:sz w:val="24"/>
                <w:szCs w:val="22"/>
              </w:rPr>
              <w:t>m</w:t>
            </w:r>
            <w:r>
              <w:rPr>
                <w:rFonts w:ascii="Times New Roman" w:hAnsi="Times New Roman" w:eastAsia="宋体" w:cs="Times New Roman"/>
                <w:bCs w:val="0"/>
                <w:color w:val="auto"/>
                <w:kern w:val="2"/>
                <w:sz w:val="24"/>
                <w:szCs w:val="22"/>
                <w:vertAlign w:val="superscript"/>
              </w:rPr>
              <w:t>3</w:t>
            </w:r>
            <w:r>
              <w:rPr>
                <w:rFonts w:hint="eastAsia" w:ascii="Times New Roman" w:hAnsi="宋体" w:eastAsia="宋体" w:cs="Times New Roman"/>
                <w:bCs w:val="0"/>
                <w:color w:val="auto"/>
                <w:kern w:val="2"/>
                <w:sz w:val="24"/>
                <w:szCs w:val="22"/>
                <w:lang w:eastAsia="zh-CN"/>
              </w:rPr>
              <w:t>。</w:t>
            </w:r>
          </w:p>
          <w:p w14:paraId="5081C4F9">
            <w:pPr>
              <w:widowControl w:val="0"/>
              <w:adjustRightInd/>
              <w:snapToGrid/>
              <w:spacing w:line="360" w:lineRule="auto"/>
              <w:ind w:firstLine="480" w:firstLineChars="200"/>
              <w:jc w:val="both"/>
              <w:rPr>
                <w:rFonts w:ascii="Times New Roman" w:hAnsi="Times New Roman" w:eastAsia="宋体" w:cs="Times New Roman"/>
                <w:bCs w:val="0"/>
                <w:color w:val="auto"/>
                <w:kern w:val="2"/>
                <w:sz w:val="24"/>
                <w:szCs w:val="22"/>
              </w:rPr>
            </w:pPr>
            <w:r>
              <w:rPr>
                <w:rFonts w:hint="eastAsia" w:ascii="Times New Roman" w:hAnsi="宋体" w:eastAsia="宋体" w:cs="Times New Roman"/>
                <w:bCs w:val="0"/>
                <w:color w:val="auto"/>
                <w:kern w:val="2"/>
                <w:sz w:val="24"/>
                <w:szCs w:val="22"/>
              </w:rPr>
              <w:t>V</w:t>
            </w:r>
            <w:r>
              <w:rPr>
                <w:rFonts w:ascii="Times New Roman" w:hAnsi="宋体" w:eastAsia="宋体" w:cs="Times New Roman"/>
                <w:bCs w:val="0"/>
                <w:color w:val="auto"/>
                <w:kern w:val="2"/>
                <w:sz w:val="24"/>
                <w:szCs w:val="22"/>
              </w:rPr>
              <w:t>4：</w:t>
            </w:r>
            <w:r>
              <w:rPr>
                <w:rFonts w:hint="default" w:ascii="Times New Roman" w:hAnsi="Times New Roman" w:eastAsia="宋体" w:cs="Times New Roman"/>
                <w:b w:val="0"/>
                <w:bCs w:val="0"/>
                <w:color w:val="auto"/>
                <w:sz w:val="24"/>
                <w:szCs w:val="22"/>
                <w:highlight w:val="none"/>
              </w:rPr>
              <w:t>发生事故时仍必须进入该收集系统的生产废水量，</w:t>
            </w:r>
            <w:r>
              <w:rPr>
                <w:rFonts w:hint="eastAsia" w:ascii="Times New Roman" w:hAnsi="宋体" w:eastAsia="宋体" w:cs="Times New Roman"/>
                <w:bCs w:val="0"/>
                <w:color w:val="auto"/>
                <w:kern w:val="2"/>
                <w:sz w:val="24"/>
                <w:szCs w:val="22"/>
              </w:rPr>
              <w:t>V</w:t>
            </w:r>
            <w:r>
              <w:rPr>
                <w:rFonts w:ascii="Times New Roman" w:hAnsi="宋体" w:eastAsia="宋体" w:cs="Times New Roman"/>
                <w:bCs w:val="0"/>
                <w:color w:val="auto"/>
                <w:kern w:val="2"/>
                <w:sz w:val="24"/>
                <w:szCs w:val="22"/>
              </w:rPr>
              <w:t>4为</w:t>
            </w:r>
            <w:r>
              <w:rPr>
                <w:rFonts w:ascii="Times New Roman" w:hAnsi="Times New Roman" w:eastAsia="宋体" w:cs="Times New Roman"/>
                <w:bCs w:val="0"/>
                <w:color w:val="auto"/>
                <w:kern w:val="2"/>
                <w:sz w:val="24"/>
                <w:szCs w:val="22"/>
              </w:rPr>
              <w:t>0m</w:t>
            </w:r>
            <w:r>
              <w:rPr>
                <w:rFonts w:ascii="Times New Roman" w:hAnsi="Times New Roman" w:eastAsia="宋体" w:cs="Times New Roman"/>
                <w:bCs w:val="0"/>
                <w:color w:val="auto"/>
                <w:kern w:val="2"/>
                <w:sz w:val="24"/>
                <w:szCs w:val="22"/>
                <w:vertAlign w:val="superscript"/>
              </w:rPr>
              <w:t>3</w:t>
            </w:r>
            <w:r>
              <w:rPr>
                <w:rFonts w:ascii="Times New Roman" w:hAnsi="宋体" w:eastAsia="宋体" w:cs="Times New Roman"/>
                <w:bCs w:val="0"/>
                <w:color w:val="auto"/>
                <w:kern w:val="2"/>
                <w:sz w:val="24"/>
                <w:szCs w:val="22"/>
              </w:rPr>
              <w:t>；</w:t>
            </w:r>
          </w:p>
          <w:p w14:paraId="136E3C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hint="default" w:ascii="Times New Roman" w:hAnsi="Times New Roman" w:eastAsia="宋体" w:cs="Times New Roman"/>
                <w:snapToGrid w:val="0"/>
                <w:color w:val="auto"/>
                <w:kern w:val="1"/>
                <w:sz w:val="24"/>
                <w:szCs w:val="24"/>
                <w:lang w:val="zh-CN"/>
              </w:rPr>
            </w:pPr>
            <w:r>
              <w:rPr>
                <w:rFonts w:hint="default" w:ascii="Times New Roman" w:hAnsi="Times New Roman" w:eastAsia="宋体" w:cs="Times New Roman"/>
                <w:bCs/>
                <w:color w:val="auto"/>
                <w:kern w:val="2"/>
                <w:sz w:val="24"/>
                <w:szCs w:val="22"/>
                <w:lang w:val="en-US" w:eastAsia="zh-CN" w:bidi="ar-SA"/>
              </w:rPr>
              <w:t>V5：</w:t>
            </w:r>
            <w:r>
              <w:rPr>
                <w:rFonts w:hint="default" w:ascii="Times New Roman" w:hAnsi="Times New Roman" w:cs="Times New Roman"/>
                <w:bCs/>
                <w:color w:val="auto"/>
                <w:kern w:val="2"/>
                <w:sz w:val="24"/>
                <w:szCs w:val="22"/>
                <w:lang w:val="en-US" w:eastAsia="zh-CN" w:bidi="ar-SA"/>
              </w:rPr>
              <w:t>V5=10×（849.6</w:t>
            </w:r>
            <w:r>
              <w:rPr>
                <w:rFonts w:hint="default" w:ascii="Times New Roman" w:hAnsi="Times New Roman" w:eastAsia="微软雅黑" w:cs="Times New Roman"/>
                <w:bCs/>
                <w:color w:val="auto"/>
                <w:kern w:val="2"/>
                <w:sz w:val="24"/>
                <w:szCs w:val="22"/>
                <w:lang w:val="en-US" w:eastAsia="zh-CN" w:bidi="ar-SA"/>
              </w:rPr>
              <w:t>÷</w:t>
            </w:r>
            <w:r>
              <w:rPr>
                <w:rFonts w:hint="default" w:ascii="Times New Roman" w:hAnsi="Times New Roman" w:cs="Times New Roman"/>
                <w:bCs/>
                <w:color w:val="auto"/>
                <w:kern w:val="2"/>
                <w:sz w:val="24"/>
                <w:szCs w:val="22"/>
                <w:lang w:val="en-US" w:eastAsia="zh-CN" w:bidi="ar-SA"/>
              </w:rPr>
              <w:t>84）×0.45=45.</w:t>
            </w:r>
            <w:r>
              <w:rPr>
                <w:rFonts w:hint="eastAsia" w:cs="Times New Roman"/>
                <w:bCs/>
                <w:color w:val="auto"/>
                <w:kern w:val="2"/>
                <w:sz w:val="24"/>
                <w:szCs w:val="22"/>
                <w:lang w:val="en-US" w:eastAsia="zh-CN" w:bidi="ar-SA"/>
              </w:rPr>
              <w:t>5</w:t>
            </w:r>
            <w:r>
              <w:rPr>
                <w:rFonts w:ascii="Times New Roman" w:hAnsi="Times New Roman" w:eastAsia="宋体" w:cs="Times New Roman"/>
                <w:snapToGrid w:val="0"/>
                <w:color w:val="auto"/>
                <w:sz w:val="24"/>
                <w:szCs w:val="24"/>
                <w:lang w:val="zh-CN"/>
              </w:rPr>
              <w:t>m</w:t>
            </w:r>
            <w:r>
              <w:rPr>
                <w:rFonts w:ascii="Times New Roman" w:hAnsi="Times New Roman" w:eastAsia="宋体" w:cs="Times New Roman"/>
                <w:snapToGrid w:val="0"/>
                <w:color w:val="auto"/>
                <w:sz w:val="24"/>
                <w:szCs w:val="24"/>
                <w:vertAlign w:val="superscript"/>
                <w:lang w:val="zh-CN"/>
              </w:rPr>
              <w:t>3</w:t>
            </w:r>
            <w:r>
              <w:rPr>
                <w:rFonts w:hint="default" w:ascii="Times New Roman" w:hAnsi="Times New Roman" w:eastAsia="宋体" w:cs="Times New Roman"/>
                <w:snapToGrid w:val="0"/>
                <w:color w:val="auto"/>
                <w:kern w:val="1"/>
                <w:sz w:val="24"/>
                <w:szCs w:val="24"/>
                <w:lang w:val="zh-CN"/>
              </w:rPr>
              <w:t>。</w:t>
            </w:r>
          </w:p>
          <w:p w14:paraId="6D8A66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rPr>
                <w:rFonts w:ascii="Times New Roman" w:hAnsi="Times New Roman" w:eastAsia="宋体" w:cs="Times New Roman"/>
                <w:snapToGrid w:val="0"/>
                <w:color w:val="auto"/>
                <w:kern w:val="1"/>
                <w:sz w:val="24"/>
                <w:szCs w:val="24"/>
                <w:lang w:val="zh-CN"/>
              </w:rPr>
            </w:pPr>
            <w:r>
              <w:rPr>
                <w:rFonts w:hint="eastAsia" w:ascii="Times New Roman" w:hAnsi="Times New Roman" w:eastAsia="宋体" w:cs="宋体"/>
                <w:snapToGrid w:val="0"/>
                <w:color w:val="auto"/>
                <w:kern w:val="1"/>
                <w:sz w:val="24"/>
                <w:szCs w:val="24"/>
                <w:lang w:val="zh-CN"/>
              </w:rPr>
              <w:t>则本项目需收集的事故废水量及收集设施容积见下表。</w:t>
            </w:r>
          </w:p>
          <w:p w14:paraId="111837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snapToGrid w:val="0"/>
                <w:color w:val="auto"/>
                <w:kern w:val="0"/>
                <w:sz w:val="22"/>
                <w:szCs w:val="22"/>
                <w:lang w:val="zh-CN"/>
              </w:rPr>
            </w:pPr>
            <w:r>
              <w:rPr>
                <w:rFonts w:hint="eastAsia" w:ascii="Times New Roman" w:hAnsi="Times New Roman" w:eastAsia="宋体" w:cs="宋体"/>
                <w:b/>
                <w:bCs/>
                <w:snapToGrid w:val="0"/>
                <w:color w:val="auto"/>
                <w:kern w:val="0"/>
                <w:sz w:val="22"/>
                <w:szCs w:val="22"/>
                <w:lang w:val="zh-CN"/>
              </w:rPr>
              <w:t>表</w:t>
            </w:r>
            <w:r>
              <w:rPr>
                <w:rFonts w:hint="eastAsia" w:ascii="Times New Roman" w:hAnsi="Times New Roman" w:eastAsia="宋体" w:cs="Times New Roman"/>
                <w:b/>
                <w:bCs/>
                <w:snapToGrid w:val="0"/>
                <w:color w:val="auto"/>
                <w:kern w:val="0"/>
                <w:sz w:val="22"/>
                <w:szCs w:val="22"/>
                <w:lang w:val="en-US" w:eastAsia="zh-CN"/>
              </w:rPr>
              <w:t>4-1</w:t>
            </w:r>
            <w:r>
              <w:rPr>
                <w:rFonts w:hint="eastAsia" w:cs="Times New Roman"/>
                <w:b/>
                <w:bCs/>
                <w:snapToGrid w:val="0"/>
                <w:color w:val="auto"/>
                <w:kern w:val="0"/>
                <w:sz w:val="22"/>
                <w:szCs w:val="22"/>
                <w:lang w:val="en-US" w:eastAsia="zh-CN"/>
              </w:rPr>
              <w:t>6</w:t>
            </w:r>
            <w:r>
              <w:rPr>
                <w:rFonts w:ascii="Times New Roman" w:hAnsi="Times New Roman" w:eastAsia="宋体" w:cs="Times New Roman"/>
                <w:b/>
                <w:bCs/>
                <w:snapToGrid w:val="0"/>
                <w:color w:val="auto"/>
                <w:kern w:val="0"/>
                <w:sz w:val="22"/>
                <w:szCs w:val="22"/>
                <w:lang w:val="zh-CN"/>
              </w:rPr>
              <w:t xml:space="preserve"> </w:t>
            </w:r>
            <w:r>
              <w:rPr>
                <w:rFonts w:hint="eastAsia" w:ascii="Times New Roman" w:hAnsi="Times New Roman" w:eastAsia="宋体" w:cs="宋体"/>
                <w:b/>
                <w:bCs/>
                <w:snapToGrid w:val="0"/>
                <w:color w:val="auto"/>
                <w:kern w:val="0"/>
                <w:sz w:val="22"/>
                <w:szCs w:val="22"/>
                <w:lang w:val="zh-CN"/>
              </w:rPr>
              <w:t>事故应急池容积情况</w:t>
            </w:r>
            <w:r>
              <w:rPr>
                <w:rFonts w:ascii="Times New Roman" w:hAnsi="Times New Roman" w:eastAsia="宋体" w:cs="Times New Roman"/>
                <w:b/>
                <w:bCs/>
                <w:snapToGrid w:val="0"/>
                <w:color w:val="auto"/>
                <w:kern w:val="0"/>
                <w:sz w:val="22"/>
                <w:szCs w:val="22"/>
              </w:rPr>
              <w:t xml:space="preserve">   </w:t>
            </w:r>
            <w:r>
              <w:rPr>
                <w:rFonts w:hint="eastAsia" w:ascii="Times New Roman" w:hAnsi="Times New Roman" w:eastAsia="宋体" w:cs="宋体"/>
                <w:b/>
                <w:bCs/>
                <w:snapToGrid w:val="0"/>
                <w:color w:val="auto"/>
                <w:kern w:val="0"/>
                <w:sz w:val="22"/>
                <w:szCs w:val="22"/>
              </w:rPr>
              <w:t>单位：</w:t>
            </w:r>
            <w:r>
              <w:rPr>
                <w:rFonts w:ascii="Times New Roman" w:hAnsi="Times New Roman" w:eastAsia="宋体" w:cs="Times New Roman"/>
                <w:b/>
                <w:bCs/>
                <w:snapToGrid w:val="0"/>
                <w:color w:val="auto"/>
                <w:sz w:val="22"/>
                <w:szCs w:val="22"/>
                <w:lang w:val="zh-CN"/>
              </w:rPr>
              <w:t>m</w:t>
            </w:r>
            <w:r>
              <w:rPr>
                <w:rFonts w:ascii="Times New Roman" w:hAnsi="Times New Roman" w:eastAsia="宋体" w:cs="Times New Roman"/>
                <w:b/>
                <w:bCs/>
                <w:snapToGrid w:val="0"/>
                <w:color w:val="auto"/>
                <w:sz w:val="22"/>
                <w:szCs w:val="22"/>
                <w:vertAlign w:val="superscript"/>
                <w:lang w:val="zh-CN"/>
              </w:rPr>
              <w:t>3</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796"/>
              <w:gridCol w:w="727"/>
              <w:gridCol w:w="741"/>
              <w:gridCol w:w="1550"/>
              <w:gridCol w:w="858"/>
              <w:gridCol w:w="862"/>
              <w:gridCol w:w="1110"/>
            </w:tblGrid>
            <w:tr w14:paraId="65B4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1" w:type="pct"/>
                  <w:noWrap w:val="0"/>
                  <w:vAlign w:val="center"/>
                </w:tcPr>
                <w:p w14:paraId="42A847A4">
                  <w:pPr>
                    <w:spacing w:line="240" w:lineRule="auto"/>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参数</w:t>
                  </w:r>
                </w:p>
              </w:tc>
              <w:tc>
                <w:tcPr>
                  <w:tcW w:w="487" w:type="pct"/>
                  <w:noWrap w:val="0"/>
                  <w:tcMar>
                    <w:top w:w="0" w:type="dxa"/>
                    <w:left w:w="0" w:type="dxa"/>
                    <w:bottom w:w="0" w:type="dxa"/>
                    <w:right w:w="0" w:type="dxa"/>
                  </w:tcMar>
                  <w:vAlign w:val="center"/>
                </w:tcPr>
                <w:p w14:paraId="57941928">
                  <w:pPr>
                    <w:spacing w:line="240" w:lineRule="auto"/>
                    <w:jc w:val="center"/>
                    <w:rPr>
                      <w:rFonts w:hint="default" w:ascii="Times New Roman" w:hAnsi="Times New Roman" w:eastAsia="宋体" w:cs="Times New Roman"/>
                      <w:snapToGrid w:val="0"/>
                      <w:color w:val="auto"/>
                      <w:sz w:val="21"/>
                      <w:szCs w:val="21"/>
                      <w:lang w:val="zh-CN"/>
                    </w:rPr>
                  </w:pPr>
                  <w:r>
                    <w:rPr>
                      <w:rFonts w:hint="default" w:ascii="Times New Roman" w:hAnsi="Times New Roman" w:eastAsia="宋体" w:cs="Times New Roman"/>
                      <w:snapToGrid w:val="0"/>
                      <w:color w:val="auto"/>
                      <w:sz w:val="21"/>
                      <w:szCs w:val="21"/>
                      <w:lang w:val="zh-CN"/>
                    </w:rPr>
                    <w:t>V</w:t>
                  </w:r>
                  <w:r>
                    <w:rPr>
                      <w:rFonts w:hint="default" w:ascii="Times New Roman" w:hAnsi="Times New Roman" w:eastAsia="宋体" w:cs="Times New Roman"/>
                      <w:snapToGrid w:val="0"/>
                      <w:color w:val="auto"/>
                      <w:sz w:val="21"/>
                      <w:szCs w:val="21"/>
                      <w:vertAlign w:val="subscript"/>
                      <w:lang w:val="zh-CN"/>
                    </w:rPr>
                    <w:t>1</w:t>
                  </w:r>
                </w:p>
              </w:tc>
              <w:tc>
                <w:tcPr>
                  <w:tcW w:w="445" w:type="pct"/>
                  <w:noWrap w:val="0"/>
                  <w:tcMar>
                    <w:top w:w="0" w:type="dxa"/>
                    <w:left w:w="0" w:type="dxa"/>
                    <w:bottom w:w="0" w:type="dxa"/>
                    <w:right w:w="0" w:type="dxa"/>
                  </w:tcMar>
                  <w:vAlign w:val="center"/>
                </w:tcPr>
                <w:p w14:paraId="4BE6B03B">
                  <w:pPr>
                    <w:spacing w:line="240" w:lineRule="auto"/>
                    <w:jc w:val="center"/>
                    <w:rPr>
                      <w:rFonts w:hint="default" w:ascii="Times New Roman" w:hAnsi="Times New Roman" w:eastAsia="宋体" w:cs="Times New Roman"/>
                      <w:snapToGrid w:val="0"/>
                      <w:color w:val="auto"/>
                      <w:sz w:val="21"/>
                      <w:szCs w:val="21"/>
                      <w:lang w:val="zh-CN"/>
                    </w:rPr>
                  </w:pPr>
                  <w:r>
                    <w:rPr>
                      <w:rFonts w:hint="default" w:ascii="Times New Roman" w:hAnsi="Times New Roman" w:eastAsia="宋体" w:cs="Times New Roman"/>
                      <w:snapToGrid w:val="0"/>
                      <w:color w:val="auto"/>
                      <w:sz w:val="21"/>
                      <w:szCs w:val="21"/>
                      <w:lang w:val="zh-CN"/>
                    </w:rPr>
                    <w:t>V</w:t>
                  </w:r>
                  <w:r>
                    <w:rPr>
                      <w:rFonts w:hint="default" w:ascii="Times New Roman" w:hAnsi="Times New Roman" w:eastAsia="宋体" w:cs="Times New Roman"/>
                      <w:snapToGrid w:val="0"/>
                      <w:color w:val="auto"/>
                      <w:sz w:val="21"/>
                      <w:szCs w:val="21"/>
                      <w:vertAlign w:val="subscript"/>
                      <w:lang w:val="zh-CN"/>
                    </w:rPr>
                    <w:t>2</w:t>
                  </w:r>
                </w:p>
              </w:tc>
              <w:tc>
                <w:tcPr>
                  <w:tcW w:w="453" w:type="pct"/>
                  <w:noWrap w:val="0"/>
                  <w:tcMar>
                    <w:top w:w="0" w:type="dxa"/>
                    <w:left w:w="0" w:type="dxa"/>
                    <w:bottom w:w="0" w:type="dxa"/>
                    <w:right w:w="0" w:type="dxa"/>
                  </w:tcMar>
                  <w:vAlign w:val="center"/>
                </w:tcPr>
                <w:p w14:paraId="38311EC1">
                  <w:pPr>
                    <w:spacing w:line="240" w:lineRule="auto"/>
                    <w:jc w:val="center"/>
                    <w:rPr>
                      <w:rFonts w:hint="default" w:ascii="Times New Roman" w:hAnsi="Times New Roman" w:eastAsia="宋体" w:cs="Times New Roman"/>
                      <w:snapToGrid w:val="0"/>
                      <w:color w:val="auto"/>
                      <w:sz w:val="21"/>
                      <w:szCs w:val="21"/>
                      <w:lang w:val="zh-CN"/>
                    </w:rPr>
                  </w:pPr>
                  <w:r>
                    <w:rPr>
                      <w:rFonts w:hint="default" w:ascii="Times New Roman" w:hAnsi="Times New Roman" w:eastAsia="宋体" w:cs="Times New Roman"/>
                      <w:snapToGrid w:val="0"/>
                      <w:color w:val="auto"/>
                      <w:sz w:val="21"/>
                      <w:szCs w:val="21"/>
                      <w:lang w:val="zh-CN"/>
                    </w:rPr>
                    <w:t>V</w:t>
                  </w:r>
                  <w:r>
                    <w:rPr>
                      <w:rFonts w:hint="default" w:ascii="Times New Roman" w:hAnsi="Times New Roman" w:eastAsia="宋体" w:cs="Times New Roman"/>
                      <w:snapToGrid w:val="0"/>
                      <w:color w:val="auto"/>
                      <w:sz w:val="21"/>
                      <w:szCs w:val="21"/>
                      <w:vertAlign w:val="subscript"/>
                      <w:lang w:val="zh-CN"/>
                    </w:rPr>
                    <w:t>3</w:t>
                  </w:r>
                </w:p>
              </w:tc>
              <w:tc>
                <w:tcPr>
                  <w:tcW w:w="948" w:type="pct"/>
                  <w:noWrap w:val="0"/>
                  <w:tcMar>
                    <w:top w:w="0" w:type="dxa"/>
                    <w:left w:w="0" w:type="dxa"/>
                    <w:bottom w:w="0" w:type="dxa"/>
                    <w:right w:w="0" w:type="dxa"/>
                  </w:tcMar>
                  <w:vAlign w:val="center"/>
                </w:tcPr>
                <w:p w14:paraId="5997DC05">
                  <w:pPr>
                    <w:spacing w:line="240" w:lineRule="auto"/>
                    <w:jc w:val="center"/>
                    <w:rPr>
                      <w:rFonts w:hint="default" w:ascii="Times New Roman" w:hAnsi="Times New Roman" w:eastAsia="宋体" w:cs="Times New Roman"/>
                      <w:snapToGrid w:val="0"/>
                      <w:color w:val="auto"/>
                      <w:sz w:val="21"/>
                      <w:szCs w:val="21"/>
                      <w:lang w:val="zh-CN"/>
                    </w:rPr>
                  </w:pPr>
                  <w:r>
                    <w:rPr>
                      <w:rFonts w:hint="default" w:ascii="Times New Roman" w:hAnsi="Times New Roman" w:eastAsia="宋体" w:cs="Times New Roman"/>
                      <w:snapToGrid w:val="0"/>
                      <w:color w:val="auto"/>
                      <w:sz w:val="21"/>
                      <w:szCs w:val="21"/>
                      <w:lang w:val="zh-CN"/>
                    </w:rPr>
                    <w:t>V</w:t>
                  </w:r>
                  <w:r>
                    <w:rPr>
                      <w:rFonts w:hint="default" w:ascii="Times New Roman" w:hAnsi="Times New Roman" w:eastAsia="宋体" w:cs="Times New Roman"/>
                      <w:snapToGrid w:val="0"/>
                      <w:color w:val="auto"/>
                      <w:sz w:val="21"/>
                      <w:szCs w:val="21"/>
                      <w:vertAlign w:val="subscript"/>
                      <w:lang w:val="zh-CN"/>
                    </w:rPr>
                    <w:t>1</w:t>
                  </w:r>
                  <w:r>
                    <w:rPr>
                      <w:rFonts w:hint="default" w:ascii="Times New Roman" w:hAnsi="Times New Roman" w:eastAsia="宋体" w:cs="Times New Roman"/>
                      <w:snapToGrid w:val="0"/>
                      <w:color w:val="auto"/>
                      <w:sz w:val="21"/>
                      <w:szCs w:val="21"/>
                      <w:lang w:val="zh-CN"/>
                    </w:rPr>
                    <w:t>+V</w:t>
                  </w:r>
                  <w:r>
                    <w:rPr>
                      <w:rFonts w:hint="default" w:ascii="Times New Roman" w:hAnsi="Times New Roman" w:eastAsia="宋体" w:cs="Times New Roman"/>
                      <w:snapToGrid w:val="0"/>
                      <w:color w:val="auto"/>
                      <w:sz w:val="21"/>
                      <w:szCs w:val="21"/>
                      <w:vertAlign w:val="subscript"/>
                      <w:lang w:val="zh-CN"/>
                    </w:rPr>
                    <w:t>2</w:t>
                  </w:r>
                  <w:r>
                    <w:rPr>
                      <w:rFonts w:hint="default" w:ascii="Times New Roman" w:hAnsi="Times New Roman" w:eastAsia="宋体" w:cs="Times New Roman"/>
                      <w:snapToGrid w:val="0"/>
                      <w:color w:val="auto"/>
                      <w:sz w:val="21"/>
                      <w:szCs w:val="21"/>
                      <w:lang w:val="zh-CN"/>
                    </w:rPr>
                    <w:t>-V</w:t>
                  </w:r>
                  <w:r>
                    <w:rPr>
                      <w:rFonts w:hint="default" w:ascii="Times New Roman" w:hAnsi="Times New Roman" w:eastAsia="宋体" w:cs="Times New Roman"/>
                      <w:snapToGrid w:val="0"/>
                      <w:color w:val="auto"/>
                      <w:sz w:val="21"/>
                      <w:szCs w:val="21"/>
                      <w:vertAlign w:val="subscript"/>
                      <w:lang w:val="zh-CN"/>
                    </w:rPr>
                    <w:t>3</w:t>
                  </w:r>
                </w:p>
              </w:tc>
              <w:tc>
                <w:tcPr>
                  <w:tcW w:w="525" w:type="pct"/>
                  <w:noWrap w:val="0"/>
                  <w:tcMar>
                    <w:top w:w="0" w:type="dxa"/>
                    <w:left w:w="0" w:type="dxa"/>
                    <w:bottom w:w="0" w:type="dxa"/>
                    <w:right w:w="0" w:type="dxa"/>
                  </w:tcMar>
                  <w:vAlign w:val="center"/>
                </w:tcPr>
                <w:p w14:paraId="5BBD91DD">
                  <w:pPr>
                    <w:spacing w:line="240" w:lineRule="auto"/>
                    <w:jc w:val="center"/>
                    <w:rPr>
                      <w:rFonts w:hint="default" w:ascii="Times New Roman" w:hAnsi="Times New Roman" w:eastAsia="宋体" w:cs="Times New Roman"/>
                      <w:snapToGrid w:val="0"/>
                      <w:color w:val="auto"/>
                      <w:sz w:val="21"/>
                      <w:szCs w:val="21"/>
                      <w:lang w:val="zh-CN"/>
                    </w:rPr>
                  </w:pPr>
                  <w:r>
                    <w:rPr>
                      <w:rFonts w:hint="default" w:ascii="Times New Roman" w:hAnsi="Times New Roman" w:eastAsia="宋体" w:cs="Times New Roman"/>
                      <w:snapToGrid w:val="0"/>
                      <w:color w:val="auto"/>
                      <w:sz w:val="21"/>
                      <w:szCs w:val="21"/>
                      <w:lang w:val="zh-CN"/>
                    </w:rPr>
                    <w:t>V</w:t>
                  </w:r>
                  <w:r>
                    <w:rPr>
                      <w:rFonts w:hint="default" w:ascii="Times New Roman" w:hAnsi="Times New Roman" w:eastAsia="宋体" w:cs="Times New Roman"/>
                      <w:snapToGrid w:val="0"/>
                      <w:color w:val="auto"/>
                      <w:sz w:val="21"/>
                      <w:szCs w:val="21"/>
                      <w:vertAlign w:val="subscript"/>
                      <w:lang w:val="zh-CN"/>
                    </w:rPr>
                    <w:t>4</w:t>
                  </w:r>
                </w:p>
              </w:tc>
              <w:tc>
                <w:tcPr>
                  <w:tcW w:w="527" w:type="pct"/>
                  <w:noWrap w:val="0"/>
                  <w:tcMar>
                    <w:top w:w="0" w:type="dxa"/>
                    <w:left w:w="0" w:type="dxa"/>
                    <w:bottom w:w="0" w:type="dxa"/>
                    <w:right w:w="0" w:type="dxa"/>
                  </w:tcMar>
                  <w:vAlign w:val="center"/>
                </w:tcPr>
                <w:p w14:paraId="4240DBEF">
                  <w:pPr>
                    <w:spacing w:line="240" w:lineRule="auto"/>
                    <w:jc w:val="center"/>
                    <w:rPr>
                      <w:rFonts w:hint="default" w:ascii="Times New Roman" w:hAnsi="Times New Roman" w:eastAsia="宋体" w:cs="Times New Roman"/>
                      <w:snapToGrid w:val="0"/>
                      <w:color w:val="auto"/>
                      <w:sz w:val="21"/>
                      <w:szCs w:val="21"/>
                      <w:lang w:val="zh-CN"/>
                    </w:rPr>
                  </w:pPr>
                  <w:r>
                    <w:rPr>
                      <w:rFonts w:hint="default" w:ascii="Times New Roman" w:hAnsi="Times New Roman" w:eastAsia="宋体" w:cs="Times New Roman"/>
                      <w:snapToGrid w:val="0"/>
                      <w:color w:val="auto"/>
                      <w:sz w:val="21"/>
                      <w:szCs w:val="21"/>
                      <w:lang w:val="zh-CN"/>
                    </w:rPr>
                    <w:t>V</w:t>
                  </w:r>
                  <w:r>
                    <w:rPr>
                      <w:rFonts w:hint="default" w:ascii="Times New Roman" w:hAnsi="Times New Roman" w:eastAsia="宋体" w:cs="Times New Roman"/>
                      <w:snapToGrid w:val="0"/>
                      <w:color w:val="auto"/>
                      <w:sz w:val="21"/>
                      <w:szCs w:val="21"/>
                      <w:vertAlign w:val="subscript"/>
                      <w:lang w:val="zh-CN"/>
                    </w:rPr>
                    <w:t>5</w:t>
                  </w:r>
                </w:p>
              </w:tc>
              <w:tc>
                <w:tcPr>
                  <w:tcW w:w="679" w:type="pct"/>
                  <w:noWrap w:val="0"/>
                  <w:tcMar>
                    <w:top w:w="0" w:type="dxa"/>
                    <w:left w:w="0" w:type="dxa"/>
                    <w:bottom w:w="0" w:type="dxa"/>
                    <w:right w:w="0" w:type="dxa"/>
                  </w:tcMar>
                  <w:vAlign w:val="center"/>
                </w:tcPr>
                <w:p w14:paraId="5C63AD4A">
                  <w:pPr>
                    <w:spacing w:line="240" w:lineRule="auto"/>
                    <w:jc w:val="center"/>
                    <w:rPr>
                      <w:rFonts w:hint="default" w:ascii="Times New Roman" w:hAnsi="Times New Roman" w:eastAsia="宋体" w:cs="Times New Roman"/>
                      <w:snapToGrid w:val="0"/>
                      <w:color w:val="auto"/>
                      <w:sz w:val="21"/>
                      <w:szCs w:val="21"/>
                      <w:lang w:val="zh-CN"/>
                    </w:rPr>
                  </w:pPr>
                  <w:r>
                    <w:rPr>
                      <w:rFonts w:hint="default" w:ascii="Times New Roman" w:hAnsi="Times New Roman" w:eastAsia="宋体" w:cs="Times New Roman"/>
                      <w:snapToGrid w:val="0"/>
                      <w:color w:val="auto"/>
                      <w:sz w:val="21"/>
                      <w:szCs w:val="21"/>
                      <w:lang w:val="zh-CN"/>
                    </w:rPr>
                    <w:t>V</w:t>
                  </w:r>
                  <w:r>
                    <w:rPr>
                      <w:rFonts w:hint="default" w:ascii="Times New Roman" w:hAnsi="Times New Roman" w:eastAsia="宋体" w:cs="Times New Roman"/>
                      <w:snapToGrid w:val="0"/>
                      <w:color w:val="auto"/>
                      <w:sz w:val="21"/>
                      <w:szCs w:val="21"/>
                      <w:vertAlign w:val="subscript"/>
                      <w:lang w:val="zh-CN"/>
                    </w:rPr>
                    <w:t>总</w:t>
                  </w:r>
                </w:p>
              </w:tc>
            </w:tr>
            <w:tr w14:paraId="26A0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1" w:type="pct"/>
                  <w:noWrap w:val="0"/>
                  <w:vAlign w:val="center"/>
                </w:tcPr>
                <w:p w14:paraId="137EF603">
                  <w:pPr>
                    <w:spacing w:line="240" w:lineRule="auto"/>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kern w:val="0"/>
                      <w:sz w:val="21"/>
                      <w:szCs w:val="21"/>
                    </w:rPr>
                    <w:t>取值</w:t>
                  </w:r>
                </w:p>
              </w:tc>
              <w:tc>
                <w:tcPr>
                  <w:tcW w:w="487" w:type="pct"/>
                  <w:noWrap w:val="0"/>
                  <w:tcMar>
                    <w:top w:w="0" w:type="dxa"/>
                    <w:left w:w="0" w:type="dxa"/>
                    <w:bottom w:w="0" w:type="dxa"/>
                    <w:right w:w="0" w:type="dxa"/>
                  </w:tcMar>
                  <w:vAlign w:val="center"/>
                </w:tcPr>
                <w:p w14:paraId="045BC8CC">
                  <w:pPr>
                    <w:spacing w:line="240" w:lineRule="auto"/>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0.02</w:t>
                  </w:r>
                </w:p>
              </w:tc>
              <w:tc>
                <w:tcPr>
                  <w:tcW w:w="445" w:type="pct"/>
                  <w:noWrap w:val="0"/>
                  <w:tcMar>
                    <w:top w:w="0" w:type="dxa"/>
                    <w:left w:w="0" w:type="dxa"/>
                    <w:bottom w:w="0" w:type="dxa"/>
                    <w:right w:w="0" w:type="dxa"/>
                  </w:tcMar>
                  <w:vAlign w:val="center"/>
                </w:tcPr>
                <w:p w14:paraId="040E25E4">
                  <w:pPr>
                    <w:spacing w:line="240" w:lineRule="auto"/>
                    <w:jc w:val="center"/>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kern w:val="0"/>
                      <w:sz w:val="21"/>
                      <w:szCs w:val="21"/>
                      <w:lang w:val="en-US" w:eastAsia="zh-CN"/>
                    </w:rPr>
                    <w:t>144</w:t>
                  </w:r>
                </w:p>
              </w:tc>
              <w:tc>
                <w:tcPr>
                  <w:tcW w:w="453" w:type="pct"/>
                  <w:noWrap w:val="0"/>
                  <w:tcMar>
                    <w:top w:w="0" w:type="dxa"/>
                    <w:left w:w="0" w:type="dxa"/>
                    <w:bottom w:w="0" w:type="dxa"/>
                    <w:right w:w="0" w:type="dxa"/>
                  </w:tcMar>
                  <w:vAlign w:val="center"/>
                </w:tcPr>
                <w:p w14:paraId="1B80FF3E">
                  <w:pPr>
                    <w:spacing w:line="240" w:lineRule="auto"/>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kern w:val="0"/>
                      <w:sz w:val="21"/>
                      <w:szCs w:val="21"/>
                    </w:rPr>
                    <w:t>0</w:t>
                  </w:r>
                </w:p>
              </w:tc>
              <w:tc>
                <w:tcPr>
                  <w:tcW w:w="948" w:type="pct"/>
                  <w:noWrap w:val="0"/>
                  <w:tcMar>
                    <w:top w:w="0" w:type="dxa"/>
                    <w:left w:w="0" w:type="dxa"/>
                    <w:bottom w:w="0" w:type="dxa"/>
                    <w:right w:w="0" w:type="dxa"/>
                  </w:tcMar>
                  <w:vAlign w:val="center"/>
                </w:tcPr>
                <w:p w14:paraId="0819C018">
                  <w:pPr>
                    <w:widowControl/>
                    <w:spacing w:line="240" w:lineRule="auto"/>
                    <w:jc w:val="center"/>
                    <w:textAlignment w:val="bottom"/>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144</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.02</w:t>
                  </w:r>
                </w:p>
              </w:tc>
              <w:tc>
                <w:tcPr>
                  <w:tcW w:w="525" w:type="pct"/>
                  <w:noWrap w:val="0"/>
                  <w:tcMar>
                    <w:top w:w="0" w:type="dxa"/>
                    <w:left w:w="0" w:type="dxa"/>
                    <w:bottom w:w="0" w:type="dxa"/>
                    <w:right w:w="0" w:type="dxa"/>
                  </w:tcMar>
                  <w:vAlign w:val="center"/>
                </w:tcPr>
                <w:p w14:paraId="0132AD5F">
                  <w:pPr>
                    <w:widowControl/>
                    <w:spacing w:line="240" w:lineRule="auto"/>
                    <w:jc w:val="center"/>
                    <w:textAlignment w:val="bottom"/>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0</w:t>
                  </w:r>
                </w:p>
              </w:tc>
              <w:tc>
                <w:tcPr>
                  <w:tcW w:w="527" w:type="pct"/>
                  <w:noWrap w:val="0"/>
                  <w:tcMar>
                    <w:top w:w="0" w:type="dxa"/>
                    <w:left w:w="0" w:type="dxa"/>
                    <w:bottom w:w="0" w:type="dxa"/>
                    <w:right w:w="0" w:type="dxa"/>
                  </w:tcMar>
                  <w:vAlign w:val="center"/>
                </w:tcPr>
                <w:p w14:paraId="4989152C">
                  <w:pPr>
                    <w:widowControl/>
                    <w:spacing w:line="240" w:lineRule="auto"/>
                    <w:jc w:val="center"/>
                    <w:textAlignment w:val="bottom"/>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1"/>
                      <w:sz w:val="21"/>
                      <w:szCs w:val="21"/>
                      <w:lang w:val="en-US" w:eastAsia="zh-CN"/>
                      <w14:textFill>
                        <w14:solidFill>
                          <w14:schemeClr w14:val="tx1"/>
                        </w14:solidFill>
                      </w14:textFill>
                    </w:rPr>
                    <w:t>45.5</w:t>
                  </w:r>
                </w:p>
              </w:tc>
              <w:tc>
                <w:tcPr>
                  <w:tcW w:w="679" w:type="pct"/>
                  <w:noWrap w:val="0"/>
                  <w:tcMar>
                    <w:top w:w="0" w:type="dxa"/>
                    <w:left w:w="0" w:type="dxa"/>
                    <w:bottom w:w="0" w:type="dxa"/>
                    <w:right w:w="0" w:type="dxa"/>
                  </w:tcMar>
                  <w:vAlign w:val="center"/>
                </w:tcPr>
                <w:p w14:paraId="08154807">
                  <w:pPr>
                    <w:widowControl/>
                    <w:spacing w:line="240" w:lineRule="auto"/>
                    <w:jc w:val="center"/>
                    <w:textAlignment w:val="bottom"/>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189.52</w:t>
                  </w:r>
                </w:p>
              </w:tc>
            </w:tr>
          </w:tbl>
          <w:p w14:paraId="34B1C841">
            <w:pPr>
              <w:bidi w:val="0"/>
              <w:rPr>
                <w:rFonts w:hint="eastAsia"/>
                <w:lang w:val="en-US" w:eastAsia="zh-CN"/>
              </w:rPr>
            </w:pPr>
          </w:p>
          <w:p w14:paraId="725E50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lang w:val="en-US" w:eastAsia="zh-CN"/>
              </w:rPr>
            </w:pPr>
            <w:r>
              <w:rPr>
                <w:rFonts w:hint="eastAsia" w:cs="宋体"/>
                <w:snapToGrid w:val="0"/>
                <w:color w:val="auto"/>
                <w:kern w:val="1"/>
                <w:sz w:val="24"/>
                <w:szCs w:val="24"/>
                <w:lang w:val="en-US" w:eastAsia="zh-CN"/>
              </w:rPr>
              <w:t>综上所述，建议</w:t>
            </w:r>
            <w:r>
              <w:rPr>
                <w:rFonts w:ascii="Times New Roman" w:hAnsi="Times New Roman"/>
                <w:sz w:val="24"/>
              </w:rPr>
              <w:t>单位设置</w:t>
            </w:r>
            <w:r>
              <w:rPr>
                <w:rFonts w:hint="eastAsia"/>
                <w:sz w:val="24"/>
                <w:lang w:eastAsia="zh-CN"/>
              </w:rPr>
              <w:t>事故应急池</w:t>
            </w:r>
            <w:r>
              <w:rPr>
                <w:rFonts w:ascii="Times New Roman" w:hAnsi="Times New Roman"/>
                <w:sz w:val="24"/>
              </w:rPr>
              <w:t>有效容积</w:t>
            </w:r>
            <w:r>
              <w:rPr>
                <w:rFonts w:hint="eastAsia"/>
                <w:sz w:val="24"/>
                <w:lang w:val="en-US" w:eastAsia="zh-CN"/>
              </w:rPr>
              <w:t>20</w:t>
            </w:r>
            <w:r>
              <w:rPr>
                <w:rFonts w:hint="eastAsia" w:ascii="Times New Roman" w:hAnsi="Times New Roman"/>
                <w:sz w:val="24"/>
                <w:lang w:val="en-US" w:eastAsia="zh-CN"/>
              </w:rPr>
              <w:t>0</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以上，以满足事故时消防废水、泄漏的物料暂存，避免外流进入周围环境</w:t>
            </w:r>
            <w:r>
              <w:rPr>
                <w:rFonts w:hint="eastAsia" w:cs="Times New Roman"/>
                <w:lang w:val="en-US" w:eastAsia="zh-CN"/>
              </w:rPr>
              <w:t>。</w:t>
            </w:r>
          </w:p>
          <w:p w14:paraId="4F1B76C3">
            <w:pPr>
              <w:pStyle w:val="3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lang w:val="en-US" w:eastAsia="zh-CN"/>
              </w:rPr>
            </w:pPr>
            <w:r>
              <w:rPr>
                <w:rFonts w:hint="eastAsia" w:cs="Times New Roman"/>
                <w:lang w:val="en-US" w:eastAsia="zh-CN"/>
              </w:rPr>
              <w:t>（8）根据环保部《突发环境事件应急管理办法》(环保部令第34号)、《企业事业单位突发环境事件应急预案备案管理办法(试行)》(环发(2015)4号)、《企业事业单位突发环境事件应急预案评审工作指南(试行)》的通知(环办应急(2018)8号)、环保部《关于进一步加强环境影响评价管理防范环境风险的通知》(环发(2012)77号)等的规定和要求，建议企业按有关内容和要求制定、完善突发环境事件应急预案。</w:t>
            </w:r>
          </w:p>
          <w:p w14:paraId="2AEBBDCC">
            <w:pPr>
              <w:pStyle w:val="3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lang w:val="en-US" w:eastAsia="zh-CN"/>
              </w:rPr>
            </w:pPr>
            <w:r>
              <w:rPr>
                <w:rFonts w:hint="eastAsia" w:cs="Times New Roman"/>
                <w:lang w:val="en-US" w:eastAsia="zh-CN"/>
              </w:rPr>
              <w:t>（9）生产经营单位应当制定本单位的应急预案演练计划，根据本单位的事故风险特点，每年至少组织一次综合应急预案演练或者专项应急预案演练，每半年至少组织一次现场处置方案演练。</w:t>
            </w:r>
          </w:p>
          <w:p w14:paraId="4E471ACA">
            <w:pPr>
              <w:spacing w:line="360" w:lineRule="auto"/>
              <w:jc w:val="left"/>
              <w:rPr>
                <w:rFonts w:hint="eastAsia"/>
                <w:b/>
                <w:bCs/>
                <w:sz w:val="24"/>
                <w:lang w:val="en-US" w:eastAsia="zh-CN"/>
              </w:rPr>
            </w:pPr>
            <w:r>
              <w:rPr>
                <w:rFonts w:hint="eastAsia"/>
                <w:b/>
                <w:bCs/>
                <w:sz w:val="24"/>
                <w:lang w:val="en-US" w:eastAsia="zh-CN"/>
              </w:rPr>
              <w:t>8、电磁辐射</w:t>
            </w:r>
          </w:p>
          <w:p w14:paraId="1581C0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kern w:val="0"/>
                <w:sz w:val="24"/>
                <w:szCs w:val="24"/>
                <w:lang w:eastAsia="zh-CN"/>
              </w:rPr>
            </w:pPr>
            <w:r>
              <w:rPr>
                <w:rFonts w:hint="eastAsia" w:cs="Times New Roman"/>
                <w:lang w:val="en-US" w:eastAsia="zh-CN"/>
              </w:rPr>
              <w:t>本项目不涉及</w:t>
            </w:r>
            <w:r>
              <w:rPr>
                <w:rFonts w:hint="default" w:ascii="Times New Roman" w:hAnsi="Times New Roman" w:eastAsia="宋体" w:cs="Times New Roman"/>
                <w:lang w:val="en-US" w:eastAsia="zh-CN"/>
              </w:rPr>
              <w:t>。</w:t>
            </w:r>
          </w:p>
        </w:tc>
      </w:tr>
    </w:tbl>
    <w:p w14:paraId="403A2A16">
      <w:pPr>
        <w:autoSpaceDE w:val="0"/>
        <w:autoSpaceDN w:val="0"/>
        <w:adjustRightInd w:val="0"/>
        <w:snapToGrid w:val="0"/>
        <w:spacing w:line="360" w:lineRule="auto"/>
        <w:jc w:val="left"/>
        <w:rPr>
          <w:rFonts w:hint="eastAsia"/>
          <w:b w:val="0"/>
          <w:bCs w:val="0"/>
          <w:sz w:val="24"/>
          <w:lang w:val="en-US" w:eastAsia="zh-CN"/>
        </w:rPr>
      </w:pPr>
    </w:p>
    <w:p w14:paraId="11E64559">
      <w:pPr>
        <w:autoSpaceDE w:val="0"/>
        <w:autoSpaceDN w:val="0"/>
        <w:adjustRightInd w:val="0"/>
        <w:snapToGrid w:val="0"/>
        <w:spacing w:line="360" w:lineRule="auto"/>
        <w:jc w:val="left"/>
        <w:rPr>
          <w:rFonts w:hint="eastAsia"/>
          <w:b w:val="0"/>
          <w:bCs w:val="0"/>
          <w:sz w:val="24"/>
          <w:lang w:val="en-US" w:eastAsia="zh-CN"/>
        </w:rPr>
      </w:pPr>
    </w:p>
    <w:p w14:paraId="7EEEE295">
      <w:pPr>
        <w:autoSpaceDE w:val="0"/>
        <w:autoSpaceDN w:val="0"/>
        <w:adjustRightInd w:val="0"/>
        <w:snapToGrid w:val="0"/>
        <w:spacing w:line="360" w:lineRule="auto"/>
        <w:ind w:firstLine="480" w:firstLineChars="200"/>
        <w:jc w:val="left"/>
        <w:rPr>
          <w:rFonts w:hint="eastAsia"/>
          <w:b w:val="0"/>
          <w:bCs w:val="0"/>
          <w:sz w:val="24"/>
          <w:lang w:val="en-US" w:eastAsia="zh-CN"/>
        </w:rPr>
      </w:pPr>
    </w:p>
    <w:p w14:paraId="7CA1DF2F">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0"/>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74F53AA7">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0"/>
          <w:lang w:val="en-US" w:eastAsia="zh-CN"/>
        </w:rPr>
      </w:pPr>
      <w:r>
        <w:rPr>
          <w:rFonts w:hint="eastAsia"/>
          <w:b w:val="0"/>
          <w:bCs w:val="0"/>
          <w:snapToGrid w:val="0"/>
          <w:sz w:val="30"/>
          <w:lang w:val="en-US" w:eastAsia="zh-CN"/>
        </w:rPr>
        <w:t>五、</w:t>
      </w:r>
      <w:bookmarkStart w:id="7" w:name="_Hlk54167917"/>
      <w:r>
        <w:rPr>
          <w:rFonts w:hint="eastAsia"/>
          <w:b w:val="0"/>
          <w:bCs w:val="0"/>
          <w:snapToGrid w:val="0"/>
          <w:sz w:val="30"/>
          <w:highlight w:val="none"/>
          <w:lang w:val="en-US" w:eastAsia="zh-CN"/>
        </w:rPr>
        <w:t>环境保护措施监督</w:t>
      </w:r>
      <w:r>
        <w:rPr>
          <w:rFonts w:hint="eastAsia"/>
          <w:b w:val="0"/>
          <w:bCs w:val="0"/>
          <w:snapToGrid w:val="0"/>
          <w:sz w:val="30"/>
          <w:lang w:val="en-US" w:eastAsia="zh-CN"/>
        </w:rPr>
        <w:t>检查清单</w:t>
      </w:r>
      <w:bookmarkEnd w:id="7"/>
    </w:p>
    <w:tbl>
      <w:tblPr>
        <w:tblStyle w:val="2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1604"/>
        <w:gridCol w:w="1392"/>
        <w:gridCol w:w="1869"/>
        <w:gridCol w:w="2796"/>
      </w:tblGrid>
      <w:tr w14:paraId="07936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9" w:type="dxa"/>
            <w:tcBorders>
              <w:tl2br w:val="single" w:color="auto" w:sz="4" w:space="0"/>
            </w:tcBorders>
            <w:noWrap w:val="0"/>
            <w:vAlign w:val="top"/>
          </w:tcPr>
          <w:p w14:paraId="3A88D821">
            <w:pPr>
              <w:adjustRightInd w:val="0"/>
              <w:snapToGrid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内容</w:t>
            </w:r>
          </w:p>
          <w:p w14:paraId="3FE7E644">
            <w:pPr>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要素</w:t>
            </w:r>
          </w:p>
        </w:tc>
        <w:tc>
          <w:tcPr>
            <w:tcW w:w="1604" w:type="dxa"/>
            <w:noWrap w:val="0"/>
            <w:vAlign w:val="center"/>
          </w:tcPr>
          <w:p w14:paraId="767A92FD">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排放口</w:t>
            </w:r>
            <w:r>
              <w:rPr>
                <w:rFonts w:hint="default" w:ascii="Times New Roman" w:hAnsi="Times New Roman" w:cs="Times New Roman"/>
                <w:sz w:val="24"/>
                <w:szCs w:val="24"/>
                <w:lang w:eastAsia="zh-CN"/>
              </w:rPr>
              <w:t>（</w:t>
            </w:r>
            <w:r>
              <w:rPr>
                <w:rFonts w:hint="default" w:ascii="Times New Roman" w:hAnsi="Times New Roman" w:cs="Times New Roman"/>
                <w:sz w:val="24"/>
                <w:szCs w:val="24"/>
              </w:rPr>
              <w:t>编号、名称</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污染源</w:t>
            </w:r>
          </w:p>
        </w:tc>
        <w:tc>
          <w:tcPr>
            <w:tcW w:w="1392" w:type="dxa"/>
            <w:noWrap w:val="0"/>
            <w:vAlign w:val="center"/>
          </w:tcPr>
          <w:p w14:paraId="43AC211D">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污染物项目</w:t>
            </w:r>
          </w:p>
        </w:tc>
        <w:tc>
          <w:tcPr>
            <w:tcW w:w="1869" w:type="dxa"/>
            <w:noWrap w:val="0"/>
            <w:vAlign w:val="center"/>
          </w:tcPr>
          <w:p w14:paraId="0E890458">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环境保护措施</w:t>
            </w:r>
          </w:p>
        </w:tc>
        <w:tc>
          <w:tcPr>
            <w:tcW w:w="2796" w:type="dxa"/>
            <w:noWrap w:val="0"/>
            <w:vAlign w:val="center"/>
          </w:tcPr>
          <w:p w14:paraId="63FC1E6C">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执行标准</w:t>
            </w:r>
          </w:p>
        </w:tc>
      </w:tr>
      <w:tr w14:paraId="5128A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1139" w:type="dxa"/>
            <w:vMerge w:val="restart"/>
            <w:noWrap w:val="0"/>
            <w:vAlign w:val="center"/>
          </w:tcPr>
          <w:p w14:paraId="59BB8CAB">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大气环境</w:t>
            </w:r>
          </w:p>
        </w:tc>
        <w:tc>
          <w:tcPr>
            <w:tcW w:w="1604" w:type="dxa"/>
            <w:shd w:val="clear" w:color="auto" w:fill="auto"/>
            <w:noWrap w:val="0"/>
            <w:vAlign w:val="center"/>
          </w:tcPr>
          <w:p w14:paraId="10C5B5DC">
            <w:pPr>
              <w:keepNext w:val="0"/>
              <w:keepLines w:val="0"/>
              <w:pageBreakBefore w:val="0"/>
              <w:kinsoku/>
              <w:wordWrap/>
              <w:overflowPunct/>
              <w:topLinePunct w:val="0"/>
              <w:bidi w:val="0"/>
              <w:adjustRightInd/>
              <w:snapToGrid/>
              <w:spacing w:line="240" w:lineRule="auto"/>
              <w:ind w:left="0" w:left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焊接、喷砂、喷塑</w:t>
            </w:r>
          </w:p>
        </w:tc>
        <w:tc>
          <w:tcPr>
            <w:tcW w:w="1392" w:type="dxa"/>
            <w:shd w:val="clear" w:color="auto" w:fill="auto"/>
            <w:noWrap w:val="0"/>
            <w:vAlign w:val="center"/>
          </w:tcPr>
          <w:p w14:paraId="1A3A779D">
            <w:pPr>
              <w:keepNext w:val="0"/>
              <w:keepLines w:val="0"/>
              <w:pageBreakBefore w:val="0"/>
              <w:kinsoku/>
              <w:wordWrap/>
              <w:overflowPunct/>
              <w:topLinePunct w:val="0"/>
              <w:autoSpaceDE w:val="0"/>
              <w:autoSpaceDN w:val="0"/>
              <w:bidi w:val="0"/>
              <w:adjustRightInd/>
              <w:snapToGrid/>
              <w:spacing w:line="240" w:lineRule="auto"/>
              <w:ind w:left="0" w:leftChars="0"/>
              <w:jc w:val="center"/>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lang w:eastAsia="zh-CN"/>
              </w:rPr>
              <w:t>颗粒物</w:t>
            </w:r>
          </w:p>
        </w:tc>
        <w:tc>
          <w:tcPr>
            <w:tcW w:w="1869" w:type="dxa"/>
            <w:shd w:val="clear" w:color="auto" w:fill="auto"/>
            <w:noWrap w:val="0"/>
            <w:vAlign w:val="center"/>
          </w:tcPr>
          <w:p w14:paraId="68FBC22F">
            <w:pPr>
              <w:keepNext w:val="0"/>
              <w:keepLines w:val="0"/>
              <w:pageBreakBefore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sz w:val="24"/>
                <w:szCs w:val="24"/>
              </w:rPr>
            </w:pPr>
            <w:r>
              <w:rPr>
                <w:rFonts w:hint="eastAsia" w:cs="Times New Roman"/>
                <w:color w:val="auto"/>
                <w:sz w:val="24"/>
                <w:szCs w:val="24"/>
                <w:lang w:val="en-US" w:eastAsia="zh-CN"/>
              </w:rPr>
              <w:t>布袋</w:t>
            </w:r>
            <w:r>
              <w:rPr>
                <w:rFonts w:hint="default" w:ascii="Times New Roman" w:hAnsi="Times New Roman" w:eastAsia="宋体" w:cs="Times New Roman"/>
                <w:color w:val="auto"/>
                <w:sz w:val="24"/>
                <w:szCs w:val="24"/>
                <w:lang w:val="en-US" w:eastAsia="zh-CN"/>
              </w:rPr>
              <w:t>除尘器处理后</w:t>
            </w:r>
            <w:r>
              <w:rPr>
                <w:rFonts w:hint="eastAsia" w:cs="Times New Roman"/>
                <w:color w:val="auto"/>
                <w:sz w:val="24"/>
                <w:szCs w:val="24"/>
                <w:lang w:val="en-US" w:eastAsia="zh-CN"/>
              </w:rPr>
              <w:t>经24</w:t>
            </w:r>
            <w:r>
              <w:rPr>
                <w:rFonts w:hint="default" w:ascii="Times New Roman" w:hAnsi="Times New Roman" w:eastAsia="宋体" w:cs="Times New Roman"/>
                <w:color w:val="auto"/>
                <w:sz w:val="24"/>
                <w:szCs w:val="24"/>
                <w:lang w:val="en-US" w:eastAsia="zh-CN"/>
              </w:rPr>
              <w:t>m高排气筒（DA00</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）排放</w:t>
            </w:r>
          </w:p>
        </w:tc>
        <w:tc>
          <w:tcPr>
            <w:tcW w:w="2796" w:type="dxa"/>
            <w:shd w:val="clear" w:color="auto" w:fill="auto"/>
            <w:noWrap w:val="0"/>
            <w:vAlign w:val="center"/>
          </w:tcPr>
          <w:p w14:paraId="1223874D">
            <w:pPr>
              <w:adjustRightInd w:val="0"/>
              <w:snapToGrid w:val="0"/>
              <w:jc w:val="center"/>
              <w:rPr>
                <w:rFonts w:hint="default" w:ascii="Times New Roman" w:hAnsi="Times New Roman" w:cs="Times New Roman"/>
                <w:sz w:val="24"/>
                <w:szCs w:val="24"/>
              </w:rPr>
            </w:pPr>
            <w:r>
              <w:rPr>
                <w:rFonts w:ascii="Times New Roman" w:hAnsi="Times New Roman"/>
                <w:sz w:val="24"/>
                <w:szCs w:val="24"/>
              </w:rPr>
              <w:t>《大气污染物综合排放标准》（GB16297-1996）</w:t>
            </w:r>
          </w:p>
        </w:tc>
      </w:tr>
      <w:tr w14:paraId="35E5B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1139" w:type="dxa"/>
            <w:vMerge w:val="continue"/>
            <w:noWrap w:val="0"/>
            <w:vAlign w:val="center"/>
          </w:tcPr>
          <w:p w14:paraId="7CD0544C">
            <w:pPr>
              <w:adjustRightInd w:val="0"/>
              <w:snapToGrid w:val="0"/>
              <w:jc w:val="center"/>
              <w:rPr>
                <w:rFonts w:hint="default" w:ascii="Times New Roman" w:hAnsi="Times New Roman" w:cs="Times New Roman"/>
                <w:sz w:val="24"/>
                <w:szCs w:val="24"/>
                <w:lang w:val="en-US" w:eastAsia="zh-CN"/>
              </w:rPr>
            </w:pPr>
          </w:p>
        </w:tc>
        <w:tc>
          <w:tcPr>
            <w:tcW w:w="1604" w:type="dxa"/>
            <w:noWrap w:val="0"/>
            <w:vAlign w:val="center"/>
          </w:tcPr>
          <w:p w14:paraId="7EC37E43">
            <w:pPr>
              <w:keepNext w:val="0"/>
              <w:keepLines w:val="0"/>
              <w:pageBreakBefore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sz w:val="24"/>
                <w:szCs w:val="24"/>
                <w:lang w:val="en-US" w:eastAsia="zh-CN"/>
              </w:rPr>
            </w:pPr>
            <w:r>
              <w:rPr>
                <w:rFonts w:hint="eastAsia" w:cs="Times New Roman"/>
                <w:color w:val="auto"/>
                <w:sz w:val="24"/>
                <w:szCs w:val="24"/>
                <w:lang w:val="en-US" w:eastAsia="zh-CN"/>
              </w:rPr>
              <w:t>喷漆（含喷枪清洗、调漆、晾干）</w:t>
            </w:r>
          </w:p>
        </w:tc>
        <w:tc>
          <w:tcPr>
            <w:tcW w:w="1392" w:type="dxa"/>
            <w:noWrap w:val="0"/>
            <w:vAlign w:val="center"/>
          </w:tcPr>
          <w:p w14:paraId="27F44FA8">
            <w:pPr>
              <w:keepNext w:val="0"/>
              <w:keepLines w:val="0"/>
              <w:pageBreakBefore w:val="0"/>
              <w:kinsoku/>
              <w:wordWrap/>
              <w:overflowPunct/>
              <w:topLinePunct w:val="0"/>
              <w:autoSpaceDE w:val="0"/>
              <w:autoSpaceDN w:val="0"/>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eastAsia" w:cs="Times New Roman"/>
                <w:i w:val="0"/>
                <w:iCs w:val="0"/>
                <w:color w:val="000000"/>
                <w:kern w:val="0"/>
                <w:sz w:val="24"/>
                <w:szCs w:val="24"/>
                <w:u w:val="none"/>
                <w:lang w:val="en-US" w:eastAsia="zh-CN" w:bidi="ar"/>
              </w:rPr>
              <w:t>漆雾、VOCs、二甲苯、乙酸丁酯</w:t>
            </w:r>
          </w:p>
        </w:tc>
        <w:tc>
          <w:tcPr>
            <w:tcW w:w="1869" w:type="dxa"/>
            <w:vMerge w:val="restart"/>
            <w:noWrap w:val="0"/>
            <w:vAlign w:val="center"/>
          </w:tcPr>
          <w:p w14:paraId="38D814B2">
            <w:pPr>
              <w:keepNext w:val="0"/>
              <w:keepLines w:val="0"/>
              <w:pageBreakBefore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空间密闭+管道负压收集，经</w:t>
            </w:r>
            <w:r>
              <w:rPr>
                <w:rFonts w:hint="eastAsia" w:cs="Times New Roman"/>
                <w:sz w:val="24"/>
                <w:szCs w:val="24"/>
                <w:lang w:val="en-US" w:eastAsia="zh-CN"/>
              </w:rPr>
              <w:t>过滤棉+吸附脱附催化燃烧设施</w:t>
            </w:r>
            <w:r>
              <w:rPr>
                <w:rFonts w:hint="default" w:ascii="Times New Roman" w:hAnsi="Times New Roman" w:cs="Times New Roman"/>
                <w:sz w:val="24"/>
                <w:szCs w:val="24"/>
                <w:lang w:val="en-US" w:eastAsia="zh-CN"/>
              </w:rPr>
              <w:t>处理后，最终通过2</w:t>
            </w:r>
            <w:r>
              <w:rPr>
                <w:rFonts w:hint="eastAsia" w:cs="Times New Roman"/>
                <w:sz w:val="24"/>
                <w:szCs w:val="24"/>
                <w:lang w:val="en-US" w:eastAsia="zh-CN"/>
              </w:rPr>
              <w:t>4m</w:t>
            </w:r>
            <w:r>
              <w:rPr>
                <w:rFonts w:hint="default" w:ascii="Times New Roman" w:hAnsi="Times New Roman" w:cs="Times New Roman"/>
                <w:sz w:val="24"/>
                <w:szCs w:val="24"/>
                <w:lang w:val="en-US" w:eastAsia="zh-CN"/>
              </w:rPr>
              <w:t>高排气筒</w:t>
            </w:r>
            <w:r>
              <w:rPr>
                <w:rFonts w:hint="default" w:ascii="Times New Roman" w:hAnsi="Times New Roman" w:eastAsia="宋体" w:cs="Times New Roman"/>
                <w:color w:val="auto"/>
                <w:sz w:val="24"/>
                <w:szCs w:val="24"/>
                <w:lang w:val="en-US" w:eastAsia="zh-CN"/>
              </w:rPr>
              <w:t>（DA001）</w:t>
            </w:r>
            <w:r>
              <w:rPr>
                <w:rFonts w:hint="default" w:ascii="Times New Roman" w:hAnsi="Times New Roman" w:cs="Times New Roman"/>
                <w:sz w:val="24"/>
                <w:szCs w:val="24"/>
                <w:lang w:val="en-US" w:eastAsia="zh-CN"/>
              </w:rPr>
              <w:t>排放</w:t>
            </w:r>
          </w:p>
        </w:tc>
        <w:tc>
          <w:tcPr>
            <w:tcW w:w="2796" w:type="dxa"/>
            <w:vMerge w:val="restart"/>
            <w:noWrap w:val="0"/>
            <w:vAlign w:val="center"/>
          </w:tcPr>
          <w:p w14:paraId="66A0F77D">
            <w:pPr>
              <w:adjustRightInd w:val="0"/>
              <w:snapToGrid w:val="0"/>
              <w:jc w:val="center"/>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固定源挥发性有机物综合排放标准第6部分：其他行业</w:t>
            </w:r>
            <w:r>
              <w:rPr>
                <w:rFonts w:hint="default" w:ascii="Times New Roman" w:hAnsi="Times New Roman" w:cs="Times New Roman"/>
                <w:color w:val="auto"/>
                <w:sz w:val="24"/>
                <w:szCs w:val="24"/>
              </w:rPr>
              <w:t>》（</w:t>
            </w:r>
            <w:r>
              <w:rPr>
                <w:rFonts w:hint="eastAsia" w:cs="Times New Roman"/>
                <w:color w:val="auto"/>
                <w:sz w:val="24"/>
                <w:szCs w:val="24"/>
                <w:lang w:val="en-US" w:eastAsia="zh-CN"/>
              </w:rPr>
              <w:t>D</w:t>
            </w:r>
            <w:r>
              <w:rPr>
                <w:rFonts w:hint="default" w:ascii="Times New Roman" w:hAnsi="Times New Roman" w:cs="Times New Roman"/>
                <w:color w:val="auto"/>
                <w:sz w:val="24"/>
                <w:szCs w:val="24"/>
              </w:rPr>
              <w:t>B</w:t>
            </w:r>
            <w:r>
              <w:rPr>
                <w:rFonts w:hint="eastAsia" w:cs="Times New Roman"/>
                <w:color w:val="auto"/>
                <w:sz w:val="24"/>
                <w:szCs w:val="24"/>
                <w:lang w:val="en-US" w:eastAsia="zh-CN"/>
              </w:rPr>
              <w:t>34/4812.6</w:t>
            </w:r>
            <w:r>
              <w:rPr>
                <w:rFonts w:hint="default" w:ascii="Times New Roman" w:hAnsi="Times New Roman" w:cs="Times New Roman"/>
                <w:color w:val="auto"/>
                <w:sz w:val="24"/>
                <w:szCs w:val="24"/>
              </w:rPr>
              <w:t>-</w:t>
            </w:r>
            <w:r>
              <w:rPr>
                <w:rFonts w:hint="eastAsia" w:cs="Times New Roman"/>
                <w:color w:val="auto"/>
                <w:sz w:val="24"/>
                <w:szCs w:val="24"/>
                <w:lang w:val="en-US" w:eastAsia="zh-CN"/>
              </w:rPr>
              <w:t>2024</w:t>
            </w:r>
            <w:r>
              <w:rPr>
                <w:rFonts w:hint="default" w:ascii="Times New Roman" w:hAnsi="Times New Roman" w:cs="Times New Roman"/>
                <w:color w:val="auto"/>
                <w:sz w:val="24"/>
                <w:szCs w:val="24"/>
              </w:rPr>
              <w:t>）</w:t>
            </w:r>
            <w:r>
              <w:rPr>
                <w:rFonts w:hint="eastAsia" w:cs="Times New Roman"/>
                <w:color w:val="auto"/>
                <w:sz w:val="24"/>
                <w:szCs w:val="24"/>
                <w:lang w:eastAsia="zh-CN"/>
              </w:rPr>
              <w:t>；</w:t>
            </w:r>
            <w:r>
              <w:rPr>
                <w:rFonts w:hint="default" w:ascii="Times New Roman" w:hAnsi="Times New Roman" w:cs="Times New Roman"/>
                <w:color w:val="auto"/>
                <w:sz w:val="24"/>
                <w:szCs w:val="24"/>
              </w:rPr>
              <w:t>《大气污染物综合排放标准》（GB16297-1996）</w:t>
            </w:r>
          </w:p>
        </w:tc>
      </w:tr>
      <w:tr w14:paraId="376ED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9" w:type="dxa"/>
            <w:vMerge w:val="continue"/>
            <w:noWrap w:val="0"/>
            <w:vAlign w:val="center"/>
          </w:tcPr>
          <w:p w14:paraId="46F8824A">
            <w:pPr>
              <w:adjustRightInd w:val="0"/>
              <w:snapToGrid w:val="0"/>
              <w:jc w:val="center"/>
              <w:rPr>
                <w:rFonts w:hint="default" w:ascii="Times New Roman" w:hAnsi="Times New Roman" w:cs="Times New Roman"/>
                <w:sz w:val="24"/>
                <w:szCs w:val="24"/>
              </w:rPr>
            </w:pPr>
          </w:p>
        </w:tc>
        <w:tc>
          <w:tcPr>
            <w:tcW w:w="1604" w:type="dxa"/>
            <w:noWrap w:val="0"/>
            <w:vAlign w:val="center"/>
          </w:tcPr>
          <w:p w14:paraId="463905BB">
            <w:pPr>
              <w:keepNext w:val="0"/>
              <w:keepLines w:val="0"/>
              <w:pageBreakBefore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sz w:val="24"/>
                <w:szCs w:val="24"/>
                <w:lang w:val="en-US" w:eastAsia="zh-CN"/>
              </w:rPr>
            </w:pPr>
            <w:r>
              <w:rPr>
                <w:rFonts w:hint="eastAsia" w:cs="Times New Roman"/>
                <w:color w:val="auto"/>
                <w:sz w:val="24"/>
                <w:szCs w:val="24"/>
                <w:lang w:val="en-US" w:eastAsia="zh-CN"/>
              </w:rPr>
              <w:t>烘干、</w:t>
            </w:r>
            <w:r>
              <w:rPr>
                <w:rFonts w:hint="eastAsia" w:cs="Times New Roman"/>
                <w:sz w:val="24"/>
                <w:szCs w:val="24"/>
                <w:lang w:val="en-US" w:eastAsia="zh-CN"/>
              </w:rPr>
              <w:t>浇注固化</w:t>
            </w:r>
          </w:p>
        </w:tc>
        <w:tc>
          <w:tcPr>
            <w:tcW w:w="1392" w:type="dxa"/>
            <w:noWrap w:val="0"/>
            <w:vAlign w:val="center"/>
          </w:tcPr>
          <w:p w14:paraId="44704ABE">
            <w:pPr>
              <w:keepNext w:val="0"/>
              <w:keepLines w:val="0"/>
              <w:pageBreakBefore w:val="0"/>
              <w:kinsoku/>
              <w:wordWrap/>
              <w:overflowPunct/>
              <w:topLinePunct w:val="0"/>
              <w:autoSpaceDE w:val="0"/>
              <w:autoSpaceDN w:val="0"/>
              <w:bidi w:val="0"/>
              <w:adjustRightInd/>
              <w:snapToGrid/>
              <w:spacing w:line="240" w:lineRule="auto"/>
              <w:ind w:left="0" w:leftChars="0"/>
              <w:jc w:val="center"/>
              <w:textAlignment w:val="auto"/>
              <w:rPr>
                <w:rFonts w:hint="default" w:ascii="Times New Roman" w:hAnsi="Times New Roman" w:eastAsia="宋体" w:cs="Times New Roman"/>
                <w:sz w:val="24"/>
                <w:szCs w:val="24"/>
                <w:lang w:val="en-US" w:eastAsia="zh-CN"/>
              </w:rPr>
            </w:pPr>
            <w:r>
              <w:rPr>
                <w:rFonts w:hint="eastAsia" w:cs="Times New Roman"/>
                <w:i w:val="0"/>
                <w:iCs w:val="0"/>
                <w:color w:val="000000"/>
                <w:kern w:val="0"/>
                <w:sz w:val="24"/>
                <w:szCs w:val="24"/>
                <w:u w:val="none"/>
                <w:lang w:val="en-US" w:eastAsia="zh-CN" w:bidi="ar"/>
              </w:rPr>
              <w:t>VOCs</w:t>
            </w:r>
          </w:p>
        </w:tc>
        <w:tc>
          <w:tcPr>
            <w:tcW w:w="1869" w:type="dxa"/>
            <w:vMerge w:val="continue"/>
            <w:noWrap w:val="0"/>
            <w:vAlign w:val="center"/>
          </w:tcPr>
          <w:p w14:paraId="380F6CBF">
            <w:pPr>
              <w:keepNext w:val="0"/>
              <w:keepLines w:val="0"/>
              <w:pageBreakBefore w:val="0"/>
              <w:kinsoku/>
              <w:wordWrap/>
              <w:overflowPunct/>
              <w:topLinePunct w:val="0"/>
              <w:bidi w:val="0"/>
              <w:adjustRightInd/>
              <w:snapToGrid/>
              <w:spacing w:line="240" w:lineRule="auto"/>
              <w:ind w:left="0" w:leftChars="0"/>
              <w:jc w:val="center"/>
              <w:textAlignment w:val="auto"/>
              <w:rPr>
                <w:rFonts w:hint="default" w:ascii="Times New Roman" w:hAnsi="Times New Roman" w:cs="Times New Roman"/>
                <w:sz w:val="24"/>
                <w:szCs w:val="24"/>
              </w:rPr>
            </w:pPr>
          </w:p>
        </w:tc>
        <w:tc>
          <w:tcPr>
            <w:tcW w:w="2796" w:type="dxa"/>
            <w:vMerge w:val="continue"/>
            <w:noWrap w:val="0"/>
            <w:vAlign w:val="center"/>
          </w:tcPr>
          <w:p w14:paraId="76F53FD6">
            <w:pPr>
              <w:adjustRightInd w:val="0"/>
              <w:snapToGrid w:val="0"/>
              <w:jc w:val="center"/>
              <w:rPr>
                <w:rFonts w:hint="default" w:ascii="Times New Roman" w:hAnsi="Times New Roman" w:cs="Times New Roman"/>
                <w:sz w:val="24"/>
                <w:szCs w:val="24"/>
              </w:rPr>
            </w:pPr>
          </w:p>
        </w:tc>
      </w:tr>
      <w:tr w14:paraId="34257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9" w:type="dxa"/>
            <w:noWrap w:val="0"/>
            <w:vAlign w:val="center"/>
          </w:tcPr>
          <w:p w14:paraId="76CBDF4B">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地表水环境</w:t>
            </w:r>
          </w:p>
        </w:tc>
        <w:tc>
          <w:tcPr>
            <w:tcW w:w="1604" w:type="dxa"/>
            <w:noWrap w:val="0"/>
            <w:vAlign w:val="center"/>
          </w:tcPr>
          <w:p w14:paraId="79C44F84">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生活污水排放口</w:t>
            </w:r>
            <w:r>
              <w:rPr>
                <w:rFonts w:hint="default" w:ascii="Times New Roman" w:hAnsi="Times New Roman" w:cs="Times New Roman"/>
                <w:sz w:val="24"/>
                <w:szCs w:val="24"/>
              </w:rPr>
              <w:t>DW001</w:t>
            </w:r>
          </w:p>
        </w:tc>
        <w:tc>
          <w:tcPr>
            <w:tcW w:w="1392" w:type="dxa"/>
            <w:noWrap w:val="0"/>
            <w:vAlign w:val="center"/>
          </w:tcPr>
          <w:p w14:paraId="3E4F8888">
            <w:pPr>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color w:val="auto"/>
                <w:sz w:val="24"/>
                <w:szCs w:val="24"/>
              </w:rPr>
              <w:t>pH、COD、BOD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w:t>
            </w:r>
            <w:r>
              <w:rPr>
                <w:rFonts w:hint="eastAsia" w:cs="Times New Roman"/>
                <w:color w:val="auto"/>
                <w:sz w:val="24"/>
                <w:szCs w:val="24"/>
                <w:lang w:val="en-US" w:eastAsia="zh-CN"/>
              </w:rPr>
              <w:t>SS</w:t>
            </w:r>
            <w:r>
              <w:rPr>
                <w:rFonts w:hint="default" w:ascii="Times New Roman" w:hAnsi="Times New Roman" w:cs="Times New Roman"/>
                <w:color w:val="auto"/>
                <w:sz w:val="24"/>
                <w:szCs w:val="24"/>
              </w:rPr>
              <w:t>、氨氮</w:t>
            </w:r>
          </w:p>
        </w:tc>
        <w:tc>
          <w:tcPr>
            <w:tcW w:w="1869" w:type="dxa"/>
            <w:noWrap w:val="0"/>
            <w:vAlign w:val="center"/>
          </w:tcPr>
          <w:p w14:paraId="32D8F024">
            <w:pPr>
              <w:adjustRightInd w:val="0"/>
              <w:snapToGrid w:val="0"/>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iCs/>
                <w:color w:val="auto"/>
                <w:sz w:val="24"/>
                <w:szCs w:val="24"/>
              </w:rPr>
              <w:t>化粪池</w:t>
            </w:r>
          </w:p>
        </w:tc>
        <w:tc>
          <w:tcPr>
            <w:tcW w:w="2796" w:type="dxa"/>
            <w:noWrap w:val="0"/>
            <w:vAlign w:val="center"/>
          </w:tcPr>
          <w:p w14:paraId="31BEB20F">
            <w:pPr>
              <w:adjustRightInd w:val="0"/>
              <w:snapToGrid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《污水综合排放标准》（GB 8978-1996）三级标准</w:t>
            </w:r>
            <w:r>
              <w:rPr>
                <w:rFonts w:hint="default" w:ascii="Times New Roman" w:hAnsi="Times New Roman" w:cs="Times New Roman"/>
                <w:color w:val="000000"/>
                <w:sz w:val="24"/>
                <w:szCs w:val="24"/>
                <w:lang w:val="en-US" w:eastAsia="zh-CN"/>
              </w:rPr>
              <w:t>及污水处理厂接管标准</w:t>
            </w:r>
          </w:p>
        </w:tc>
      </w:tr>
      <w:tr w14:paraId="2E22C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9" w:type="dxa"/>
            <w:noWrap w:val="0"/>
            <w:vAlign w:val="center"/>
          </w:tcPr>
          <w:p w14:paraId="045D430F">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声环境</w:t>
            </w:r>
          </w:p>
        </w:tc>
        <w:tc>
          <w:tcPr>
            <w:tcW w:w="1604" w:type="dxa"/>
            <w:noWrap w:val="0"/>
            <w:vAlign w:val="center"/>
          </w:tcPr>
          <w:p w14:paraId="73B14B24">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厂界</w:t>
            </w:r>
            <w:r>
              <w:rPr>
                <w:rFonts w:hint="default" w:ascii="Times New Roman" w:hAnsi="Times New Roman" w:cs="Times New Roman"/>
                <w:sz w:val="24"/>
                <w:szCs w:val="24"/>
                <w:lang w:val="en-US" w:eastAsia="zh-CN"/>
              </w:rPr>
              <w:t>噪声</w:t>
            </w:r>
          </w:p>
        </w:tc>
        <w:tc>
          <w:tcPr>
            <w:tcW w:w="1392" w:type="dxa"/>
            <w:noWrap w:val="0"/>
            <w:vAlign w:val="center"/>
          </w:tcPr>
          <w:p w14:paraId="6409E1E1">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连续等效A声级Leq</w:t>
            </w:r>
          </w:p>
        </w:tc>
        <w:tc>
          <w:tcPr>
            <w:tcW w:w="1869" w:type="dxa"/>
            <w:noWrap w:val="0"/>
            <w:vAlign w:val="center"/>
          </w:tcPr>
          <w:p w14:paraId="66C469DD">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选用低噪声设备、消声装置、基础减震、房屋隔声、距离衰减</w:t>
            </w:r>
          </w:p>
        </w:tc>
        <w:tc>
          <w:tcPr>
            <w:tcW w:w="2796" w:type="dxa"/>
            <w:noWrap w:val="0"/>
            <w:vAlign w:val="center"/>
          </w:tcPr>
          <w:p w14:paraId="740C1BDA">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《工业企业厂界环境噪声排放标准》（GB12348-2008）中</w:t>
            </w:r>
            <w:r>
              <w:rPr>
                <w:rFonts w:hint="eastAsia" w:cs="Times New Roman"/>
                <w:sz w:val="24"/>
                <w:szCs w:val="24"/>
                <w:lang w:val="en-US" w:eastAsia="zh-CN"/>
              </w:rPr>
              <w:t>3</w:t>
            </w:r>
            <w:r>
              <w:rPr>
                <w:rFonts w:hint="default" w:ascii="Times New Roman" w:hAnsi="Times New Roman" w:cs="Times New Roman"/>
                <w:sz w:val="24"/>
                <w:szCs w:val="24"/>
              </w:rPr>
              <w:t>类区标准</w:t>
            </w:r>
          </w:p>
        </w:tc>
      </w:tr>
      <w:tr w14:paraId="0D6AB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9" w:type="dxa"/>
            <w:noWrap w:val="0"/>
            <w:vAlign w:val="center"/>
          </w:tcPr>
          <w:p w14:paraId="103527B0">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电磁辐射</w:t>
            </w:r>
          </w:p>
        </w:tc>
        <w:tc>
          <w:tcPr>
            <w:tcW w:w="7661" w:type="dxa"/>
            <w:gridSpan w:val="4"/>
            <w:noWrap w:val="0"/>
            <w:vAlign w:val="center"/>
          </w:tcPr>
          <w:p w14:paraId="29D2FF79">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w:t>
            </w:r>
          </w:p>
        </w:tc>
      </w:tr>
      <w:tr w14:paraId="101CC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39" w:type="dxa"/>
            <w:noWrap w:val="0"/>
            <w:vAlign w:val="center"/>
          </w:tcPr>
          <w:p w14:paraId="3B089079">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固体废物</w:t>
            </w:r>
          </w:p>
        </w:tc>
        <w:tc>
          <w:tcPr>
            <w:tcW w:w="7661" w:type="dxa"/>
            <w:gridSpan w:val="4"/>
            <w:noWrap w:val="0"/>
            <w:vAlign w:val="center"/>
          </w:tcPr>
          <w:p w14:paraId="68237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lang w:val="en-US" w:eastAsia="zh-CN"/>
              </w:rPr>
            </w:pPr>
            <w:r>
              <w:rPr>
                <w:rFonts w:hint="eastAsia" w:cs="Times New Roman"/>
                <w:color w:val="auto"/>
                <w:kern w:val="2"/>
                <w:sz w:val="24"/>
                <w:szCs w:val="24"/>
                <w:lang w:val="en-US" w:eastAsia="zh-CN" w:bidi="ar-SA"/>
              </w:rPr>
              <w:t>废液压油（桶）、</w:t>
            </w:r>
            <w:r>
              <w:rPr>
                <w:rFonts w:hint="eastAsia" w:ascii="Times New Roman" w:hAnsi="Times New Roman" w:cs="Times New Roman"/>
                <w:color w:val="auto"/>
                <w:kern w:val="2"/>
                <w:sz w:val="24"/>
                <w:szCs w:val="24"/>
                <w:lang w:val="en-US" w:eastAsia="zh-CN" w:bidi="ar-SA"/>
              </w:rPr>
              <w:t>废漆桶</w:t>
            </w:r>
            <w:r>
              <w:rPr>
                <w:rFonts w:hint="eastAsia" w:cs="Times New Roman"/>
                <w:sz w:val="24"/>
                <w:szCs w:val="24"/>
                <w:lang w:val="en-US" w:eastAsia="zh-CN"/>
              </w:rPr>
              <w:t>、废过滤棉、漆渣、废切削液、废封装料桶、含油抹布及手套等</w:t>
            </w:r>
            <w:r>
              <w:rPr>
                <w:rFonts w:hint="default" w:ascii="Times New Roman" w:hAnsi="Times New Roman" w:cs="Times New Roman"/>
                <w:sz w:val="24"/>
                <w:szCs w:val="24"/>
                <w:lang w:val="en-US" w:eastAsia="zh-CN"/>
              </w:rPr>
              <w:t>存至危废暂存</w:t>
            </w:r>
            <w:r>
              <w:rPr>
                <w:rFonts w:hint="eastAsia" w:cs="Times New Roman"/>
                <w:sz w:val="24"/>
                <w:szCs w:val="24"/>
                <w:lang w:val="en-US" w:eastAsia="zh-CN"/>
              </w:rPr>
              <w:t>间</w:t>
            </w:r>
            <w:r>
              <w:rPr>
                <w:rFonts w:hint="default" w:ascii="Times New Roman" w:hAnsi="Times New Roman" w:cs="Times New Roman"/>
                <w:sz w:val="24"/>
                <w:szCs w:val="24"/>
                <w:lang w:val="en-US" w:eastAsia="zh-CN"/>
              </w:rPr>
              <w:t>内，定期交由有资质单位进行处理；</w:t>
            </w:r>
            <w:r>
              <w:rPr>
                <w:rFonts w:hint="eastAsia" w:cs="Times New Roman"/>
                <w:sz w:val="24"/>
                <w:szCs w:val="24"/>
                <w:lang w:val="en-US" w:eastAsia="zh-CN"/>
              </w:rPr>
              <w:t>废边角料、收集尘、废布袋、粉末涂料包装物</w:t>
            </w:r>
            <w:r>
              <w:rPr>
                <w:rFonts w:hint="default" w:ascii="Times New Roman" w:hAnsi="Times New Roman" w:cs="Times New Roman"/>
                <w:sz w:val="24"/>
                <w:szCs w:val="24"/>
                <w:lang w:val="en-US" w:eastAsia="zh-CN"/>
              </w:rPr>
              <w:t>暂存至</w:t>
            </w:r>
            <w:r>
              <w:rPr>
                <w:rFonts w:hint="eastAsia" w:ascii="Times New Roman" w:hAnsi="Times New Roman" w:cs="Times New Roman"/>
                <w:sz w:val="24"/>
                <w:szCs w:val="24"/>
                <w:lang w:val="en-US" w:eastAsia="zh-CN"/>
              </w:rPr>
              <w:t>一般固废间</w:t>
            </w:r>
            <w:r>
              <w:rPr>
                <w:rFonts w:hint="default" w:ascii="Times New Roman" w:hAnsi="Times New Roman" w:cs="Times New Roman"/>
                <w:b w:val="0"/>
                <w:bCs w:val="0"/>
                <w:sz w:val="24"/>
                <w:szCs w:val="24"/>
                <w:lang w:val="en-US" w:eastAsia="zh-CN"/>
              </w:rPr>
              <w:t>，定期</w:t>
            </w:r>
            <w:r>
              <w:rPr>
                <w:rFonts w:hint="eastAsia" w:cs="Times New Roman"/>
                <w:b w:val="0"/>
                <w:bCs w:val="0"/>
                <w:sz w:val="24"/>
                <w:szCs w:val="24"/>
                <w:lang w:val="en-US" w:eastAsia="zh-CN"/>
              </w:rPr>
              <w:t>外售</w:t>
            </w:r>
            <w:r>
              <w:rPr>
                <w:rFonts w:hint="default" w:ascii="Times New Roman" w:hAnsi="Times New Roman" w:cs="Times New Roman"/>
                <w:b w:val="0"/>
                <w:bCs w:val="0"/>
                <w:sz w:val="24"/>
                <w:szCs w:val="24"/>
                <w:lang w:val="en-US" w:eastAsia="zh-CN"/>
              </w:rPr>
              <w:t>。</w:t>
            </w:r>
          </w:p>
        </w:tc>
      </w:tr>
      <w:tr w14:paraId="6AD6F1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139" w:type="dxa"/>
            <w:noWrap w:val="0"/>
            <w:vAlign w:val="center"/>
          </w:tcPr>
          <w:p w14:paraId="06AB78FD">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土壤及地下水</w:t>
            </w:r>
          </w:p>
          <w:p w14:paraId="4D11586B">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污染防治措施</w:t>
            </w:r>
          </w:p>
        </w:tc>
        <w:tc>
          <w:tcPr>
            <w:tcW w:w="7661" w:type="dxa"/>
            <w:gridSpan w:val="4"/>
            <w:noWrap w:val="0"/>
            <w:vAlign w:val="center"/>
          </w:tcPr>
          <w:p w14:paraId="6B587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化学品</w:t>
            </w:r>
            <w:r>
              <w:rPr>
                <w:rFonts w:hint="eastAsia" w:cs="Times New Roman"/>
                <w:sz w:val="24"/>
                <w:szCs w:val="24"/>
                <w:lang w:val="en-US" w:eastAsia="zh-CN"/>
              </w:rPr>
              <w:t>库</w:t>
            </w:r>
            <w:r>
              <w:rPr>
                <w:rFonts w:hint="default" w:ascii="Times New Roman" w:hAnsi="Times New Roman" w:eastAsia="宋体" w:cs="Times New Roman"/>
                <w:sz w:val="24"/>
                <w:szCs w:val="24"/>
                <w:lang w:val="en-US" w:eastAsia="zh-CN"/>
              </w:rPr>
              <w:t>、喷漆房</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事故</w:t>
            </w:r>
            <w:r>
              <w:rPr>
                <w:rFonts w:hint="eastAsia" w:cs="Times New Roman"/>
                <w:sz w:val="24"/>
                <w:szCs w:val="24"/>
                <w:lang w:val="en-US" w:eastAsia="zh-CN"/>
              </w:rPr>
              <w:t>应急</w:t>
            </w:r>
            <w:r>
              <w:rPr>
                <w:rFonts w:hint="default" w:ascii="Times New Roman" w:hAnsi="Times New Roman" w:eastAsia="宋体" w:cs="Times New Roman"/>
                <w:sz w:val="24"/>
                <w:szCs w:val="24"/>
                <w:lang w:val="en-US" w:eastAsia="zh-CN"/>
              </w:rPr>
              <w:t>池和危废暂存间做重点防渗处理；</w:t>
            </w:r>
            <w:r>
              <w:rPr>
                <w:rFonts w:hint="eastAsia" w:ascii="Times New Roman" w:hAnsi="Times New Roman" w:eastAsia="宋体" w:cs="Times New Roman"/>
                <w:sz w:val="24"/>
                <w:szCs w:val="24"/>
                <w:lang w:val="en-US" w:eastAsia="zh-CN"/>
              </w:rPr>
              <w:t>其他生产区域</w:t>
            </w:r>
            <w:r>
              <w:rPr>
                <w:rFonts w:hint="default" w:ascii="Times New Roman" w:hAnsi="Times New Roman" w:eastAsia="宋体" w:cs="Times New Roman"/>
                <w:sz w:val="24"/>
                <w:szCs w:val="24"/>
                <w:lang w:val="en-US" w:eastAsia="zh-CN"/>
              </w:rPr>
              <w:t>做一般防渗处理。</w:t>
            </w:r>
          </w:p>
        </w:tc>
      </w:tr>
      <w:tr w14:paraId="004B7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39" w:type="dxa"/>
            <w:noWrap w:val="0"/>
            <w:vAlign w:val="center"/>
          </w:tcPr>
          <w:p w14:paraId="51DDCCE3">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生态保护措施</w:t>
            </w:r>
          </w:p>
        </w:tc>
        <w:tc>
          <w:tcPr>
            <w:tcW w:w="7661" w:type="dxa"/>
            <w:gridSpan w:val="4"/>
            <w:noWrap w:val="0"/>
            <w:vAlign w:val="center"/>
          </w:tcPr>
          <w:p w14:paraId="77A0BAC2">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无</w:t>
            </w:r>
          </w:p>
        </w:tc>
      </w:tr>
      <w:tr w14:paraId="000AB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39" w:type="dxa"/>
            <w:noWrap w:val="0"/>
            <w:vAlign w:val="center"/>
          </w:tcPr>
          <w:p w14:paraId="1DCACB20">
            <w:pPr>
              <w:adjustRightInd w:val="0"/>
              <w:snapToGrid w:val="0"/>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环境风险</w:t>
            </w:r>
          </w:p>
          <w:p w14:paraId="153D5BBD">
            <w:pPr>
              <w:adjustRightInd w:val="0"/>
              <w:snapToGrid w:val="0"/>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防范措施</w:t>
            </w:r>
          </w:p>
        </w:tc>
        <w:tc>
          <w:tcPr>
            <w:tcW w:w="7661" w:type="dxa"/>
            <w:gridSpan w:val="4"/>
            <w:noWrap w:val="0"/>
            <w:vAlign w:val="center"/>
          </w:tcPr>
          <w:p w14:paraId="465CC40D">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cs="Times New Roman"/>
                <w:color w:val="000000" w:themeColor="text1"/>
                <w:sz w:val="24"/>
                <w:szCs w:val="24"/>
                <w:lang w:val="en-US" w:eastAsia="zh-CN"/>
                <w14:textFill>
                  <w14:solidFill>
                    <w14:schemeClr w14:val="tx1"/>
                  </w14:solidFill>
                </w14:textFill>
              </w:rPr>
              <w:t>加强培训，落实责任到人</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配备消防栓、灭火器等应急物资</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建设事故应急池200m</w:t>
            </w:r>
            <w:r>
              <w:rPr>
                <w:rFonts w:hint="eastAsia" w:cs="Times New Roman"/>
                <w:color w:val="000000" w:themeColor="text1"/>
                <w:sz w:val="24"/>
                <w:szCs w:val="24"/>
                <w:vertAlign w:val="superscript"/>
                <w:lang w:val="en-US" w:eastAsia="zh-CN"/>
                <w14:textFill>
                  <w14:solidFill>
                    <w14:schemeClr w14:val="tx1"/>
                  </w14:solidFill>
                </w14:textFill>
              </w:rPr>
              <w:t>3</w:t>
            </w:r>
          </w:p>
        </w:tc>
      </w:tr>
      <w:tr w14:paraId="1F51A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39" w:type="dxa"/>
            <w:noWrap w:val="0"/>
            <w:vAlign w:val="center"/>
          </w:tcPr>
          <w:p w14:paraId="067FC58A">
            <w:pPr>
              <w:adjustRightInd w:val="0"/>
              <w:snapToGrid w:val="0"/>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其他环境</w:t>
            </w:r>
          </w:p>
          <w:p w14:paraId="279135C9">
            <w:pPr>
              <w:adjustRightInd w:val="0"/>
              <w:snapToGrid w:val="0"/>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管理要求</w:t>
            </w:r>
          </w:p>
        </w:tc>
        <w:tc>
          <w:tcPr>
            <w:tcW w:w="7661" w:type="dxa"/>
            <w:gridSpan w:val="4"/>
            <w:noWrap w:val="0"/>
            <w:vAlign w:val="center"/>
          </w:tcPr>
          <w:p w14:paraId="7917A5C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1、环境管理</w:t>
            </w:r>
            <w:r>
              <w:rPr>
                <w:rFonts w:hint="eastAsia" w:cs="Times New Roman"/>
                <w:sz w:val="24"/>
                <w:szCs w:val="24"/>
                <w:lang w:val="en-US" w:eastAsia="zh-CN"/>
              </w:rPr>
              <w:t>要求</w:t>
            </w:r>
          </w:p>
          <w:p w14:paraId="7B4D9B55">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rPr>
            </w:pPr>
            <w:r>
              <w:rPr>
                <w:rFonts w:hint="eastAsia"/>
                <w:color w:val="auto"/>
                <w:sz w:val="24"/>
                <w:szCs w:val="24"/>
              </w:rPr>
              <w:t>①企业应做好环境教育和技术培训，提高员工的环保意识和技术水平，对员工定期进行环保培训，提高全员的安全和环境保护意识。</w:t>
            </w:r>
          </w:p>
          <w:p w14:paraId="0A13B986">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rPr>
            </w:pPr>
            <w:r>
              <w:rPr>
                <w:rFonts w:hint="eastAsia"/>
                <w:color w:val="auto"/>
                <w:sz w:val="24"/>
                <w:szCs w:val="24"/>
              </w:rPr>
              <w:t>②建设污染治理设施的管理、运行环境管理记录制度。建立健全岗位责任制，制定正确的操作规程、建立管理台帐，制定环境保护工作的长期规划。</w:t>
            </w:r>
          </w:p>
          <w:p w14:paraId="6D836F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eastAsia"/>
                <w:color w:val="auto"/>
                <w:sz w:val="24"/>
                <w:szCs w:val="24"/>
              </w:rPr>
              <w:t>③必须确保污染治理设施长期、稳定、有效地运行，不得擅自拆除或者闲置污染治理设施，不得故意不正常使用污染治理设施。定期对污染物处理排放设备进行维修、保养，严格控制污染物的排放</w:t>
            </w:r>
            <w:r>
              <w:rPr>
                <w:rFonts w:hint="default" w:ascii="Times New Roman" w:hAnsi="Times New Roman" w:cs="Times New Roman"/>
                <w:sz w:val="24"/>
                <w:szCs w:val="24"/>
              </w:rPr>
              <w:t>。</w:t>
            </w:r>
          </w:p>
          <w:p w14:paraId="61017EB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2、排污管理内容</w:t>
            </w:r>
          </w:p>
          <w:p w14:paraId="2802AB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sz w:val="24"/>
                <w:szCs w:val="24"/>
                <w:lang w:val="en-US" w:eastAsia="zh-CN"/>
              </w:rPr>
            </w:pPr>
            <w:r>
              <w:rPr>
                <w:rFonts w:hint="eastAsia" w:ascii="Times New Roman" w:hAnsi="Times New Roman" w:eastAsia="宋体" w:cs="Times New Roman"/>
                <w:lang w:val="en-US" w:eastAsia="zh-CN"/>
              </w:rPr>
              <w:t>依据《国民经济行业分类》（GB/T 4754-2017）及《2017国民经济行业分类注释》，本项目属于</w:t>
            </w:r>
            <w:r>
              <w:rPr>
                <w:rFonts w:hint="eastAsia"/>
                <w:bCs/>
                <w:sz w:val="24"/>
                <w:szCs w:val="24"/>
                <w:highlight w:val="none"/>
                <w:lang w:val="en-US" w:eastAsia="zh-CN"/>
              </w:rPr>
              <w:t>[C3461]烘炉、熔炉及电炉制造</w:t>
            </w:r>
            <w:r>
              <w:rPr>
                <w:rFonts w:hint="eastAsia" w:ascii="Times New Roman" w:hAnsi="Times New Roman" w:eastAsia="宋体" w:cs="Times New Roman"/>
                <w:lang w:val="en-US" w:eastAsia="zh-CN"/>
              </w:rPr>
              <w:t>。根据《固定污染源排污许可分类管理名录》（2019年版），属于“</w:t>
            </w:r>
            <w:r>
              <w:rPr>
                <w:rFonts w:hint="default" w:ascii="Times New Roman" w:hAnsi="Times New Roman" w:eastAsia="宋体" w:cs="Times New Roman"/>
                <w:lang w:val="en-US" w:eastAsia="zh-CN"/>
              </w:rPr>
              <w:t>二十九、通用设备制造业 34</w:t>
            </w:r>
            <w:r>
              <w:rPr>
                <w:rFonts w:hint="eastAsia" w:ascii="Times New Roman" w:hAnsi="Times New Roman" w:eastAsia="宋体" w:cs="Times New Roman"/>
                <w:lang w:val="en-US" w:eastAsia="zh-CN"/>
              </w:rPr>
              <w:t xml:space="preserve"> —83 烘炉、风机、包装等设备制造 346—其他”，为登记管理。排污单位应在实际投入生产或发生排污前完成排污许可登记管理相关手续</w:t>
            </w:r>
            <w:r>
              <w:rPr>
                <w:rFonts w:hint="eastAsia" w:cs="Times New Roman"/>
                <w:lang w:val="en-US" w:eastAsia="zh-CN"/>
              </w:rPr>
              <w:t>。</w:t>
            </w:r>
          </w:p>
          <w:p w14:paraId="7A981E6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24"/>
                <w:szCs w:val="24"/>
              </w:rPr>
            </w:pPr>
            <w:r>
              <w:rPr>
                <w:rFonts w:hint="eastAsia" w:cs="Times New Roman"/>
                <w:sz w:val="24"/>
                <w:szCs w:val="24"/>
                <w:lang w:val="en-US" w:eastAsia="zh-CN"/>
              </w:rPr>
              <w:t>3</w:t>
            </w:r>
            <w:r>
              <w:rPr>
                <w:rFonts w:hint="default" w:ascii="Times New Roman" w:hAnsi="Times New Roman" w:cs="Times New Roman"/>
                <w:sz w:val="24"/>
                <w:szCs w:val="24"/>
              </w:rPr>
              <w:t>、排污口规范化管理</w:t>
            </w:r>
          </w:p>
          <w:p w14:paraId="273610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lang w:eastAsia="zh-CN"/>
              </w:rPr>
            </w:pPr>
            <w:r>
              <w:rPr>
                <w:rFonts w:hint="eastAsia"/>
                <w:color w:val="auto"/>
                <w:sz w:val="24"/>
                <w:szCs w:val="24"/>
              </w:rPr>
              <w:t>各污染排放口应按规范实施，明确采样口位置，设立环保图形标志、废气污染治理设施进出口均设置采样孔及采样平台；一般工业固体废物暂存区及危废暂存区设置环保图形标志；设置噪声相关环保图形标志</w:t>
            </w:r>
            <w:r>
              <w:rPr>
                <w:rFonts w:hint="default" w:ascii="Times New Roman" w:hAnsi="Times New Roman" w:cs="Times New Roman"/>
                <w:sz w:val="24"/>
                <w:szCs w:val="24"/>
                <w:lang w:eastAsia="zh-CN"/>
              </w:rPr>
              <w:t>。</w:t>
            </w:r>
          </w:p>
          <w:p w14:paraId="303A6F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default" w:ascii="Times New Roman" w:hAnsi="Times New Roman" w:cs="Times New Roman"/>
                <w:b/>
                <w:kern w:val="0"/>
                <w:sz w:val="21"/>
                <w:szCs w:val="21"/>
                <w:lang w:val="en-US" w:eastAsia="zh-CN"/>
              </w:rPr>
              <w:t>5-1</w:t>
            </w:r>
            <w:r>
              <w:rPr>
                <w:rFonts w:hint="default" w:ascii="Times New Roman" w:hAnsi="Times New Roman" w:eastAsia="宋体" w:cs="Times New Roman"/>
                <w:b/>
                <w:bCs/>
                <w:sz w:val="21"/>
                <w:szCs w:val="21"/>
                <w:lang w:val="en-US" w:eastAsia="zh-CN"/>
              </w:rPr>
              <w:t xml:space="preserve">  环境保护图形标志的形状及颜色表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2050"/>
              <w:gridCol w:w="1818"/>
              <w:gridCol w:w="1778"/>
            </w:tblGrid>
            <w:tr w14:paraId="5157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3" w:type="pct"/>
                  <w:vAlign w:val="center"/>
                </w:tcPr>
                <w:p w14:paraId="3CDB073C">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标志名称</w:t>
                  </w:r>
                </w:p>
              </w:tc>
              <w:tc>
                <w:tcPr>
                  <w:tcW w:w="1378" w:type="pct"/>
                  <w:vAlign w:val="center"/>
                </w:tcPr>
                <w:p w14:paraId="39B15320">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形状</w:t>
                  </w:r>
                </w:p>
              </w:tc>
              <w:tc>
                <w:tcPr>
                  <w:tcW w:w="1222" w:type="pct"/>
                  <w:vAlign w:val="center"/>
                </w:tcPr>
                <w:p w14:paraId="62CED3A8">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背景颜色</w:t>
                  </w:r>
                </w:p>
              </w:tc>
              <w:tc>
                <w:tcPr>
                  <w:tcW w:w="1195" w:type="pct"/>
                  <w:vAlign w:val="center"/>
                </w:tcPr>
                <w:p w14:paraId="339AB67D">
                  <w:pPr>
                    <w:adjustRightInd w:val="0"/>
                    <w:snapToGrid w:val="0"/>
                    <w:spacing w:line="240" w:lineRule="auto"/>
                    <w:jc w:val="center"/>
                    <w:rPr>
                      <w:rFonts w:ascii="Times New Roman" w:hAnsi="Times New Roman" w:eastAsia="宋体"/>
                      <w:b/>
                      <w:bCs/>
                      <w:color w:val="auto"/>
                      <w:sz w:val="21"/>
                      <w:szCs w:val="21"/>
                    </w:rPr>
                  </w:pPr>
                  <w:r>
                    <w:rPr>
                      <w:rFonts w:ascii="Times New Roman" w:hAnsi="Times New Roman" w:eastAsia="宋体"/>
                      <w:b/>
                      <w:bCs/>
                      <w:color w:val="auto"/>
                      <w:sz w:val="21"/>
                      <w:szCs w:val="21"/>
                    </w:rPr>
                    <w:t>图形颜色</w:t>
                  </w:r>
                </w:p>
              </w:tc>
            </w:tr>
            <w:tr w14:paraId="3666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3" w:type="pct"/>
                  <w:vAlign w:val="center"/>
                </w:tcPr>
                <w:p w14:paraId="2AA74564">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警告标志</w:t>
                  </w:r>
                </w:p>
              </w:tc>
              <w:tc>
                <w:tcPr>
                  <w:tcW w:w="1378" w:type="pct"/>
                  <w:vAlign w:val="center"/>
                </w:tcPr>
                <w:p w14:paraId="6E1DE045">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三角形边框</w:t>
                  </w:r>
                </w:p>
              </w:tc>
              <w:tc>
                <w:tcPr>
                  <w:tcW w:w="1222" w:type="pct"/>
                  <w:vAlign w:val="center"/>
                </w:tcPr>
                <w:p w14:paraId="0B31BA32">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黄色</w:t>
                  </w:r>
                </w:p>
              </w:tc>
              <w:tc>
                <w:tcPr>
                  <w:tcW w:w="1195" w:type="pct"/>
                  <w:vAlign w:val="center"/>
                </w:tcPr>
                <w:p w14:paraId="0DC0BED9">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黑色</w:t>
                  </w:r>
                </w:p>
              </w:tc>
            </w:tr>
            <w:tr w14:paraId="319F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3" w:type="pct"/>
                  <w:vAlign w:val="center"/>
                </w:tcPr>
                <w:p w14:paraId="0C5FC3A4">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提示标志</w:t>
                  </w:r>
                </w:p>
              </w:tc>
              <w:tc>
                <w:tcPr>
                  <w:tcW w:w="1378" w:type="pct"/>
                  <w:vAlign w:val="center"/>
                </w:tcPr>
                <w:p w14:paraId="50E120D3">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正方形边框</w:t>
                  </w:r>
                </w:p>
              </w:tc>
              <w:tc>
                <w:tcPr>
                  <w:tcW w:w="1222" w:type="pct"/>
                  <w:vAlign w:val="center"/>
                </w:tcPr>
                <w:p w14:paraId="67B52BF8">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绿色</w:t>
                  </w:r>
                </w:p>
              </w:tc>
              <w:tc>
                <w:tcPr>
                  <w:tcW w:w="1195" w:type="pct"/>
                  <w:vAlign w:val="center"/>
                </w:tcPr>
                <w:p w14:paraId="2C64C9D2">
                  <w:pPr>
                    <w:adjustRightInd w:val="0"/>
                    <w:snapToGrid w:val="0"/>
                    <w:spacing w:line="240" w:lineRule="auto"/>
                    <w:jc w:val="center"/>
                    <w:rPr>
                      <w:rFonts w:ascii="Times New Roman" w:hAnsi="Times New Roman" w:eastAsia="宋体"/>
                      <w:color w:val="auto"/>
                      <w:sz w:val="21"/>
                      <w:szCs w:val="21"/>
                    </w:rPr>
                  </w:pPr>
                  <w:r>
                    <w:rPr>
                      <w:rFonts w:ascii="Times New Roman" w:hAnsi="Times New Roman" w:eastAsia="宋体"/>
                      <w:color w:val="auto"/>
                      <w:sz w:val="21"/>
                      <w:szCs w:val="21"/>
                    </w:rPr>
                    <w:t>白色</w:t>
                  </w:r>
                </w:p>
              </w:tc>
            </w:tr>
          </w:tbl>
          <w:p w14:paraId="74D7571C">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cs="Times New Roman"/>
                <w:b/>
                <w:kern w:val="0"/>
                <w:sz w:val="24"/>
                <w:szCs w:val="24"/>
                <w:highlight w:val="red"/>
              </w:rPr>
            </w:pPr>
            <w:r>
              <w:rPr>
                <w:rFonts w:hint="default" w:ascii="Times New Roman" w:hAnsi="Times New Roman" w:eastAsia="宋体" w:cs="Times New Roman"/>
                <w:b/>
                <w:bCs/>
                <w:sz w:val="21"/>
                <w:szCs w:val="21"/>
                <w:lang w:val="en-US" w:eastAsia="zh-CN"/>
              </w:rPr>
              <w:t>表</w:t>
            </w:r>
            <w:r>
              <w:rPr>
                <w:rFonts w:hint="default" w:ascii="Times New Roman" w:hAnsi="Times New Roman" w:cs="Times New Roman"/>
                <w:b/>
                <w:kern w:val="0"/>
                <w:sz w:val="21"/>
                <w:szCs w:val="21"/>
                <w:lang w:val="en-US" w:eastAsia="zh-CN"/>
              </w:rPr>
              <w:t>5-</w:t>
            </w:r>
            <w:r>
              <w:rPr>
                <w:rFonts w:hint="eastAsia" w:cs="Times New Roman"/>
                <w:b/>
                <w:kern w:val="0"/>
                <w:sz w:val="21"/>
                <w:szCs w:val="21"/>
                <w:lang w:val="en-US" w:eastAsia="zh-CN"/>
              </w:rPr>
              <w:t>2</w:t>
            </w:r>
            <w:r>
              <w:rPr>
                <w:rFonts w:hint="default" w:ascii="Times New Roman" w:hAnsi="Times New Roman" w:eastAsia="宋体" w:cs="Times New Roman"/>
                <w:b/>
                <w:bCs/>
                <w:sz w:val="21"/>
                <w:szCs w:val="21"/>
                <w:lang w:val="en-US" w:eastAsia="zh-CN"/>
              </w:rPr>
              <w:t xml:space="preserve">  环境保护图形标志一览表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2098"/>
              <w:gridCol w:w="2321"/>
              <w:gridCol w:w="1151"/>
              <w:gridCol w:w="1305"/>
            </w:tblGrid>
            <w:tr w14:paraId="3AA3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tcBorders>
                    <w:tl2br w:val="nil"/>
                    <w:tr2bl w:val="nil"/>
                  </w:tcBorders>
                  <w:noWrap w:val="0"/>
                  <w:tcMar>
                    <w:top w:w="57" w:type="dxa"/>
                    <w:left w:w="57" w:type="dxa"/>
                    <w:bottom w:w="57" w:type="dxa"/>
                    <w:right w:w="57" w:type="dxa"/>
                  </w:tcMar>
                  <w:vAlign w:val="center"/>
                </w:tcPr>
                <w:p w14:paraId="36D44E3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bCs w:val="0"/>
                      <w:color w:val="000000"/>
                      <w:kern w:val="2"/>
                      <w:sz w:val="21"/>
                      <w:szCs w:val="21"/>
                      <w:highlight w:val="none"/>
                      <w:lang w:val="en-US" w:eastAsia="zh-CN"/>
                    </w:rPr>
                  </w:pPr>
                  <w:r>
                    <w:rPr>
                      <w:rFonts w:hint="default" w:ascii="Times New Roman" w:hAnsi="Times New Roman" w:eastAsia="宋体" w:cs="Times New Roman"/>
                      <w:b/>
                      <w:bCs w:val="0"/>
                      <w:color w:val="000000"/>
                      <w:kern w:val="2"/>
                      <w:sz w:val="21"/>
                      <w:szCs w:val="21"/>
                      <w:highlight w:val="none"/>
                      <w:lang w:val="en-US" w:eastAsia="zh-CN"/>
                    </w:rPr>
                    <w:t>序号</w:t>
                  </w:r>
                </w:p>
              </w:tc>
              <w:tc>
                <w:tcPr>
                  <w:tcW w:w="1411" w:type="pct"/>
                  <w:tcBorders>
                    <w:tl2br w:val="nil"/>
                    <w:tr2bl w:val="nil"/>
                  </w:tcBorders>
                  <w:noWrap w:val="0"/>
                  <w:tcMar>
                    <w:top w:w="57" w:type="dxa"/>
                    <w:left w:w="57" w:type="dxa"/>
                    <w:bottom w:w="57" w:type="dxa"/>
                    <w:right w:w="57" w:type="dxa"/>
                  </w:tcMar>
                  <w:vAlign w:val="center"/>
                </w:tcPr>
                <w:p w14:paraId="6002B32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bCs w:val="0"/>
                      <w:color w:val="000000"/>
                      <w:kern w:val="2"/>
                      <w:sz w:val="21"/>
                      <w:szCs w:val="21"/>
                      <w:highlight w:val="none"/>
                      <w:lang w:val="en-US" w:eastAsia="zh-CN"/>
                    </w:rPr>
                  </w:pPr>
                  <w:r>
                    <w:rPr>
                      <w:rFonts w:hint="default" w:ascii="Times New Roman" w:hAnsi="Times New Roman" w:eastAsia="宋体" w:cs="Times New Roman"/>
                      <w:b/>
                      <w:bCs w:val="0"/>
                      <w:color w:val="000000"/>
                      <w:kern w:val="2"/>
                      <w:sz w:val="21"/>
                      <w:szCs w:val="21"/>
                      <w:highlight w:val="none"/>
                      <w:lang w:val="en-US" w:eastAsia="zh-CN"/>
                    </w:rPr>
                    <w:t>提示图形符号</w:t>
                  </w:r>
                </w:p>
              </w:tc>
              <w:tc>
                <w:tcPr>
                  <w:tcW w:w="1561" w:type="pct"/>
                  <w:tcBorders>
                    <w:tl2br w:val="nil"/>
                    <w:tr2bl w:val="nil"/>
                  </w:tcBorders>
                  <w:noWrap w:val="0"/>
                  <w:tcMar>
                    <w:top w:w="57" w:type="dxa"/>
                    <w:left w:w="57" w:type="dxa"/>
                    <w:bottom w:w="57" w:type="dxa"/>
                    <w:right w:w="57" w:type="dxa"/>
                  </w:tcMar>
                  <w:vAlign w:val="center"/>
                </w:tcPr>
                <w:p w14:paraId="4A66E8E4">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bCs w:val="0"/>
                      <w:color w:val="000000"/>
                      <w:kern w:val="2"/>
                      <w:sz w:val="21"/>
                      <w:szCs w:val="21"/>
                      <w:highlight w:val="none"/>
                      <w:lang w:val="en-US" w:eastAsia="zh-CN"/>
                    </w:rPr>
                  </w:pPr>
                  <w:r>
                    <w:rPr>
                      <w:rFonts w:hint="default" w:ascii="Times New Roman" w:hAnsi="Times New Roman" w:eastAsia="宋体" w:cs="Times New Roman"/>
                      <w:b/>
                      <w:bCs w:val="0"/>
                      <w:color w:val="000000"/>
                      <w:kern w:val="2"/>
                      <w:sz w:val="21"/>
                      <w:szCs w:val="21"/>
                      <w:highlight w:val="none"/>
                      <w:lang w:val="en-US" w:eastAsia="zh-CN"/>
                    </w:rPr>
                    <w:t>警告图形符号</w:t>
                  </w:r>
                </w:p>
              </w:tc>
              <w:tc>
                <w:tcPr>
                  <w:tcW w:w="774" w:type="pct"/>
                  <w:tcBorders>
                    <w:tl2br w:val="nil"/>
                    <w:tr2bl w:val="nil"/>
                  </w:tcBorders>
                  <w:noWrap w:val="0"/>
                  <w:tcMar>
                    <w:top w:w="57" w:type="dxa"/>
                    <w:left w:w="57" w:type="dxa"/>
                    <w:bottom w:w="57" w:type="dxa"/>
                    <w:right w:w="57" w:type="dxa"/>
                  </w:tcMar>
                  <w:vAlign w:val="center"/>
                </w:tcPr>
                <w:p w14:paraId="0783D93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bCs w:val="0"/>
                      <w:color w:val="000000"/>
                      <w:kern w:val="2"/>
                      <w:sz w:val="21"/>
                      <w:szCs w:val="21"/>
                      <w:highlight w:val="none"/>
                      <w:lang w:val="en-US" w:eastAsia="zh-CN"/>
                    </w:rPr>
                  </w:pPr>
                  <w:r>
                    <w:rPr>
                      <w:rFonts w:hint="default" w:ascii="Times New Roman" w:hAnsi="Times New Roman" w:eastAsia="宋体" w:cs="Times New Roman"/>
                      <w:b/>
                      <w:bCs w:val="0"/>
                      <w:color w:val="000000"/>
                      <w:kern w:val="2"/>
                      <w:sz w:val="21"/>
                      <w:szCs w:val="21"/>
                      <w:highlight w:val="none"/>
                      <w:lang w:val="en-US" w:eastAsia="zh-CN"/>
                    </w:rPr>
                    <w:t>名称</w:t>
                  </w:r>
                </w:p>
              </w:tc>
              <w:tc>
                <w:tcPr>
                  <w:tcW w:w="877" w:type="pct"/>
                  <w:tcBorders>
                    <w:tl2br w:val="nil"/>
                    <w:tr2bl w:val="nil"/>
                  </w:tcBorders>
                  <w:noWrap w:val="0"/>
                  <w:tcMar>
                    <w:top w:w="57" w:type="dxa"/>
                    <w:left w:w="57" w:type="dxa"/>
                    <w:bottom w:w="57" w:type="dxa"/>
                    <w:right w:w="57" w:type="dxa"/>
                  </w:tcMar>
                  <w:vAlign w:val="center"/>
                </w:tcPr>
                <w:p w14:paraId="70D6307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bCs w:val="0"/>
                      <w:color w:val="000000"/>
                      <w:kern w:val="2"/>
                      <w:sz w:val="21"/>
                      <w:szCs w:val="21"/>
                      <w:highlight w:val="none"/>
                      <w:lang w:val="en-US" w:eastAsia="zh-CN"/>
                    </w:rPr>
                  </w:pPr>
                  <w:r>
                    <w:rPr>
                      <w:rFonts w:hint="default" w:ascii="Times New Roman" w:hAnsi="Times New Roman" w:eastAsia="宋体" w:cs="Times New Roman"/>
                      <w:b/>
                      <w:bCs w:val="0"/>
                      <w:color w:val="000000"/>
                      <w:kern w:val="2"/>
                      <w:sz w:val="21"/>
                      <w:szCs w:val="21"/>
                      <w:highlight w:val="none"/>
                      <w:lang w:val="en-US" w:eastAsia="zh-CN"/>
                    </w:rPr>
                    <w:t>功能</w:t>
                  </w:r>
                </w:p>
              </w:tc>
            </w:tr>
            <w:tr w14:paraId="5FFA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tcBorders>
                    <w:tl2br w:val="nil"/>
                    <w:tr2bl w:val="nil"/>
                  </w:tcBorders>
                  <w:noWrap w:val="0"/>
                  <w:tcMar>
                    <w:top w:w="57" w:type="dxa"/>
                    <w:left w:w="57" w:type="dxa"/>
                    <w:bottom w:w="57" w:type="dxa"/>
                    <w:right w:w="57" w:type="dxa"/>
                  </w:tcMar>
                  <w:vAlign w:val="center"/>
                </w:tcPr>
                <w:p w14:paraId="73542E8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000000"/>
                      <w:kern w:val="2"/>
                      <w:sz w:val="21"/>
                      <w:szCs w:val="21"/>
                      <w:highlight w:val="none"/>
                      <w:lang w:val="en-US" w:eastAsia="zh-CN"/>
                    </w:rPr>
                  </w:pPr>
                  <w:r>
                    <w:rPr>
                      <w:rFonts w:hint="default" w:ascii="Times New Roman" w:hAnsi="Times New Roman" w:eastAsia="宋体" w:cs="Times New Roman"/>
                      <w:bCs/>
                      <w:color w:val="000000"/>
                      <w:kern w:val="2"/>
                      <w:sz w:val="21"/>
                      <w:szCs w:val="21"/>
                      <w:highlight w:val="none"/>
                      <w:lang w:val="en-US" w:eastAsia="zh-CN"/>
                    </w:rPr>
                    <w:t>1</w:t>
                  </w:r>
                </w:p>
              </w:tc>
              <w:tc>
                <w:tcPr>
                  <w:tcW w:w="1411" w:type="pct"/>
                  <w:tcBorders>
                    <w:tl2br w:val="nil"/>
                    <w:tr2bl w:val="nil"/>
                  </w:tcBorders>
                  <w:noWrap w:val="0"/>
                  <w:tcMar>
                    <w:top w:w="57" w:type="dxa"/>
                    <w:left w:w="57" w:type="dxa"/>
                    <w:bottom w:w="57" w:type="dxa"/>
                    <w:right w:w="57" w:type="dxa"/>
                  </w:tcMar>
                  <w:vAlign w:val="center"/>
                </w:tcPr>
                <w:p w14:paraId="2146D583">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INCLUDEPICTURE \d "C:\\Documents and Settings\\TEMP.PC-201412191049\\Application Data\\Tencent\\Users\\951550625\\TIM\\WinTemp\\RichOle\\(_8EE}YS5~]@N))[3U_{LFY.png" \* MERGEFORMATINET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drawing>
                      <wp:inline distT="0" distB="0" distL="114300" distR="114300">
                        <wp:extent cx="935355" cy="802640"/>
                        <wp:effectExtent l="0" t="0" r="17145" b="16510"/>
                        <wp:docPr id="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6"/>
                                <pic:cNvPicPr>
                                  <a:picLocks noChangeAspect="1"/>
                                </pic:cNvPicPr>
                              </pic:nvPicPr>
                              <pic:blipFill>
                                <a:blip r:embed="rId37"/>
                                <a:srcRect t="6667"/>
                                <a:stretch>
                                  <a:fillRect/>
                                </a:stretch>
                              </pic:blipFill>
                              <pic:spPr>
                                <a:xfrm>
                                  <a:off x="0" y="0"/>
                                  <a:ext cx="935355" cy="802640"/>
                                </a:xfrm>
                                <a:prstGeom prst="rect">
                                  <a:avLst/>
                                </a:prstGeom>
                                <a:noFill/>
                                <a:ln>
                                  <a:noFill/>
                                </a:ln>
                              </pic:spPr>
                            </pic:pic>
                          </a:graphicData>
                        </a:graphic>
                      </wp:inline>
                    </w:drawing>
                  </w:r>
                  <w:r>
                    <w:rPr>
                      <w:rFonts w:ascii="Times New Roman" w:hAnsi="Times New Roman" w:eastAsia="宋体"/>
                      <w:color w:val="auto"/>
                      <w:sz w:val="24"/>
                      <w:szCs w:val="24"/>
                    </w:rPr>
                    <w:fldChar w:fldCharType="end"/>
                  </w:r>
                </w:p>
              </w:tc>
              <w:tc>
                <w:tcPr>
                  <w:tcW w:w="1561" w:type="pct"/>
                  <w:tcBorders>
                    <w:tl2br w:val="nil"/>
                    <w:tr2bl w:val="nil"/>
                  </w:tcBorders>
                  <w:noWrap w:val="0"/>
                  <w:tcMar>
                    <w:top w:w="57" w:type="dxa"/>
                    <w:left w:w="57" w:type="dxa"/>
                    <w:bottom w:w="57" w:type="dxa"/>
                    <w:right w:w="57" w:type="dxa"/>
                  </w:tcMar>
                  <w:vAlign w:val="center"/>
                </w:tcPr>
                <w:p w14:paraId="4604C9FF">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4"/>
                      <w:szCs w:val="24"/>
                    </w:rPr>
                    <w:drawing>
                      <wp:inline distT="0" distB="0" distL="114300" distR="114300">
                        <wp:extent cx="955040" cy="780415"/>
                        <wp:effectExtent l="0" t="0" r="16510" b="63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8"/>
                                <a:stretch>
                                  <a:fillRect/>
                                </a:stretch>
                              </pic:blipFill>
                              <pic:spPr>
                                <a:xfrm>
                                  <a:off x="0" y="0"/>
                                  <a:ext cx="955040" cy="780415"/>
                                </a:xfrm>
                                <a:prstGeom prst="rect">
                                  <a:avLst/>
                                </a:prstGeom>
                                <a:noFill/>
                                <a:ln>
                                  <a:noFill/>
                                </a:ln>
                              </pic:spPr>
                            </pic:pic>
                          </a:graphicData>
                        </a:graphic>
                      </wp:inline>
                    </w:drawing>
                  </w:r>
                </w:p>
              </w:tc>
              <w:tc>
                <w:tcPr>
                  <w:tcW w:w="774" w:type="pct"/>
                  <w:tcBorders>
                    <w:tl2br w:val="nil"/>
                    <w:tr2bl w:val="nil"/>
                  </w:tcBorders>
                  <w:noWrap w:val="0"/>
                  <w:tcMar>
                    <w:top w:w="57" w:type="dxa"/>
                    <w:left w:w="57" w:type="dxa"/>
                    <w:bottom w:w="57" w:type="dxa"/>
                    <w:right w:w="57" w:type="dxa"/>
                  </w:tcMar>
                  <w:vAlign w:val="center"/>
                </w:tcPr>
                <w:p w14:paraId="4B52640B">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废水排放口</w:t>
                  </w:r>
                </w:p>
              </w:tc>
              <w:tc>
                <w:tcPr>
                  <w:tcW w:w="877" w:type="pct"/>
                  <w:tcBorders>
                    <w:tl2br w:val="nil"/>
                    <w:tr2bl w:val="nil"/>
                  </w:tcBorders>
                  <w:noWrap w:val="0"/>
                  <w:tcMar>
                    <w:top w:w="57" w:type="dxa"/>
                    <w:left w:w="57" w:type="dxa"/>
                    <w:bottom w:w="57" w:type="dxa"/>
                    <w:right w:w="57" w:type="dxa"/>
                  </w:tcMar>
                  <w:vAlign w:val="center"/>
                </w:tcPr>
                <w:p w14:paraId="431551C8">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表示废水向水体排放</w:t>
                  </w:r>
                </w:p>
              </w:tc>
            </w:tr>
            <w:tr w14:paraId="6640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tcBorders>
                    <w:tl2br w:val="nil"/>
                    <w:tr2bl w:val="nil"/>
                  </w:tcBorders>
                  <w:shd w:val="clear" w:color="auto" w:fill="auto"/>
                  <w:noWrap w:val="0"/>
                  <w:tcMar>
                    <w:top w:w="57" w:type="dxa"/>
                    <w:left w:w="57" w:type="dxa"/>
                    <w:bottom w:w="57" w:type="dxa"/>
                    <w:right w:w="57" w:type="dxa"/>
                  </w:tcMar>
                  <w:vAlign w:val="center"/>
                </w:tcPr>
                <w:p w14:paraId="7504BA77">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rPr>
                    <w:t>2</w:t>
                  </w:r>
                </w:p>
              </w:tc>
              <w:tc>
                <w:tcPr>
                  <w:tcW w:w="1411" w:type="pct"/>
                  <w:tcBorders>
                    <w:tl2br w:val="nil"/>
                    <w:tr2bl w:val="nil"/>
                  </w:tcBorders>
                  <w:noWrap w:val="0"/>
                  <w:tcMar>
                    <w:top w:w="57" w:type="dxa"/>
                    <w:left w:w="57" w:type="dxa"/>
                    <w:bottom w:w="57" w:type="dxa"/>
                    <w:right w:w="57" w:type="dxa"/>
                  </w:tcMar>
                  <w:vAlign w:val="center"/>
                </w:tcPr>
                <w:p w14:paraId="311B2D60">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INCLUDEPICTURE \d "C:\\Documents and Settings\\TEMP.PC-201412191049\\Application Data\\Tencent\\Users\\951550625\\TIM\\WinTemp\\RichOle\\{)TXM3K6V@8VZXSSWVBI%[G.png" \* MERGEFORMATINET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drawing>
                      <wp:inline distT="0" distB="0" distL="114300" distR="114300">
                        <wp:extent cx="951865" cy="951865"/>
                        <wp:effectExtent l="0" t="0" r="635" b="635"/>
                        <wp:docPr id="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56"/>
                                <pic:cNvPicPr>
                                  <a:picLocks noChangeAspect="1"/>
                                </pic:cNvPicPr>
                              </pic:nvPicPr>
                              <pic:blipFill>
                                <a:blip r:embed="rId39"/>
                                <a:stretch>
                                  <a:fillRect/>
                                </a:stretch>
                              </pic:blipFill>
                              <pic:spPr>
                                <a:xfrm>
                                  <a:off x="0" y="0"/>
                                  <a:ext cx="951865" cy="951865"/>
                                </a:xfrm>
                                <a:prstGeom prst="rect">
                                  <a:avLst/>
                                </a:prstGeom>
                                <a:noFill/>
                                <a:ln>
                                  <a:noFill/>
                                </a:ln>
                              </pic:spPr>
                            </pic:pic>
                          </a:graphicData>
                        </a:graphic>
                      </wp:inline>
                    </w:drawing>
                  </w:r>
                  <w:r>
                    <w:rPr>
                      <w:rFonts w:ascii="Times New Roman" w:hAnsi="Times New Roman" w:eastAsia="宋体"/>
                      <w:color w:val="auto"/>
                      <w:sz w:val="24"/>
                      <w:szCs w:val="24"/>
                    </w:rPr>
                    <w:fldChar w:fldCharType="end"/>
                  </w:r>
                </w:p>
              </w:tc>
              <w:tc>
                <w:tcPr>
                  <w:tcW w:w="1561" w:type="pct"/>
                  <w:tcBorders>
                    <w:tl2br w:val="nil"/>
                    <w:tr2bl w:val="nil"/>
                  </w:tcBorders>
                  <w:noWrap w:val="0"/>
                  <w:tcMar>
                    <w:top w:w="57" w:type="dxa"/>
                    <w:left w:w="57" w:type="dxa"/>
                    <w:bottom w:w="57" w:type="dxa"/>
                    <w:right w:w="57" w:type="dxa"/>
                  </w:tcMar>
                  <w:vAlign w:val="center"/>
                </w:tcPr>
                <w:p w14:paraId="7948D0DB">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4"/>
                      <w:szCs w:val="24"/>
                    </w:rPr>
                    <w:drawing>
                      <wp:inline distT="0" distB="0" distL="114300" distR="114300">
                        <wp:extent cx="1040130" cy="852805"/>
                        <wp:effectExtent l="0" t="0" r="7620" b="444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0"/>
                                <a:stretch>
                                  <a:fillRect/>
                                </a:stretch>
                              </pic:blipFill>
                              <pic:spPr>
                                <a:xfrm>
                                  <a:off x="0" y="0"/>
                                  <a:ext cx="1040130" cy="852805"/>
                                </a:xfrm>
                                <a:prstGeom prst="rect">
                                  <a:avLst/>
                                </a:prstGeom>
                                <a:noFill/>
                                <a:ln>
                                  <a:noFill/>
                                </a:ln>
                              </pic:spPr>
                            </pic:pic>
                          </a:graphicData>
                        </a:graphic>
                      </wp:inline>
                    </w:drawing>
                  </w:r>
                </w:p>
              </w:tc>
              <w:tc>
                <w:tcPr>
                  <w:tcW w:w="774" w:type="pct"/>
                  <w:tcBorders>
                    <w:tl2br w:val="nil"/>
                    <w:tr2bl w:val="nil"/>
                  </w:tcBorders>
                  <w:noWrap w:val="0"/>
                  <w:tcMar>
                    <w:top w:w="57" w:type="dxa"/>
                    <w:left w:w="57" w:type="dxa"/>
                    <w:bottom w:w="57" w:type="dxa"/>
                    <w:right w:w="57" w:type="dxa"/>
                  </w:tcMar>
                  <w:vAlign w:val="center"/>
                </w:tcPr>
                <w:p w14:paraId="61BCABCA">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一般工业固体废物</w:t>
                  </w:r>
                </w:p>
              </w:tc>
              <w:tc>
                <w:tcPr>
                  <w:tcW w:w="877" w:type="pct"/>
                  <w:tcBorders>
                    <w:tl2br w:val="nil"/>
                    <w:tr2bl w:val="nil"/>
                  </w:tcBorders>
                  <w:noWrap w:val="0"/>
                  <w:tcMar>
                    <w:top w:w="57" w:type="dxa"/>
                    <w:left w:w="57" w:type="dxa"/>
                    <w:bottom w:w="57" w:type="dxa"/>
                    <w:right w:w="57" w:type="dxa"/>
                  </w:tcMar>
                  <w:vAlign w:val="center"/>
                </w:tcPr>
                <w:p w14:paraId="76CF5948">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表示一般工业固体废物贮存、处置场</w:t>
                  </w:r>
                </w:p>
              </w:tc>
            </w:tr>
            <w:tr w14:paraId="7E9C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tcBorders>
                    <w:tl2br w:val="nil"/>
                    <w:tr2bl w:val="nil"/>
                  </w:tcBorders>
                  <w:shd w:val="clear" w:color="auto" w:fill="auto"/>
                  <w:noWrap w:val="0"/>
                  <w:tcMar>
                    <w:top w:w="57" w:type="dxa"/>
                    <w:left w:w="57" w:type="dxa"/>
                    <w:bottom w:w="57" w:type="dxa"/>
                    <w:right w:w="57" w:type="dxa"/>
                  </w:tcMar>
                  <w:vAlign w:val="center"/>
                </w:tcPr>
                <w:p w14:paraId="2B7ED96A">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rPr>
                    <w:t>3</w:t>
                  </w:r>
                </w:p>
              </w:tc>
              <w:tc>
                <w:tcPr>
                  <w:tcW w:w="1411" w:type="pct"/>
                  <w:tcBorders>
                    <w:tl2br w:val="nil"/>
                    <w:tr2bl w:val="nil"/>
                  </w:tcBorders>
                  <w:noWrap w:val="0"/>
                  <w:tcMar>
                    <w:top w:w="57" w:type="dxa"/>
                    <w:left w:w="57" w:type="dxa"/>
                    <w:bottom w:w="57" w:type="dxa"/>
                    <w:right w:w="57" w:type="dxa"/>
                  </w:tcMar>
                  <w:vAlign w:val="center"/>
                </w:tcPr>
                <w:p w14:paraId="2863FC27">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4"/>
                      <w:szCs w:val="24"/>
                    </w:rPr>
                    <w:t>—</w:t>
                  </w:r>
                </w:p>
              </w:tc>
              <w:tc>
                <w:tcPr>
                  <w:tcW w:w="1561" w:type="pct"/>
                  <w:tcBorders>
                    <w:tl2br w:val="nil"/>
                    <w:tr2bl w:val="nil"/>
                  </w:tcBorders>
                  <w:noWrap w:val="0"/>
                  <w:tcMar>
                    <w:top w:w="57" w:type="dxa"/>
                    <w:left w:w="57" w:type="dxa"/>
                    <w:bottom w:w="57" w:type="dxa"/>
                    <w:right w:w="57" w:type="dxa"/>
                  </w:tcMar>
                  <w:vAlign w:val="center"/>
                </w:tcPr>
                <w:p w14:paraId="453F4405">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hint="eastAsia" w:ascii="Times New Roman" w:hAnsi="Times New Roman" w:eastAsia="宋体"/>
                      <w:color w:val="auto"/>
                      <w:sz w:val="24"/>
                      <w:szCs w:val="24"/>
                    </w:rPr>
                    <w:drawing>
                      <wp:inline distT="0" distB="0" distL="114300" distR="114300">
                        <wp:extent cx="964565" cy="765810"/>
                        <wp:effectExtent l="0" t="0" r="6985" b="15240"/>
                        <wp:docPr id="7" name="图片 8" descr="168412901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1684129014677"/>
                                <pic:cNvPicPr>
                                  <a:picLocks noChangeAspect="1"/>
                                </pic:cNvPicPr>
                              </pic:nvPicPr>
                              <pic:blipFill>
                                <a:blip r:embed="rId41"/>
                                <a:stretch>
                                  <a:fillRect/>
                                </a:stretch>
                              </pic:blipFill>
                              <pic:spPr>
                                <a:xfrm>
                                  <a:off x="0" y="0"/>
                                  <a:ext cx="964565" cy="765810"/>
                                </a:xfrm>
                                <a:prstGeom prst="rect">
                                  <a:avLst/>
                                </a:prstGeom>
                                <a:noFill/>
                                <a:ln>
                                  <a:noFill/>
                                </a:ln>
                              </pic:spPr>
                            </pic:pic>
                          </a:graphicData>
                        </a:graphic>
                      </wp:inline>
                    </w:drawing>
                  </w:r>
                </w:p>
              </w:tc>
              <w:tc>
                <w:tcPr>
                  <w:tcW w:w="774" w:type="pct"/>
                  <w:tcBorders>
                    <w:tl2br w:val="nil"/>
                    <w:tr2bl w:val="nil"/>
                  </w:tcBorders>
                  <w:noWrap w:val="0"/>
                  <w:tcMar>
                    <w:top w:w="57" w:type="dxa"/>
                    <w:left w:w="57" w:type="dxa"/>
                    <w:bottom w:w="57" w:type="dxa"/>
                    <w:right w:w="57" w:type="dxa"/>
                  </w:tcMar>
                  <w:vAlign w:val="center"/>
                </w:tcPr>
                <w:p w14:paraId="68081E50">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危险废物</w:t>
                  </w:r>
                </w:p>
              </w:tc>
              <w:tc>
                <w:tcPr>
                  <w:tcW w:w="877" w:type="pct"/>
                  <w:tcBorders>
                    <w:tl2br w:val="nil"/>
                    <w:tr2bl w:val="nil"/>
                  </w:tcBorders>
                  <w:noWrap w:val="0"/>
                  <w:tcMar>
                    <w:top w:w="57" w:type="dxa"/>
                    <w:left w:w="57" w:type="dxa"/>
                    <w:bottom w:w="57" w:type="dxa"/>
                    <w:right w:w="57" w:type="dxa"/>
                  </w:tcMar>
                  <w:vAlign w:val="center"/>
                </w:tcPr>
                <w:p w14:paraId="0D8A6FC2">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表示危险废物贮存、处置</w:t>
                  </w:r>
                  <w:r>
                    <w:rPr>
                      <w:rFonts w:hint="eastAsia"/>
                      <w:color w:val="auto"/>
                      <w:sz w:val="21"/>
                      <w:szCs w:val="21"/>
                      <w:lang w:val="en-US" w:eastAsia="zh-CN"/>
                    </w:rPr>
                    <w:t>设施</w:t>
                  </w:r>
                </w:p>
              </w:tc>
            </w:tr>
            <w:tr w14:paraId="2B4E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tcBorders>
                    <w:tl2br w:val="nil"/>
                    <w:tr2bl w:val="nil"/>
                  </w:tcBorders>
                  <w:shd w:val="clear" w:color="auto" w:fill="auto"/>
                  <w:noWrap w:val="0"/>
                  <w:tcMar>
                    <w:top w:w="57" w:type="dxa"/>
                    <w:left w:w="57" w:type="dxa"/>
                    <w:bottom w:w="57" w:type="dxa"/>
                    <w:right w:w="57" w:type="dxa"/>
                  </w:tcMar>
                  <w:vAlign w:val="center"/>
                </w:tcPr>
                <w:p w14:paraId="3377AF5D">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rPr>
                    <w:t>4</w:t>
                  </w:r>
                </w:p>
              </w:tc>
              <w:tc>
                <w:tcPr>
                  <w:tcW w:w="1411" w:type="pct"/>
                  <w:tcBorders>
                    <w:tl2br w:val="nil"/>
                    <w:tr2bl w:val="nil"/>
                  </w:tcBorders>
                  <w:noWrap w:val="0"/>
                  <w:tcMar>
                    <w:top w:w="57" w:type="dxa"/>
                    <w:left w:w="57" w:type="dxa"/>
                    <w:bottom w:w="57" w:type="dxa"/>
                    <w:right w:w="57" w:type="dxa"/>
                  </w:tcMar>
                  <w:vAlign w:val="center"/>
                </w:tcPr>
                <w:p w14:paraId="52BBC776">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INCLUDEPICTURE \d "C:\\Documents and Settings\\TEMP.PC-201412191049\\Application Data\\Tencent\\Users\\951550625\\TIM\\WinTemp\\RichOle\\~U6SJ}OIYHL5QZ[34T_YA$K.png" \* MERGEFORMATINET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drawing>
                      <wp:inline distT="0" distB="0" distL="114300" distR="114300">
                        <wp:extent cx="944880" cy="935355"/>
                        <wp:effectExtent l="0" t="0" r="7620" b="1714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42"/>
                                <a:stretch>
                                  <a:fillRect/>
                                </a:stretch>
                              </pic:blipFill>
                              <pic:spPr>
                                <a:xfrm>
                                  <a:off x="0" y="0"/>
                                  <a:ext cx="944880" cy="935355"/>
                                </a:xfrm>
                                <a:prstGeom prst="rect">
                                  <a:avLst/>
                                </a:prstGeom>
                                <a:noFill/>
                                <a:ln>
                                  <a:noFill/>
                                </a:ln>
                              </pic:spPr>
                            </pic:pic>
                          </a:graphicData>
                        </a:graphic>
                      </wp:inline>
                    </w:drawing>
                  </w:r>
                  <w:r>
                    <w:rPr>
                      <w:rFonts w:ascii="Times New Roman" w:hAnsi="Times New Roman" w:eastAsia="宋体"/>
                      <w:color w:val="auto"/>
                      <w:sz w:val="24"/>
                      <w:szCs w:val="24"/>
                    </w:rPr>
                    <w:fldChar w:fldCharType="end"/>
                  </w:r>
                </w:p>
              </w:tc>
              <w:tc>
                <w:tcPr>
                  <w:tcW w:w="1561" w:type="pct"/>
                  <w:tcBorders>
                    <w:tl2br w:val="nil"/>
                    <w:tr2bl w:val="nil"/>
                  </w:tcBorders>
                  <w:noWrap w:val="0"/>
                  <w:tcMar>
                    <w:top w:w="57" w:type="dxa"/>
                    <w:left w:w="57" w:type="dxa"/>
                    <w:bottom w:w="57" w:type="dxa"/>
                    <w:right w:w="57" w:type="dxa"/>
                  </w:tcMar>
                  <w:vAlign w:val="center"/>
                </w:tcPr>
                <w:p w14:paraId="6490A94A">
                  <w:pPr>
                    <w:adjustRightInd w:val="0"/>
                    <w:snapToGrid w:val="0"/>
                    <w:spacing w:line="240" w:lineRule="auto"/>
                    <w:jc w:val="center"/>
                    <w:rPr>
                      <w:rFonts w:hint="default" w:ascii="Times New Roman" w:hAnsi="Times New Roman" w:cs="Times New Roman"/>
                      <w:sz w:val="21"/>
                      <w:szCs w:val="21"/>
                    </w:rPr>
                  </w:pPr>
                  <w:r>
                    <w:rPr>
                      <w:rFonts w:ascii="Times New Roman" w:hAnsi="Times New Roman" w:eastAsia="宋体"/>
                      <w:color w:val="auto"/>
                      <w:sz w:val="24"/>
                      <w:szCs w:val="24"/>
                    </w:rPr>
                    <w:drawing>
                      <wp:inline distT="0" distB="0" distL="114300" distR="114300">
                        <wp:extent cx="956310" cy="844550"/>
                        <wp:effectExtent l="0" t="0" r="15240" b="1270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43"/>
                                <a:stretch>
                                  <a:fillRect/>
                                </a:stretch>
                              </pic:blipFill>
                              <pic:spPr>
                                <a:xfrm>
                                  <a:off x="0" y="0"/>
                                  <a:ext cx="956310" cy="844550"/>
                                </a:xfrm>
                                <a:prstGeom prst="rect">
                                  <a:avLst/>
                                </a:prstGeom>
                                <a:noFill/>
                                <a:ln>
                                  <a:noFill/>
                                </a:ln>
                              </pic:spPr>
                            </pic:pic>
                          </a:graphicData>
                        </a:graphic>
                      </wp:inline>
                    </w:drawing>
                  </w:r>
                </w:p>
              </w:tc>
              <w:tc>
                <w:tcPr>
                  <w:tcW w:w="774" w:type="pct"/>
                  <w:tcBorders>
                    <w:tl2br w:val="nil"/>
                    <w:tr2bl w:val="nil"/>
                  </w:tcBorders>
                  <w:noWrap w:val="0"/>
                  <w:tcMar>
                    <w:top w:w="57" w:type="dxa"/>
                    <w:left w:w="57" w:type="dxa"/>
                    <w:bottom w:w="57" w:type="dxa"/>
                    <w:right w:w="57" w:type="dxa"/>
                  </w:tcMar>
                  <w:vAlign w:val="center"/>
                </w:tcPr>
                <w:p w14:paraId="74DFCA52">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噪声排放源</w:t>
                  </w:r>
                </w:p>
              </w:tc>
              <w:tc>
                <w:tcPr>
                  <w:tcW w:w="877" w:type="pct"/>
                  <w:tcBorders>
                    <w:tl2br w:val="nil"/>
                    <w:tr2bl w:val="nil"/>
                  </w:tcBorders>
                  <w:noWrap w:val="0"/>
                  <w:tcMar>
                    <w:top w:w="57" w:type="dxa"/>
                    <w:left w:w="57" w:type="dxa"/>
                    <w:bottom w:w="57" w:type="dxa"/>
                    <w:right w:w="57" w:type="dxa"/>
                  </w:tcMar>
                  <w:vAlign w:val="center"/>
                </w:tcPr>
                <w:p w14:paraId="0345E98A">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表示噪声向外环境排放</w:t>
                  </w:r>
                </w:p>
              </w:tc>
            </w:tr>
            <w:tr w14:paraId="2645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tcBorders>
                    <w:tl2br w:val="nil"/>
                    <w:tr2bl w:val="nil"/>
                  </w:tcBorders>
                  <w:shd w:val="clear" w:color="auto" w:fill="auto"/>
                  <w:noWrap w:val="0"/>
                  <w:tcMar>
                    <w:top w:w="57" w:type="dxa"/>
                    <w:left w:w="57" w:type="dxa"/>
                    <w:bottom w:w="57" w:type="dxa"/>
                    <w:right w:w="57" w:type="dxa"/>
                  </w:tcMar>
                  <w:vAlign w:val="center"/>
                </w:tcPr>
                <w:p w14:paraId="4BAFAF13">
                  <w:pPr>
                    <w:keepNext w:val="0"/>
                    <w:keepLines w:val="0"/>
                    <w:suppressLineNumbers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eastAsia="宋体" w:cs="Times New Roman"/>
                      <w:bCs/>
                      <w:color w:val="000000"/>
                      <w:kern w:val="2"/>
                      <w:sz w:val="21"/>
                      <w:szCs w:val="21"/>
                      <w:highlight w:val="none"/>
                      <w:lang w:val="en-US" w:eastAsia="zh-CN"/>
                    </w:rPr>
                    <w:t>5</w:t>
                  </w:r>
                </w:p>
              </w:tc>
              <w:tc>
                <w:tcPr>
                  <w:tcW w:w="1411" w:type="pct"/>
                  <w:tcBorders>
                    <w:tl2br w:val="nil"/>
                    <w:tr2bl w:val="nil"/>
                  </w:tcBorders>
                  <w:noWrap w:val="0"/>
                  <w:tcMar>
                    <w:top w:w="57" w:type="dxa"/>
                    <w:left w:w="57" w:type="dxa"/>
                    <w:bottom w:w="57" w:type="dxa"/>
                    <w:right w:w="57" w:type="dxa"/>
                  </w:tcMar>
                  <w:vAlign w:val="center"/>
                </w:tcPr>
                <w:p w14:paraId="19E01BB3">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4"/>
                      <w:szCs w:val="24"/>
                    </w:rPr>
                    <w:drawing>
                      <wp:inline distT="0" distB="0" distL="114300" distR="114300">
                        <wp:extent cx="898525" cy="879475"/>
                        <wp:effectExtent l="0" t="0" r="15875" b="1587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44"/>
                                <a:stretch>
                                  <a:fillRect/>
                                </a:stretch>
                              </pic:blipFill>
                              <pic:spPr>
                                <a:xfrm>
                                  <a:off x="0" y="0"/>
                                  <a:ext cx="898525" cy="879475"/>
                                </a:xfrm>
                                <a:prstGeom prst="rect">
                                  <a:avLst/>
                                </a:prstGeom>
                                <a:noFill/>
                                <a:ln>
                                  <a:noFill/>
                                </a:ln>
                              </pic:spPr>
                            </pic:pic>
                          </a:graphicData>
                        </a:graphic>
                      </wp:inline>
                    </w:drawing>
                  </w:r>
                </w:p>
              </w:tc>
              <w:tc>
                <w:tcPr>
                  <w:tcW w:w="1561" w:type="pct"/>
                  <w:tcBorders>
                    <w:tl2br w:val="nil"/>
                    <w:tr2bl w:val="nil"/>
                  </w:tcBorders>
                  <w:noWrap w:val="0"/>
                  <w:tcMar>
                    <w:top w:w="57" w:type="dxa"/>
                    <w:left w:w="57" w:type="dxa"/>
                    <w:bottom w:w="57" w:type="dxa"/>
                    <w:right w:w="57" w:type="dxa"/>
                  </w:tcMar>
                  <w:vAlign w:val="center"/>
                </w:tcPr>
                <w:p w14:paraId="4EE05010">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INCLUDEPICTURE \d "C:\\Documents and Settings\\TEMP.PC-201412191049\\Application Data\\Tencent\\Users\\951550625\\TIM\\WinTemp\\RichOle\\`G8PE_[N%$21(%IEU[QH3[L.png" \* MERGEFORMATINET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drawing>
                      <wp:inline distT="0" distB="0" distL="114300" distR="114300">
                        <wp:extent cx="980440" cy="897255"/>
                        <wp:effectExtent l="0" t="0" r="10160" b="1714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45"/>
                                <a:stretch>
                                  <a:fillRect/>
                                </a:stretch>
                              </pic:blipFill>
                              <pic:spPr>
                                <a:xfrm>
                                  <a:off x="0" y="0"/>
                                  <a:ext cx="980440" cy="897255"/>
                                </a:xfrm>
                                <a:prstGeom prst="rect">
                                  <a:avLst/>
                                </a:prstGeom>
                                <a:noFill/>
                                <a:ln>
                                  <a:noFill/>
                                </a:ln>
                              </pic:spPr>
                            </pic:pic>
                          </a:graphicData>
                        </a:graphic>
                      </wp:inline>
                    </w:drawing>
                  </w:r>
                  <w:r>
                    <w:rPr>
                      <w:rFonts w:ascii="Times New Roman" w:hAnsi="Times New Roman" w:eastAsia="宋体"/>
                      <w:color w:val="auto"/>
                      <w:sz w:val="24"/>
                      <w:szCs w:val="24"/>
                    </w:rPr>
                    <w:fldChar w:fldCharType="end"/>
                  </w:r>
                </w:p>
              </w:tc>
              <w:tc>
                <w:tcPr>
                  <w:tcW w:w="774" w:type="pct"/>
                  <w:tcBorders>
                    <w:tl2br w:val="nil"/>
                    <w:tr2bl w:val="nil"/>
                  </w:tcBorders>
                  <w:noWrap w:val="0"/>
                  <w:tcMar>
                    <w:top w:w="57" w:type="dxa"/>
                    <w:left w:w="57" w:type="dxa"/>
                    <w:bottom w:w="57" w:type="dxa"/>
                    <w:right w:w="57" w:type="dxa"/>
                  </w:tcMar>
                  <w:vAlign w:val="center"/>
                </w:tcPr>
                <w:p w14:paraId="2F8B2D4B">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废气排放口</w:t>
                  </w:r>
                </w:p>
              </w:tc>
              <w:tc>
                <w:tcPr>
                  <w:tcW w:w="877" w:type="pct"/>
                  <w:tcBorders>
                    <w:tl2br w:val="nil"/>
                    <w:tr2bl w:val="nil"/>
                  </w:tcBorders>
                  <w:noWrap w:val="0"/>
                  <w:tcMar>
                    <w:top w:w="57" w:type="dxa"/>
                    <w:left w:w="57" w:type="dxa"/>
                    <w:bottom w:w="57" w:type="dxa"/>
                    <w:right w:w="57" w:type="dxa"/>
                  </w:tcMar>
                  <w:vAlign w:val="center"/>
                </w:tcPr>
                <w:p w14:paraId="54BDEB93">
                  <w:pPr>
                    <w:adjustRightInd w:val="0"/>
                    <w:snapToGrid w:val="0"/>
                    <w:spacing w:line="240" w:lineRule="auto"/>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eastAsia="宋体"/>
                      <w:color w:val="auto"/>
                      <w:sz w:val="21"/>
                      <w:szCs w:val="21"/>
                    </w:rPr>
                    <w:t>表示废气向大气环境排放</w:t>
                  </w:r>
                </w:p>
              </w:tc>
            </w:tr>
          </w:tbl>
          <w:p w14:paraId="3709A12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textAlignment w:val="auto"/>
              <w:rPr>
                <w:rFonts w:hint="default" w:ascii="Times New Roman" w:hAnsi="Times New Roman" w:cs="Times New Roman"/>
                <w:sz w:val="24"/>
                <w:szCs w:val="24"/>
                <w:lang w:eastAsia="zh-CN"/>
              </w:rPr>
            </w:pPr>
            <w:r>
              <w:rPr>
                <w:rFonts w:hint="eastAsia" w:cs="Times New Roman"/>
                <w:sz w:val="24"/>
                <w:szCs w:val="24"/>
                <w:lang w:val="en-US" w:eastAsia="zh-CN"/>
              </w:rPr>
              <w:t>4</w:t>
            </w:r>
            <w:r>
              <w:rPr>
                <w:rFonts w:hint="default" w:ascii="Times New Roman" w:hAnsi="Times New Roman" w:cs="Times New Roman"/>
                <w:sz w:val="24"/>
                <w:szCs w:val="24"/>
                <w:lang w:eastAsia="zh-CN"/>
              </w:rPr>
              <w:t>、</w:t>
            </w:r>
            <w:r>
              <w:rPr>
                <w:rFonts w:hint="eastAsia" w:cs="Times New Roman"/>
                <w:sz w:val="24"/>
                <w:szCs w:val="24"/>
                <w:lang w:val="en-US" w:eastAsia="zh-CN"/>
              </w:rPr>
              <w:t>项目竣工环境保护验收</w:t>
            </w:r>
          </w:p>
          <w:p w14:paraId="7032DC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olor w:val="auto"/>
                <w:sz w:val="24"/>
                <w:szCs w:val="24"/>
              </w:rPr>
              <w:t>建设单位应</w:t>
            </w:r>
            <w:r>
              <w:rPr>
                <w:rFonts w:hint="eastAsia" w:ascii="Times New Roman" w:hAnsi="Times New Roman" w:eastAsia="宋体"/>
                <w:color w:val="auto"/>
                <w:sz w:val="24"/>
                <w:szCs w:val="24"/>
                <w:lang w:val="en-US" w:eastAsia="zh-CN"/>
              </w:rPr>
              <w:t>按照</w:t>
            </w:r>
            <w:r>
              <w:rPr>
                <w:rFonts w:hint="eastAsia" w:ascii="Times New Roman" w:hAnsi="Times New Roman" w:eastAsia="宋体"/>
                <w:color w:val="auto"/>
                <w:sz w:val="24"/>
                <w:szCs w:val="24"/>
              </w:rPr>
              <w:t>建设项目竣工环境保护验收技术规范、环评文件及其批复的要求</w:t>
            </w:r>
            <w:r>
              <w:rPr>
                <w:rFonts w:ascii="Times New Roman" w:hAnsi="Times New Roman" w:eastAsia="宋体"/>
                <w:color w:val="auto"/>
                <w:sz w:val="24"/>
                <w:szCs w:val="24"/>
              </w:rPr>
              <w:t>，开展相关</w:t>
            </w:r>
            <w:r>
              <w:rPr>
                <w:rFonts w:hint="eastAsia" w:ascii="Times New Roman" w:hAnsi="Times New Roman" w:eastAsia="宋体"/>
                <w:color w:val="auto"/>
                <w:sz w:val="24"/>
                <w:szCs w:val="24"/>
                <w:lang w:val="en-US" w:eastAsia="zh-CN"/>
              </w:rPr>
              <w:t>环保</w:t>
            </w:r>
            <w:r>
              <w:rPr>
                <w:rFonts w:ascii="Times New Roman" w:hAnsi="Times New Roman" w:eastAsia="宋体"/>
                <w:color w:val="auto"/>
                <w:sz w:val="24"/>
                <w:szCs w:val="24"/>
              </w:rPr>
              <w:t>验收工作。建设项目配套建设的环境保护设施经验收合格，方可投入生产或者使用</w:t>
            </w:r>
            <w:r>
              <w:rPr>
                <w:rFonts w:hint="eastAsia" w:ascii="Times New Roman" w:hAnsi="Times New Roman" w:eastAsia="宋体"/>
                <w:color w:val="auto"/>
                <w:sz w:val="24"/>
                <w:szCs w:val="24"/>
                <w:lang w:eastAsia="zh-CN"/>
              </w:rPr>
              <w:t>，</w:t>
            </w:r>
            <w:r>
              <w:rPr>
                <w:rFonts w:ascii="Times New Roman" w:hAnsi="Times New Roman" w:eastAsia="宋体"/>
                <w:color w:val="auto"/>
                <w:sz w:val="24"/>
                <w:szCs w:val="24"/>
              </w:rPr>
              <w:t>未经验收或者验收不合格的，不得投入生产或者使用</w:t>
            </w:r>
            <w:r>
              <w:rPr>
                <w:rFonts w:hint="default" w:ascii="Times New Roman" w:hAnsi="Times New Roman" w:cs="Times New Roman"/>
                <w:sz w:val="24"/>
                <w:szCs w:val="24"/>
                <w:lang w:eastAsia="zh-CN"/>
              </w:rPr>
              <w:t>。</w:t>
            </w:r>
          </w:p>
        </w:tc>
      </w:tr>
    </w:tbl>
    <w:p w14:paraId="38063FCB">
      <w:pPr>
        <w:bidi w:val="0"/>
      </w:pPr>
      <w:r>
        <w:br w:type="page"/>
      </w:r>
    </w:p>
    <w:p w14:paraId="2F43CFCA">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eastAsia"/>
          <w:b w:val="0"/>
          <w:bCs w:val="0"/>
          <w:snapToGrid w:val="0"/>
          <w:sz w:val="30"/>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35039A4A">
      <w:pPr>
        <w:pStyle w:val="2"/>
        <w:keepNext w:val="0"/>
        <w:keepLines w:val="0"/>
        <w:pageBreakBefore w:val="0"/>
        <w:widowControl w:val="0"/>
        <w:kinsoku/>
        <w:wordWrap/>
        <w:overflowPunct w:val="0"/>
        <w:topLinePunct w:val="0"/>
        <w:autoSpaceDE/>
        <w:autoSpaceDN/>
        <w:bidi w:val="0"/>
        <w:adjustRightInd w:val="0"/>
        <w:snapToGrid w:val="0"/>
        <w:spacing w:before="313" w:beforeLines="100" w:after="313" w:afterLines="100" w:line="240" w:lineRule="auto"/>
        <w:ind w:left="0" w:firstLine="0"/>
        <w:jc w:val="center"/>
        <w:textAlignment w:val="auto"/>
        <w:rPr>
          <w:rFonts w:hint="default"/>
          <w:b w:val="0"/>
          <w:bCs w:val="0"/>
          <w:snapToGrid w:val="0"/>
          <w:sz w:val="30"/>
          <w:lang w:val="en-US" w:eastAsia="zh-CN"/>
        </w:rPr>
      </w:pPr>
      <w:r>
        <w:rPr>
          <w:rFonts w:hint="eastAsia"/>
          <w:b w:val="0"/>
          <w:bCs w:val="0"/>
          <w:snapToGrid w:val="0"/>
          <w:sz w:val="30"/>
          <w:lang w:val="en-US" w:eastAsia="zh-CN"/>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57" w:type="dxa"/>
          <w:right w:w="57" w:type="dxa"/>
        </w:tblCellMar>
      </w:tblPr>
      <w:tblGrid>
        <w:gridCol w:w="8865"/>
      </w:tblGrid>
      <w:tr w14:paraId="7EF29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1586" w:hRule="atLeast"/>
          <w:jc w:val="center"/>
        </w:trPr>
        <w:tc>
          <w:tcPr>
            <w:tcW w:w="8865" w:type="dxa"/>
            <w:noWrap w:val="0"/>
            <w:vAlign w:val="top"/>
          </w:tcPr>
          <w:p w14:paraId="5B30DA6A">
            <w:pPr>
              <w:spacing w:line="360" w:lineRule="auto"/>
              <w:ind w:firstLine="480" w:firstLineChars="200"/>
              <w:rPr>
                <w:rFonts w:hint="eastAsia" w:ascii="宋体" w:cs="宋体"/>
                <w:sz w:val="24"/>
                <w:szCs w:val="24"/>
              </w:rPr>
            </w:pPr>
            <w:r>
              <w:rPr>
                <w:rFonts w:hint="eastAsia" w:ascii="宋体" w:cs="宋体"/>
                <w:sz w:val="24"/>
                <w:szCs w:val="24"/>
                <w:lang w:val="en-US" w:eastAsia="zh-CN"/>
              </w:rPr>
              <w:t>本</w:t>
            </w:r>
            <w:r>
              <w:rPr>
                <w:rFonts w:hint="eastAsia" w:ascii="宋体" w:cs="宋体"/>
                <w:sz w:val="24"/>
                <w:szCs w:val="24"/>
              </w:rPr>
              <w:t>项目位于</w:t>
            </w:r>
            <w:r>
              <w:rPr>
                <w:rFonts w:hint="eastAsia" w:cs="Times New Roman"/>
                <w:sz w:val="24"/>
                <w:szCs w:val="24"/>
                <w:highlight w:val="none"/>
                <w:u w:val="none"/>
                <w:lang w:eastAsia="zh-CN"/>
              </w:rPr>
              <w:t>安徽省淮北市杜集区杜集经济开发区萧淮路16号</w:t>
            </w:r>
            <w:r>
              <w:rPr>
                <w:rFonts w:hint="eastAsia" w:ascii="宋体" w:cs="宋体"/>
                <w:sz w:val="24"/>
                <w:szCs w:val="24"/>
                <w:lang w:eastAsia="zh-CN"/>
              </w:rPr>
              <w:t>，</w:t>
            </w:r>
            <w:r>
              <w:rPr>
                <w:rFonts w:hint="eastAsia" w:ascii="宋体" w:cs="宋体"/>
                <w:sz w:val="24"/>
                <w:szCs w:val="24"/>
              </w:rPr>
              <w:t>符合国家产业政策要求，项目选址可行，总平面图布置图合理。采用的污染治理措施、风险防范措施技术可行，可使污染物达标排放。项目严格落实环境影响报告表和工程设计提出的环保对策措施，严格执行“三同时”制度，确保项目产生的污染物达标排放，不会降低评价区域原有环境质量功能级别。</w:t>
            </w:r>
          </w:p>
          <w:p w14:paraId="19E98932">
            <w:pPr>
              <w:autoSpaceDE w:val="0"/>
              <w:autoSpaceDN w:val="0"/>
              <w:adjustRightInd w:val="0"/>
              <w:snapToGrid w:val="0"/>
              <w:spacing w:line="360" w:lineRule="auto"/>
              <w:ind w:firstLine="480" w:firstLineChars="200"/>
              <w:jc w:val="left"/>
              <w:rPr>
                <w:rFonts w:ascii="宋体" w:cs="宋体"/>
                <w:sz w:val="24"/>
                <w:szCs w:val="24"/>
              </w:rPr>
            </w:pPr>
            <w:r>
              <w:rPr>
                <w:rFonts w:hint="eastAsia" w:ascii="宋体" w:cs="宋体"/>
                <w:sz w:val="24"/>
                <w:szCs w:val="24"/>
              </w:rPr>
              <w:t>从环境影响的角度分析，本项目的建设是可行的。</w:t>
            </w:r>
          </w:p>
        </w:tc>
      </w:tr>
    </w:tbl>
    <w:p w14:paraId="0CC6B373">
      <w:pPr>
        <w:rPr>
          <w:rFonts w:ascii="宋体"/>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14:paraId="0BF73497">
      <w:pPr>
        <w:pStyle w:val="2"/>
        <w:keepNext/>
        <w:keepLines w:val="0"/>
        <w:pageBreakBefore w:val="0"/>
        <w:widowControl w:val="0"/>
        <w:kinsoku/>
        <w:wordWrap/>
        <w:overflowPunct w:val="0"/>
        <w:topLinePunct w:val="0"/>
        <w:autoSpaceDE/>
        <w:autoSpaceDN/>
        <w:bidi w:val="0"/>
        <w:adjustRightInd/>
        <w:snapToGrid w:val="0"/>
        <w:spacing w:after="0" w:line="260" w:lineRule="auto"/>
        <w:ind w:left="431" w:hanging="431"/>
        <w:textAlignment w:val="auto"/>
        <w:rPr>
          <w:rFonts w:hint="default"/>
          <w:lang w:val="en-US"/>
        </w:rPr>
      </w:pPr>
      <w:r>
        <w:rPr>
          <w:rFonts w:hint="eastAsia" w:ascii="仿宋" w:hAnsi="仿宋" w:eastAsia="仿宋" w:cs="仿宋"/>
          <w:lang w:val="en-US" w:eastAsia="zh-CN"/>
        </w:rPr>
        <w:t>附表 建设项目污染物排放量汇总表</w:t>
      </w:r>
    </w:p>
    <w:p w14:paraId="3C3716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32"/>
          <w:szCs w:val="40"/>
        </w:rPr>
      </w:pPr>
      <w:r>
        <w:rPr>
          <w:rFonts w:hint="eastAsia"/>
          <w:sz w:val="32"/>
          <w:szCs w:val="40"/>
        </w:rPr>
        <w:t>建设项目污染物排放量汇总表</w:t>
      </w:r>
    </w:p>
    <w:tbl>
      <w:tblPr>
        <w:tblStyle w:val="24"/>
        <w:tblW w:w="133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826"/>
        <w:gridCol w:w="1701"/>
        <w:gridCol w:w="1276"/>
        <w:gridCol w:w="1445"/>
        <w:gridCol w:w="1365"/>
        <w:gridCol w:w="1560"/>
        <w:gridCol w:w="1818"/>
        <w:gridCol w:w="1137"/>
      </w:tblGrid>
      <w:tr w14:paraId="62297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79" w:type="dxa"/>
            <w:tcBorders>
              <w:tl2br w:val="single" w:color="auto" w:sz="4" w:space="0"/>
            </w:tcBorders>
            <w:noWrap w:val="0"/>
            <w:tcMar>
              <w:left w:w="28" w:type="dxa"/>
              <w:right w:w="28" w:type="dxa"/>
            </w:tcMar>
            <w:vAlign w:val="center"/>
          </w:tcPr>
          <w:p w14:paraId="33B5B63F">
            <w:pPr>
              <w:bidi w:val="0"/>
              <w:jc w:val="center"/>
              <w:rPr>
                <w:rFonts w:hint="eastAsia"/>
                <w:b/>
                <w:bCs/>
                <w:sz w:val="21"/>
                <w:szCs w:val="21"/>
              </w:rPr>
            </w:pPr>
            <w:r>
              <w:rPr>
                <w:rFonts w:hint="eastAsia"/>
                <w:b/>
                <w:bCs/>
                <w:sz w:val="21"/>
                <w:szCs w:val="21"/>
                <w:lang w:val="en-US" w:eastAsia="zh-CN"/>
              </w:rPr>
              <w:t xml:space="preserve">      </w:t>
            </w:r>
            <w:r>
              <w:rPr>
                <w:rFonts w:hint="eastAsia"/>
                <w:b/>
                <w:bCs/>
                <w:sz w:val="21"/>
                <w:szCs w:val="21"/>
              </w:rPr>
              <w:t>项目</w:t>
            </w:r>
          </w:p>
          <w:p w14:paraId="69777C16">
            <w:pPr>
              <w:bidi w:val="0"/>
              <w:jc w:val="both"/>
              <w:rPr>
                <w:rFonts w:hint="eastAsia"/>
                <w:b/>
                <w:bCs/>
                <w:sz w:val="21"/>
                <w:szCs w:val="21"/>
              </w:rPr>
            </w:pPr>
            <w:r>
              <w:rPr>
                <w:rFonts w:hint="eastAsia"/>
                <w:b/>
                <w:bCs/>
                <w:sz w:val="21"/>
                <w:szCs w:val="21"/>
              </w:rPr>
              <w:t>分类</w:t>
            </w:r>
          </w:p>
        </w:tc>
        <w:tc>
          <w:tcPr>
            <w:tcW w:w="1826" w:type="dxa"/>
            <w:noWrap w:val="0"/>
            <w:tcMar>
              <w:left w:w="28" w:type="dxa"/>
              <w:right w:w="28" w:type="dxa"/>
            </w:tcMar>
            <w:vAlign w:val="center"/>
          </w:tcPr>
          <w:p w14:paraId="299271FC">
            <w:pPr>
              <w:bidi w:val="0"/>
              <w:jc w:val="center"/>
              <w:rPr>
                <w:rFonts w:hint="eastAsia"/>
                <w:b/>
                <w:bCs/>
                <w:sz w:val="21"/>
                <w:szCs w:val="21"/>
              </w:rPr>
            </w:pPr>
            <w:r>
              <w:rPr>
                <w:rFonts w:hint="eastAsia"/>
                <w:b/>
                <w:bCs/>
                <w:sz w:val="21"/>
                <w:szCs w:val="21"/>
              </w:rPr>
              <w:t>污染物名称</w:t>
            </w:r>
          </w:p>
        </w:tc>
        <w:tc>
          <w:tcPr>
            <w:tcW w:w="1701" w:type="dxa"/>
            <w:noWrap w:val="0"/>
            <w:tcMar>
              <w:left w:w="28" w:type="dxa"/>
              <w:right w:w="28" w:type="dxa"/>
            </w:tcMar>
            <w:vAlign w:val="center"/>
          </w:tcPr>
          <w:p w14:paraId="629BB894">
            <w:pPr>
              <w:bidi w:val="0"/>
              <w:jc w:val="center"/>
              <w:rPr>
                <w:b/>
                <w:bCs/>
                <w:sz w:val="21"/>
                <w:szCs w:val="21"/>
              </w:rPr>
            </w:pPr>
            <w:r>
              <w:rPr>
                <w:b/>
                <w:bCs/>
                <w:sz w:val="21"/>
                <w:szCs w:val="21"/>
              </w:rPr>
              <w:t>现有工程排放量（固</w:t>
            </w:r>
            <w:r>
              <w:rPr>
                <w:rFonts w:hint="eastAsia"/>
                <w:b/>
                <w:bCs/>
                <w:sz w:val="21"/>
                <w:szCs w:val="21"/>
              </w:rPr>
              <w:t>体</w:t>
            </w:r>
            <w:r>
              <w:rPr>
                <w:b/>
                <w:bCs/>
                <w:sz w:val="21"/>
                <w:szCs w:val="21"/>
              </w:rPr>
              <w:t>废</w:t>
            </w:r>
            <w:r>
              <w:rPr>
                <w:rFonts w:hint="eastAsia"/>
                <w:b/>
                <w:bCs/>
                <w:sz w:val="21"/>
                <w:szCs w:val="21"/>
              </w:rPr>
              <w:t>物</w:t>
            </w:r>
            <w:r>
              <w:rPr>
                <w:b/>
                <w:bCs/>
                <w:sz w:val="21"/>
                <w:szCs w:val="21"/>
              </w:rPr>
              <w:t>产生量）</w:t>
            </w:r>
            <w:r>
              <w:rPr>
                <w:b/>
                <w:bCs/>
                <w:sz w:val="21"/>
                <w:szCs w:val="21"/>
              </w:rPr>
              <w:fldChar w:fldCharType="begin"/>
            </w:r>
            <w:r>
              <w:rPr>
                <w:b/>
                <w:bCs/>
                <w:sz w:val="21"/>
                <w:szCs w:val="21"/>
              </w:rPr>
              <w:instrText xml:space="preserve"> = 1 \* GB3 \* MERGEFORMAT </w:instrText>
            </w:r>
            <w:r>
              <w:rPr>
                <w:b/>
                <w:bCs/>
                <w:sz w:val="21"/>
                <w:szCs w:val="21"/>
              </w:rPr>
              <w:fldChar w:fldCharType="separate"/>
            </w:r>
            <w:r>
              <w:rPr>
                <w:rFonts w:hint="eastAsia"/>
                <w:b/>
                <w:bCs/>
                <w:sz w:val="21"/>
                <w:szCs w:val="21"/>
              </w:rPr>
              <w:t>①</w:t>
            </w:r>
            <w:r>
              <w:rPr>
                <w:b/>
                <w:bCs/>
                <w:sz w:val="21"/>
                <w:szCs w:val="21"/>
              </w:rPr>
              <w:fldChar w:fldCharType="end"/>
            </w:r>
          </w:p>
        </w:tc>
        <w:tc>
          <w:tcPr>
            <w:tcW w:w="1276" w:type="dxa"/>
            <w:noWrap w:val="0"/>
            <w:tcMar>
              <w:left w:w="28" w:type="dxa"/>
              <w:right w:w="28" w:type="dxa"/>
            </w:tcMar>
            <w:vAlign w:val="center"/>
          </w:tcPr>
          <w:p w14:paraId="20C6A84E">
            <w:pPr>
              <w:bidi w:val="0"/>
              <w:jc w:val="center"/>
              <w:rPr>
                <w:b/>
                <w:bCs/>
                <w:sz w:val="21"/>
                <w:szCs w:val="21"/>
              </w:rPr>
            </w:pPr>
            <w:r>
              <w:rPr>
                <w:b/>
                <w:bCs/>
                <w:sz w:val="21"/>
                <w:szCs w:val="21"/>
              </w:rPr>
              <w:t>现有工程</w:t>
            </w:r>
          </w:p>
          <w:p w14:paraId="2B9DAEBB">
            <w:pPr>
              <w:bidi w:val="0"/>
              <w:jc w:val="center"/>
              <w:rPr>
                <w:b/>
                <w:bCs/>
                <w:sz w:val="21"/>
                <w:szCs w:val="21"/>
              </w:rPr>
            </w:pPr>
            <w:r>
              <w:rPr>
                <w:b/>
                <w:bCs/>
                <w:sz w:val="21"/>
                <w:szCs w:val="21"/>
              </w:rPr>
              <w:t>许可排放量</w:t>
            </w:r>
          </w:p>
          <w:p w14:paraId="213588E2">
            <w:pPr>
              <w:bidi w:val="0"/>
              <w:jc w:val="center"/>
              <w:rPr>
                <w:b/>
                <w:bCs/>
                <w:sz w:val="21"/>
                <w:szCs w:val="21"/>
              </w:rPr>
            </w:pPr>
            <w:r>
              <w:rPr>
                <w:b/>
                <w:bCs/>
                <w:sz w:val="21"/>
                <w:szCs w:val="21"/>
              </w:rPr>
              <w:fldChar w:fldCharType="begin"/>
            </w:r>
            <w:r>
              <w:rPr>
                <w:b/>
                <w:bCs/>
                <w:sz w:val="21"/>
                <w:szCs w:val="21"/>
              </w:rPr>
              <w:instrText xml:space="preserve"> = 2 \* GB3 \* MERGEFORMAT </w:instrText>
            </w:r>
            <w:r>
              <w:rPr>
                <w:b/>
                <w:bCs/>
                <w:sz w:val="21"/>
                <w:szCs w:val="21"/>
              </w:rPr>
              <w:fldChar w:fldCharType="separate"/>
            </w:r>
            <w:r>
              <w:rPr>
                <w:rFonts w:hint="eastAsia"/>
                <w:b/>
                <w:bCs/>
                <w:sz w:val="21"/>
                <w:szCs w:val="21"/>
              </w:rPr>
              <w:t>②</w:t>
            </w:r>
            <w:r>
              <w:rPr>
                <w:b/>
                <w:bCs/>
                <w:sz w:val="21"/>
                <w:szCs w:val="21"/>
              </w:rPr>
              <w:fldChar w:fldCharType="end"/>
            </w:r>
          </w:p>
        </w:tc>
        <w:tc>
          <w:tcPr>
            <w:tcW w:w="1445" w:type="dxa"/>
            <w:noWrap w:val="0"/>
            <w:tcMar>
              <w:left w:w="28" w:type="dxa"/>
              <w:right w:w="28" w:type="dxa"/>
            </w:tcMar>
            <w:vAlign w:val="center"/>
          </w:tcPr>
          <w:p w14:paraId="7727DEE9">
            <w:pPr>
              <w:bidi w:val="0"/>
              <w:jc w:val="center"/>
              <w:rPr>
                <w:b/>
                <w:bCs/>
                <w:sz w:val="21"/>
                <w:szCs w:val="21"/>
              </w:rPr>
            </w:pPr>
            <w:r>
              <w:rPr>
                <w:b/>
                <w:bCs/>
                <w:sz w:val="21"/>
                <w:szCs w:val="21"/>
              </w:rPr>
              <w:t>在建工程排放量（固</w:t>
            </w:r>
            <w:r>
              <w:rPr>
                <w:rFonts w:hint="eastAsia"/>
                <w:b/>
                <w:bCs/>
                <w:sz w:val="21"/>
                <w:szCs w:val="21"/>
              </w:rPr>
              <w:t>体</w:t>
            </w:r>
            <w:r>
              <w:rPr>
                <w:b/>
                <w:bCs/>
                <w:sz w:val="21"/>
                <w:szCs w:val="21"/>
              </w:rPr>
              <w:t>废</w:t>
            </w:r>
            <w:r>
              <w:rPr>
                <w:rFonts w:hint="eastAsia"/>
                <w:b/>
                <w:bCs/>
                <w:sz w:val="21"/>
                <w:szCs w:val="21"/>
              </w:rPr>
              <w:t>物</w:t>
            </w:r>
            <w:r>
              <w:rPr>
                <w:b/>
                <w:bCs/>
                <w:sz w:val="21"/>
                <w:szCs w:val="21"/>
              </w:rPr>
              <w:t>产生量）</w:t>
            </w:r>
            <w:r>
              <w:rPr>
                <w:b/>
                <w:bCs/>
                <w:sz w:val="21"/>
                <w:szCs w:val="21"/>
              </w:rPr>
              <w:fldChar w:fldCharType="begin"/>
            </w:r>
            <w:r>
              <w:rPr>
                <w:b/>
                <w:bCs/>
                <w:sz w:val="21"/>
                <w:szCs w:val="21"/>
              </w:rPr>
              <w:instrText xml:space="preserve"> = 3 \* GB3 \* MERGEFORMAT </w:instrText>
            </w:r>
            <w:r>
              <w:rPr>
                <w:b/>
                <w:bCs/>
                <w:sz w:val="21"/>
                <w:szCs w:val="21"/>
              </w:rPr>
              <w:fldChar w:fldCharType="separate"/>
            </w:r>
            <w:r>
              <w:rPr>
                <w:rFonts w:hint="eastAsia"/>
                <w:b/>
                <w:bCs/>
                <w:sz w:val="21"/>
                <w:szCs w:val="21"/>
              </w:rPr>
              <w:t>③</w:t>
            </w:r>
            <w:r>
              <w:rPr>
                <w:b/>
                <w:bCs/>
                <w:sz w:val="21"/>
                <w:szCs w:val="21"/>
              </w:rPr>
              <w:fldChar w:fldCharType="end"/>
            </w:r>
          </w:p>
        </w:tc>
        <w:tc>
          <w:tcPr>
            <w:tcW w:w="1365" w:type="dxa"/>
            <w:noWrap w:val="0"/>
            <w:tcMar>
              <w:left w:w="28" w:type="dxa"/>
              <w:right w:w="28" w:type="dxa"/>
            </w:tcMar>
            <w:vAlign w:val="center"/>
          </w:tcPr>
          <w:p w14:paraId="1F650136">
            <w:pPr>
              <w:bidi w:val="0"/>
              <w:jc w:val="center"/>
              <w:rPr>
                <w:b/>
                <w:bCs/>
                <w:sz w:val="21"/>
                <w:szCs w:val="21"/>
              </w:rPr>
            </w:pPr>
            <w:r>
              <w:rPr>
                <w:b/>
                <w:bCs/>
                <w:sz w:val="21"/>
                <w:szCs w:val="21"/>
              </w:rPr>
              <w:t>本项目排放量（固</w:t>
            </w:r>
            <w:r>
              <w:rPr>
                <w:rFonts w:hint="eastAsia"/>
                <w:b/>
                <w:bCs/>
                <w:sz w:val="21"/>
                <w:szCs w:val="21"/>
              </w:rPr>
              <w:t>体</w:t>
            </w:r>
            <w:r>
              <w:rPr>
                <w:b/>
                <w:bCs/>
                <w:sz w:val="21"/>
                <w:szCs w:val="21"/>
              </w:rPr>
              <w:t>废</w:t>
            </w:r>
            <w:r>
              <w:rPr>
                <w:rFonts w:hint="eastAsia"/>
                <w:b/>
                <w:bCs/>
                <w:sz w:val="21"/>
                <w:szCs w:val="21"/>
              </w:rPr>
              <w:t>物</w:t>
            </w:r>
            <w:r>
              <w:rPr>
                <w:b/>
                <w:bCs/>
                <w:sz w:val="21"/>
                <w:szCs w:val="21"/>
              </w:rPr>
              <w:t>产生量）</w:t>
            </w:r>
            <w:r>
              <w:rPr>
                <w:b/>
                <w:bCs/>
                <w:sz w:val="21"/>
                <w:szCs w:val="21"/>
              </w:rPr>
              <w:fldChar w:fldCharType="begin"/>
            </w:r>
            <w:r>
              <w:rPr>
                <w:b/>
                <w:bCs/>
                <w:sz w:val="21"/>
                <w:szCs w:val="21"/>
              </w:rPr>
              <w:instrText xml:space="preserve"> = 4 \* GB3 \* MERGEFORMAT </w:instrText>
            </w:r>
            <w:r>
              <w:rPr>
                <w:b/>
                <w:bCs/>
                <w:sz w:val="21"/>
                <w:szCs w:val="21"/>
              </w:rPr>
              <w:fldChar w:fldCharType="separate"/>
            </w:r>
            <w:r>
              <w:rPr>
                <w:rFonts w:hint="eastAsia"/>
                <w:b/>
                <w:bCs/>
                <w:sz w:val="21"/>
                <w:szCs w:val="21"/>
              </w:rPr>
              <w:t>④</w:t>
            </w:r>
            <w:r>
              <w:rPr>
                <w:b/>
                <w:bCs/>
                <w:sz w:val="21"/>
                <w:szCs w:val="21"/>
              </w:rPr>
              <w:fldChar w:fldCharType="end"/>
            </w:r>
          </w:p>
        </w:tc>
        <w:tc>
          <w:tcPr>
            <w:tcW w:w="1560" w:type="dxa"/>
            <w:noWrap w:val="0"/>
            <w:tcMar>
              <w:left w:w="28" w:type="dxa"/>
              <w:right w:w="28" w:type="dxa"/>
            </w:tcMar>
            <w:vAlign w:val="center"/>
          </w:tcPr>
          <w:p w14:paraId="110DF1D1">
            <w:pPr>
              <w:bidi w:val="0"/>
              <w:jc w:val="center"/>
              <w:rPr>
                <w:b/>
                <w:bCs/>
                <w:sz w:val="21"/>
                <w:szCs w:val="21"/>
              </w:rPr>
            </w:pPr>
            <w:r>
              <w:rPr>
                <w:b/>
                <w:bCs/>
                <w:sz w:val="21"/>
                <w:szCs w:val="21"/>
              </w:rPr>
              <w:t>以新带老削减量（新建项目不填）</w:t>
            </w:r>
            <w:r>
              <w:rPr>
                <w:b/>
                <w:bCs/>
                <w:sz w:val="21"/>
                <w:szCs w:val="21"/>
              </w:rPr>
              <w:fldChar w:fldCharType="begin"/>
            </w:r>
            <w:r>
              <w:rPr>
                <w:b/>
                <w:bCs/>
                <w:sz w:val="21"/>
                <w:szCs w:val="21"/>
              </w:rPr>
              <w:instrText xml:space="preserve"> = 5 \* GB3 \* MERGEFORMAT </w:instrText>
            </w:r>
            <w:r>
              <w:rPr>
                <w:b/>
                <w:bCs/>
                <w:sz w:val="21"/>
                <w:szCs w:val="21"/>
              </w:rPr>
              <w:fldChar w:fldCharType="separate"/>
            </w:r>
            <w:r>
              <w:rPr>
                <w:rFonts w:hint="eastAsia"/>
                <w:b/>
                <w:bCs/>
                <w:sz w:val="21"/>
                <w:szCs w:val="21"/>
              </w:rPr>
              <w:t>⑤</w:t>
            </w:r>
            <w:r>
              <w:rPr>
                <w:b/>
                <w:bCs/>
                <w:sz w:val="21"/>
                <w:szCs w:val="21"/>
              </w:rPr>
              <w:fldChar w:fldCharType="end"/>
            </w:r>
          </w:p>
        </w:tc>
        <w:tc>
          <w:tcPr>
            <w:tcW w:w="1818" w:type="dxa"/>
            <w:noWrap w:val="0"/>
            <w:tcMar>
              <w:left w:w="28" w:type="dxa"/>
              <w:right w:w="28" w:type="dxa"/>
            </w:tcMar>
            <w:vAlign w:val="center"/>
          </w:tcPr>
          <w:p w14:paraId="69EDB83E">
            <w:pPr>
              <w:bidi w:val="0"/>
              <w:jc w:val="center"/>
              <w:rPr>
                <w:rFonts w:hint="eastAsia"/>
                <w:b/>
                <w:bCs/>
                <w:sz w:val="21"/>
                <w:szCs w:val="21"/>
              </w:rPr>
            </w:pPr>
            <w:r>
              <w:rPr>
                <w:b/>
                <w:bCs/>
                <w:sz w:val="21"/>
                <w:szCs w:val="21"/>
              </w:rPr>
              <w:t>本项目建成后</w:t>
            </w:r>
          </w:p>
          <w:p w14:paraId="713AFE65">
            <w:pPr>
              <w:bidi w:val="0"/>
              <w:jc w:val="center"/>
              <w:rPr>
                <w:b/>
                <w:bCs/>
                <w:sz w:val="21"/>
                <w:szCs w:val="21"/>
              </w:rPr>
            </w:pPr>
            <w:r>
              <w:rPr>
                <w:rFonts w:hint="eastAsia"/>
                <w:b/>
                <w:bCs/>
                <w:sz w:val="21"/>
                <w:szCs w:val="21"/>
              </w:rPr>
              <w:t>全厂</w:t>
            </w:r>
            <w:r>
              <w:rPr>
                <w:b/>
                <w:bCs/>
                <w:sz w:val="21"/>
                <w:szCs w:val="21"/>
              </w:rPr>
              <w:t>排放量（固</w:t>
            </w:r>
            <w:r>
              <w:rPr>
                <w:rFonts w:hint="eastAsia"/>
                <w:b/>
                <w:bCs/>
                <w:sz w:val="21"/>
                <w:szCs w:val="21"/>
              </w:rPr>
              <w:t>体</w:t>
            </w:r>
            <w:r>
              <w:rPr>
                <w:b/>
                <w:bCs/>
                <w:sz w:val="21"/>
                <w:szCs w:val="21"/>
              </w:rPr>
              <w:t>废</w:t>
            </w:r>
            <w:r>
              <w:rPr>
                <w:rFonts w:hint="eastAsia"/>
                <w:b/>
                <w:bCs/>
                <w:sz w:val="21"/>
                <w:szCs w:val="21"/>
              </w:rPr>
              <w:t>物</w:t>
            </w:r>
            <w:r>
              <w:rPr>
                <w:b/>
                <w:bCs/>
                <w:sz w:val="21"/>
                <w:szCs w:val="21"/>
              </w:rPr>
              <w:t>产生量）</w:t>
            </w:r>
            <w:r>
              <w:rPr>
                <w:b/>
                <w:bCs/>
                <w:sz w:val="21"/>
                <w:szCs w:val="21"/>
              </w:rPr>
              <w:fldChar w:fldCharType="begin"/>
            </w:r>
            <w:r>
              <w:rPr>
                <w:b/>
                <w:bCs/>
                <w:sz w:val="21"/>
                <w:szCs w:val="21"/>
              </w:rPr>
              <w:instrText xml:space="preserve"> = 6 \* GB3 \* MERGEFORMAT </w:instrText>
            </w:r>
            <w:r>
              <w:rPr>
                <w:b/>
                <w:bCs/>
                <w:sz w:val="21"/>
                <w:szCs w:val="21"/>
              </w:rPr>
              <w:fldChar w:fldCharType="separate"/>
            </w:r>
            <w:r>
              <w:rPr>
                <w:rFonts w:hint="eastAsia"/>
                <w:b/>
                <w:bCs/>
                <w:sz w:val="21"/>
                <w:szCs w:val="21"/>
              </w:rPr>
              <w:t>⑥</w:t>
            </w:r>
            <w:r>
              <w:rPr>
                <w:b/>
                <w:bCs/>
                <w:sz w:val="21"/>
                <w:szCs w:val="21"/>
              </w:rPr>
              <w:fldChar w:fldCharType="end"/>
            </w:r>
          </w:p>
        </w:tc>
        <w:tc>
          <w:tcPr>
            <w:tcW w:w="1137" w:type="dxa"/>
            <w:noWrap w:val="0"/>
            <w:tcMar>
              <w:left w:w="28" w:type="dxa"/>
              <w:right w:w="28" w:type="dxa"/>
            </w:tcMar>
            <w:vAlign w:val="center"/>
          </w:tcPr>
          <w:p w14:paraId="772C1CA6">
            <w:pPr>
              <w:bidi w:val="0"/>
              <w:jc w:val="center"/>
              <w:rPr>
                <w:b/>
                <w:bCs/>
                <w:sz w:val="21"/>
                <w:szCs w:val="21"/>
              </w:rPr>
            </w:pPr>
            <w:r>
              <w:rPr>
                <w:b/>
                <w:bCs/>
                <w:sz w:val="21"/>
                <w:szCs w:val="21"/>
              </w:rPr>
              <w:t>变化量</w:t>
            </w:r>
          </w:p>
          <w:p w14:paraId="036D198E">
            <w:pPr>
              <w:bidi w:val="0"/>
              <w:jc w:val="center"/>
              <w:rPr>
                <w:b/>
                <w:bCs/>
                <w:sz w:val="21"/>
                <w:szCs w:val="21"/>
              </w:rPr>
            </w:pPr>
            <w:r>
              <w:rPr>
                <w:b/>
                <w:bCs/>
                <w:sz w:val="21"/>
                <w:szCs w:val="21"/>
              </w:rPr>
              <w:fldChar w:fldCharType="begin"/>
            </w:r>
            <w:r>
              <w:rPr>
                <w:b/>
                <w:bCs/>
                <w:sz w:val="21"/>
                <w:szCs w:val="21"/>
              </w:rPr>
              <w:instrText xml:space="preserve"> = 7 \* GB3 \* MERGEFORMAT </w:instrText>
            </w:r>
            <w:r>
              <w:rPr>
                <w:b/>
                <w:bCs/>
                <w:sz w:val="21"/>
                <w:szCs w:val="21"/>
              </w:rPr>
              <w:fldChar w:fldCharType="separate"/>
            </w:r>
            <w:r>
              <w:rPr>
                <w:rFonts w:hint="eastAsia"/>
                <w:b/>
                <w:bCs/>
                <w:sz w:val="21"/>
                <w:szCs w:val="21"/>
              </w:rPr>
              <w:t>⑦</w:t>
            </w:r>
            <w:r>
              <w:rPr>
                <w:b/>
                <w:bCs/>
                <w:sz w:val="21"/>
                <w:szCs w:val="21"/>
              </w:rPr>
              <w:fldChar w:fldCharType="end"/>
            </w:r>
          </w:p>
        </w:tc>
      </w:tr>
      <w:tr w14:paraId="2EA90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restart"/>
            <w:noWrap w:val="0"/>
            <w:vAlign w:val="center"/>
          </w:tcPr>
          <w:p w14:paraId="5591EEBE">
            <w:pPr>
              <w:bidi w:val="0"/>
              <w:jc w:val="center"/>
              <w:rPr>
                <w:rFonts w:hint="eastAsia"/>
                <w:sz w:val="21"/>
                <w:szCs w:val="21"/>
              </w:rPr>
            </w:pPr>
            <w:r>
              <w:rPr>
                <w:rFonts w:hint="eastAsia"/>
                <w:sz w:val="21"/>
                <w:szCs w:val="21"/>
              </w:rPr>
              <w:t>废气</w:t>
            </w:r>
          </w:p>
        </w:tc>
        <w:tc>
          <w:tcPr>
            <w:tcW w:w="1826" w:type="dxa"/>
            <w:noWrap w:val="0"/>
            <w:vAlign w:val="center"/>
          </w:tcPr>
          <w:p w14:paraId="020FF63C">
            <w:pPr>
              <w:bidi w:val="0"/>
              <w:jc w:val="center"/>
              <w:rPr>
                <w:rFonts w:hint="eastAsia"/>
                <w:sz w:val="21"/>
                <w:szCs w:val="21"/>
                <w:lang w:val="en-US" w:eastAsia="zh-CN"/>
              </w:rPr>
            </w:pPr>
            <w:r>
              <w:rPr>
                <w:rFonts w:hint="eastAsia"/>
                <w:sz w:val="21"/>
                <w:szCs w:val="21"/>
                <w:lang w:val="en-US" w:eastAsia="zh-CN"/>
              </w:rPr>
              <w:t>颗粒物</w:t>
            </w:r>
          </w:p>
        </w:tc>
        <w:tc>
          <w:tcPr>
            <w:tcW w:w="1701" w:type="dxa"/>
            <w:noWrap w:val="0"/>
            <w:vAlign w:val="center"/>
          </w:tcPr>
          <w:p w14:paraId="23924B33">
            <w:pPr>
              <w:bidi w:val="0"/>
              <w:jc w:val="center"/>
              <w:rPr>
                <w:rFonts w:hint="default"/>
                <w:sz w:val="21"/>
                <w:szCs w:val="21"/>
                <w:lang w:val="en-US" w:eastAsia="zh-CN"/>
              </w:rPr>
            </w:pPr>
            <w:r>
              <w:rPr>
                <w:rFonts w:hint="eastAsia"/>
                <w:sz w:val="21"/>
                <w:szCs w:val="21"/>
                <w:lang w:val="en-US" w:eastAsia="zh-CN"/>
              </w:rPr>
              <w:t>/</w:t>
            </w:r>
          </w:p>
        </w:tc>
        <w:tc>
          <w:tcPr>
            <w:tcW w:w="1276" w:type="dxa"/>
            <w:noWrap w:val="0"/>
            <w:vAlign w:val="center"/>
          </w:tcPr>
          <w:p w14:paraId="3B5011BC">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419BA235">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66AFE630">
            <w:pPr>
              <w:bidi w:val="0"/>
              <w:jc w:val="center"/>
              <w:rPr>
                <w:rFonts w:hint="default"/>
                <w:sz w:val="21"/>
                <w:szCs w:val="21"/>
                <w:lang w:val="en-US" w:eastAsia="zh-CN"/>
              </w:rPr>
            </w:pPr>
            <w:r>
              <w:rPr>
                <w:rFonts w:hint="eastAsia"/>
                <w:sz w:val="21"/>
                <w:szCs w:val="21"/>
                <w:lang w:val="en-US" w:eastAsia="zh-CN"/>
              </w:rPr>
              <w:t>0.26t/a</w:t>
            </w:r>
          </w:p>
        </w:tc>
        <w:tc>
          <w:tcPr>
            <w:tcW w:w="1560" w:type="dxa"/>
            <w:noWrap w:val="0"/>
            <w:vAlign w:val="center"/>
          </w:tcPr>
          <w:p w14:paraId="1D66BDEF">
            <w:pPr>
              <w:bidi w:val="0"/>
              <w:jc w:val="center"/>
              <w:rPr>
                <w:rFonts w:hint="eastAsia"/>
                <w:sz w:val="21"/>
                <w:szCs w:val="21"/>
                <w:lang w:val="en-US" w:eastAsia="zh-CN"/>
              </w:rPr>
            </w:pPr>
            <w:r>
              <w:rPr>
                <w:rFonts w:hint="eastAsia"/>
                <w:sz w:val="21"/>
                <w:szCs w:val="21"/>
                <w:lang w:val="en-US" w:eastAsia="zh-CN"/>
              </w:rPr>
              <w:t>/</w:t>
            </w:r>
          </w:p>
        </w:tc>
        <w:tc>
          <w:tcPr>
            <w:tcW w:w="1818" w:type="dxa"/>
            <w:noWrap w:val="0"/>
            <w:vAlign w:val="center"/>
          </w:tcPr>
          <w:p w14:paraId="1519E5A4">
            <w:pPr>
              <w:bidi w:val="0"/>
              <w:jc w:val="center"/>
              <w:rPr>
                <w:rFonts w:hint="default"/>
                <w:sz w:val="21"/>
                <w:szCs w:val="21"/>
                <w:lang w:val="en-US" w:eastAsia="zh-CN"/>
              </w:rPr>
            </w:pPr>
            <w:r>
              <w:rPr>
                <w:rFonts w:hint="eastAsia"/>
                <w:sz w:val="21"/>
                <w:szCs w:val="21"/>
                <w:lang w:val="en-US" w:eastAsia="zh-CN"/>
              </w:rPr>
              <w:t>0.26t/a</w:t>
            </w:r>
          </w:p>
        </w:tc>
        <w:tc>
          <w:tcPr>
            <w:tcW w:w="1137" w:type="dxa"/>
            <w:noWrap w:val="0"/>
            <w:vAlign w:val="center"/>
          </w:tcPr>
          <w:p w14:paraId="54D0A990">
            <w:pPr>
              <w:bidi w:val="0"/>
              <w:jc w:val="center"/>
              <w:rPr>
                <w:rFonts w:hint="eastAsia"/>
                <w:sz w:val="21"/>
                <w:szCs w:val="21"/>
                <w:lang w:val="en-US" w:eastAsia="zh-CN"/>
              </w:rPr>
            </w:pPr>
            <w:r>
              <w:rPr>
                <w:rFonts w:hint="eastAsia"/>
                <w:sz w:val="21"/>
                <w:szCs w:val="21"/>
                <w:lang w:val="en-US" w:eastAsia="zh-CN"/>
              </w:rPr>
              <w:t>+0.26t/a</w:t>
            </w:r>
          </w:p>
        </w:tc>
      </w:tr>
      <w:tr w14:paraId="51CD4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35D1D664">
            <w:pPr>
              <w:bidi w:val="0"/>
              <w:jc w:val="center"/>
              <w:rPr>
                <w:rFonts w:hint="eastAsia"/>
                <w:sz w:val="21"/>
                <w:szCs w:val="21"/>
              </w:rPr>
            </w:pPr>
          </w:p>
        </w:tc>
        <w:tc>
          <w:tcPr>
            <w:tcW w:w="1826" w:type="dxa"/>
            <w:noWrap w:val="0"/>
            <w:vAlign w:val="center"/>
          </w:tcPr>
          <w:p w14:paraId="725E0425">
            <w:pPr>
              <w:bidi w:val="0"/>
              <w:jc w:val="center"/>
              <w:rPr>
                <w:rFonts w:hint="default"/>
                <w:sz w:val="21"/>
                <w:szCs w:val="21"/>
                <w:lang w:val="en-US" w:eastAsia="zh-CN"/>
              </w:rPr>
            </w:pPr>
            <w:r>
              <w:rPr>
                <w:rFonts w:hint="eastAsia"/>
                <w:sz w:val="21"/>
                <w:szCs w:val="21"/>
                <w:lang w:val="en-US" w:eastAsia="zh-CN"/>
              </w:rPr>
              <w:t>VOCs</w:t>
            </w:r>
          </w:p>
        </w:tc>
        <w:tc>
          <w:tcPr>
            <w:tcW w:w="1701" w:type="dxa"/>
            <w:noWrap w:val="0"/>
            <w:vAlign w:val="center"/>
          </w:tcPr>
          <w:p w14:paraId="28811DBA">
            <w:pPr>
              <w:bidi w:val="0"/>
              <w:jc w:val="center"/>
              <w:rPr>
                <w:rFonts w:hint="eastAsia"/>
                <w:sz w:val="21"/>
                <w:szCs w:val="21"/>
                <w:lang w:val="en-US" w:eastAsia="zh-CN"/>
              </w:rPr>
            </w:pPr>
            <w:r>
              <w:rPr>
                <w:rFonts w:hint="eastAsia"/>
                <w:sz w:val="21"/>
                <w:szCs w:val="21"/>
                <w:lang w:val="en-US" w:eastAsia="zh-CN"/>
              </w:rPr>
              <w:t>/</w:t>
            </w:r>
          </w:p>
        </w:tc>
        <w:tc>
          <w:tcPr>
            <w:tcW w:w="1276" w:type="dxa"/>
            <w:noWrap w:val="0"/>
            <w:vAlign w:val="center"/>
          </w:tcPr>
          <w:p w14:paraId="097E3D4A">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69B3C6ED">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5C5E644F">
            <w:pPr>
              <w:bidi w:val="0"/>
              <w:jc w:val="center"/>
              <w:rPr>
                <w:rFonts w:hint="default"/>
                <w:sz w:val="21"/>
                <w:szCs w:val="21"/>
                <w:lang w:val="en-US" w:eastAsia="zh-CN"/>
              </w:rPr>
            </w:pPr>
            <w:r>
              <w:rPr>
                <w:rFonts w:hint="eastAsia"/>
                <w:sz w:val="21"/>
                <w:szCs w:val="21"/>
                <w:lang w:val="en-US" w:eastAsia="zh-CN"/>
              </w:rPr>
              <w:t>0.355t/a</w:t>
            </w:r>
          </w:p>
        </w:tc>
        <w:tc>
          <w:tcPr>
            <w:tcW w:w="1560" w:type="dxa"/>
            <w:noWrap w:val="0"/>
            <w:vAlign w:val="center"/>
          </w:tcPr>
          <w:p w14:paraId="718A1EA3">
            <w:pPr>
              <w:bidi w:val="0"/>
              <w:jc w:val="center"/>
              <w:rPr>
                <w:rFonts w:hint="eastAsia"/>
                <w:sz w:val="21"/>
                <w:szCs w:val="21"/>
                <w:lang w:val="en-US" w:eastAsia="zh-CN"/>
              </w:rPr>
            </w:pPr>
            <w:r>
              <w:rPr>
                <w:rFonts w:hint="eastAsia"/>
                <w:sz w:val="21"/>
                <w:szCs w:val="21"/>
                <w:lang w:val="en-US" w:eastAsia="zh-CN"/>
              </w:rPr>
              <w:t>/</w:t>
            </w:r>
          </w:p>
        </w:tc>
        <w:tc>
          <w:tcPr>
            <w:tcW w:w="1818" w:type="dxa"/>
            <w:noWrap w:val="0"/>
            <w:vAlign w:val="center"/>
          </w:tcPr>
          <w:p w14:paraId="5F4DFD42">
            <w:pPr>
              <w:bidi w:val="0"/>
              <w:jc w:val="center"/>
              <w:rPr>
                <w:rFonts w:hint="eastAsia"/>
                <w:sz w:val="21"/>
                <w:szCs w:val="21"/>
                <w:lang w:val="en-US" w:eastAsia="zh-CN"/>
              </w:rPr>
            </w:pPr>
            <w:r>
              <w:rPr>
                <w:rFonts w:hint="eastAsia"/>
                <w:sz w:val="21"/>
                <w:szCs w:val="21"/>
                <w:lang w:val="en-US" w:eastAsia="zh-CN"/>
              </w:rPr>
              <w:t>0.355t/a</w:t>
            </w:r>
          </w:p>
        </w:tc>
        <w:tc>
          <w:tcPr>
            <w:tcW w:w="1137" w:type="dxa"/>
            <w:noWrap w:val="0"/>
            <w:vAlign w:val="center"/>
          </w:tcPr>
          <w:p w14:paraId="68309E26">
            <w:pPr>
              <w:bidi w:val="0"/>
              <w:jc w:val="center"/>
              <w:rPr>
                <w:rFonts w:hint="default"/>
                <w:sz w:val="21"/>
                <w:szCs w:val="21"/>
                <w:lang w:val="en-US" w:eastAsia="zh-CN"/>
              </w:rPr>
            </w:pPr>
            <w:r>
              <w:rPr>
                <w:rFonts w:hint="eastAsia"/>
                <w:sz w:val="21"/>
                <w:szCs w:val="21"/>
                <w:lang w:val="en-US" w:eastAsia="zh-CN"/>
              </w:rPr>
              <w:t>+0.355t/a</w:t>
            </w:r>
          </w:p>
        </w:tc>
      </w:tr>
      <w:tr w14:paraId="31F42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39F8260F">
            <w:pPr>
              <w:bidi w:val="0"/>
              <w:jc w:val="center"/>
              <w:rPr>
                <w:rFonts w:hint="eastAsia"/>
                <w:sz w:val="21"/>
                <w:szCs w:val="21"/>
              </w:rPr>
            </w:pPr>
          </w:p>
        </w:tc>
        <w:tc>
          <w:tcPr>
            <w:tcW w:w="1826" w:type="dxa"/>
            <w:noWrap w:val="0"/>
            <w:vAlign w:val="center"/>
          </w:tcPr>
          <w:p w14:paraId="43A4A7AD">
            <w:pPr>
              <w:bidi w:val="0"/>
              <w:jc w:val="center"/>
              <w:rPr>
                <w:rFonts w:hint="default"/>
                <w:sz w:val="21"/>
                <w:szCs w:val="21"/>
                <w:lang w:val="en-US" w:eastAsia="zh-CN"/>
              </w:rPr>
            </w:pPr>
            <w:r>
              <w:rPr>
                <w:rFonts w:hint="eastAsia"/>
                <w:sz w:val="21"/>
                <w:szCs w:val="21"/>
                <w:lang w:val="en-US" w:eastAsia="zh-CN"/>
              </w:rPr>
              <w:t>二甲苯</w:t>
            </w:r>
          </w:p>
        </w:tc>
        <w:tc>
          <w:tcPr>
            <w:tcW w:w="1701" w:type="dxa"/>
            <w:noWrap w:val="0"/>
            <w:vAlign w:val="center"/>
          </w:tcPr>
          <w:p w14:paraId="13CEBF26">
            <w:pPr>
              <w:bidi w:val="0"/>
              <w:jc w:val="center"/>
              <w:rPr>
                <w:rFonts w:hint="eastAsia"/>
                <w:sz w:val="21"/>
                <w:szCs w:val="21"/>
                <w:lang w:val="en-US" w:eastAsia="zh-CN"/>
              </w:rPr>
            </w:pPr>
            <w:r>
              <w:rPr>
                <w:rFonts w:hint="eastAsia"/>
                <w:sz w:val="21"/>
                <w:szCs w:val="21"/>
                <w:lang w:val="en-US" w:eastAsia="zh-CN"/>
              </w:rPr>
              <w:t>/</w:t>
            </w:r>
          </w:p>
        </w:tc>
        <w:tc>
          <w:tcPr>
            <w:tcW w:w="1276" w:type="dxa"/>
            <w:shd w:val="clear" w:color="auto" w:fill="auto"/>
            <w:noWrap w:val="0"/>
            <w:vAlign w:val="center"/>
          </w:tcPr>
          <w:p w14:paraId="72D2B9A7">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445" w:type="dxa"/>
            <w:shd w:val="clear" w:color="auto" w:fill="auto"/>
            <w:noWrap w:val="0"/>
            <w:vAlign w:val="center"/>
          </w:tcPr>
          <w:p w14:paraId="31C07BC4">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365" w:type="dxa"/>
            <w:noWrap w:val="0"/>
            <w:vAlign w:val="center"/>
          </w:tcPr>
          <w:p w14:paraId="676BAAD7">
            <w:pPr>
              <w:bidi w:val="0"/>
              <w:jc w:val="center"/>
              <w:rPr>
                <w:rFonts w:hint="default"/>
                <w:sz w:val="21"/>
                <w:szCs w:val="21"/>
                <w:lang w:val="en-US" w:eastAsia="zh-CN"/>
              </w:rPr>
            </w:pPr>
            <w:r>
              <w:rPr>
                <w:rFonts w:hint="eastAsia"/>
                <w:sz w:val="21"/>
                <w:szCs w:val="21"/>
                <w:lang w:val="en-US" w:eastAsia="zh-CN"/>
              </w:rPr>
              <w:t>0.07t/a</w:t>
            </w:r>
          </w:p>
        </w:tc>
        <w:tc>
          <w:tcPr>
            <w:tcW w:w="1560" w:type="dxa"/>
            <w:noWrap w:val="0"/>
            <w:vAlign w:val="center"/>
          </w:tcPr>
          <w:p w14:paraId="6F5765DC">
            <w:pPr>
              <w:bidi w:val="0"/>
              <w:jc w:val="center"/>
              <w:rPr>
                <w:rFonts w:hint="default"/>
                <w:sz w:val="21"/>
                <w:szCs w:val="21"/>
                <w:lang w:val="en-US" w:eastAsia="zh-CN"/>
              </w:rPr>
            </w:pPr>
            <w:r>
              <w:rPr>
                <w:rFonts w:hint="eastAsia"/>
                <w:sz w:val="21"/>
                <w:szCs w:val="21"/>
                <w:lang w:val="en-US" w:eastAsia="zh-CN"/>
              </w:rPr>
              <w:t>/</w:t>
            </w:r>
          </w:p>
        </w:tc>
        <w:tc>
          <w:tcPr>
            <w:tcW w:w="1818" w:type="dxa"/>
            <w:noWrap w:val="0"/>
            <w:vAlign w:val="center"/>
          </w:tcPr>
          <w:p w14:paraId="629D2322">
            <w:pPr>
              <w:bidi w:val="0"/>
              <w:jc w:val="center"/>
              <w:rPr>
                <w:rFonts w:hint="eastAsia"/>
                <w:sz w:val="21"/>
                <w:szCs w:val="21"/>
                <w:lang w:val="en-US" w:eastAsia="zh-CN"/>
              </w:rPr>
            </w:pPr>
            <w:r>
              <w:rPr>
                <w:rFonts w:hint="eastAsia"/>
                <w:sz w:val="21"/>
                <w:szCs w:val="21"/>
                <w:lang w:val="en-US" w:eastAsia="zh-CN"/>
              </w:rPr>
              <w:t>0.07t/a</w:t>
            </w:r>
          </w:p>
        </w:tc>
        <w:tc>
          <w:tcPr>
            <w:tcW w:w="1137" w:type="dxa"/>
            <w:noWrap w:val="0"/>
            <w:vAlign w:val="center"/>
          </w:tcPr>
          <w:p w14:paraId="0FAF8C7D">
            <w:pPr>
              <w:bidi w:val="0"/>
              <w:jc w:val="center"/>
              <w:rPr>
                <w:rFonts w:hint="eastAsia"/>
                <w:sz w:val="21"/>
                <w:szCs w:val="21"/>
                <w:lang w:val="en-US" w:eastAsia="zh-CN"/>
              </w:rPr>
            </w:pPr>
            <w:r>
              <w:rPr>
                <w:rFonts w:hint="eastAsia"/>
                <w:sz w:val="21"/>
                <w:szCs w:val="21"/>
                <w:lang w:val="en-US" w:eastAsia="zh-CN"/>
              </w:rPr>
              <w:t>+0.07t/a</w:t>
            </w:r>
          </w:p>
        </w:tc>
      </w:tr>
      <w:tr w14:paraId="5DE38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5E5C3940">
            <w:pPr>
              <w:bidi w:val="0"/>
              <w:jc w:val="center"/>
              <w:rPr>
                <w:rFonts w:hint="eastAsia"/>
                <w:sz w:val="21"/>
                <w:szCs w:val="21"/>
              </w:rPr>
            </w:pPr>
          </w:p>
        </w:tc>
        <w:tc>
          <w:tcPr>
            <w:tcW w:w="1826" w:type="dxa"/>
            <w:noWrap w:val="0"/>
            <w:vAlign w:val="center"/>
          </w:tcPr>
          <w:p w14:paraId="35ED9FD0">
            <w:pPr>
              <w:bidi w:val="0"/>
              <w:jc w:val="center"/>
              <w:rPr>
                <w:rFonts w:hint="default"/>
                <w:sz w:val="21"/>
                <w:szCs w:val="21"/>
                <w:lang w:val="en-US" w:eastAsia="zh-CN"/>
              </w:rPr>
            </w:pPr>
            <w:r>
              <w:rPr>
                <w:rFonts w:hint="eastAsia"/>
                <w:sz w:val="21"/>
                <w:szCs w:val="21"/>
                <w:lang w:val="en-US" w:eastAsia="zh-CN"/>
              </w:rPr>
              <w:t>乙酸丁酯</w:t>
            </w:r>
          </w:p>
        </w:tc>
        <w:tc>
          <w:tcPr>
            <w:tcW w:w="1701" w:type="dxa"/>
            <w:noWrap w:val="0"/>
            <w:vAlign w:val="center"/>
          </w:tcPr>
          <w:p w14:paraId="763240E0">
            <w:pPr>
              <w:bidi w:val="0"/>
              <w:jc w:val="center"/>
              <w:rPr>
                <w:rFonts w:hint="eastAsia"/>
                <w:sz w:val="21"/>
                <w:szCs w:val="21"/>
                <w:lang w:val="en-US" w:eastAsia="zh-CN"/>
              </w:rPr>
            </w:pPr>
            <w:r>
              <w:rPr>
                <w:rFonts w:hint="eastAsia"/>
                <w:sz w:val="21"/>
                <w:szCs w:val="21"/>
                <w:lang w:val="en-US" w:eastAsia="zh-CN"/>
              </w:rPr>
              <w:t>/</w:t>
            </w:r>
          </w:p>
        </w:tc>
        <w:tc>
          <w:tcPr>
            <w:tcW w:w="1276" w:type="dxa"/>
            <w:noWrap w:val="0"/>
            <w:vAlign w:val="center"/>
          </w:tcPr>
          <w:p w14:paraId="2FC77442">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47065A0E">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57A517CD">
            <w:pPr>
              <w:bidi w:val="0"/>
              <w:jc w:val="center"/>
              <w:rPr>
                <w:rFonts w:hint="default"/>
                <w:sz w:val="21"/>
                <w:szCs w:val="21"/>
                <w:lang w:val="en-US" w:eastAsia="zh-CN"/>
              </w:rPr>
            </w:pPr>
            <w:r>
              <w:rPr>
                <w:rFonts w:hint="eastAsia"/>
                <w:sz w:val="21"/>
                <w:szCs w:val="21"/>
                <w:lang w:val="en-US" w:eastAsia="zh-CN"/>
              </w:rPr>
              <w:t>0.027t/a</w:t>
            </w:r>
          </w:p>
        </w:tc>
        <w:tc>
          <w:tcPr>
            <w:tcW w:w="1560" w:type="dxa"/>
            <w:noWrap w:val="0"/>
            <w:vAlign w:val="center"/>
          </w:tcPr>
          <w:p w14:paraId="072BF1DD">
            <w:pPr>
              <w:bidi w:val="0"/>
              <w:jc w:val="center"/>
              <w:rPr>
                <w:rFonts w:hint="eastAsia"/>
                <w:sz w:val="21"/>
                <w:szCs w:val="21"/>
                <w:lang w:val="en-US" w:eastAsia="zh-CN"/>
              </w:rPr>
            </w:pPr>
            <w:r>
              <w:rPr>
                <w:rFonts w:hint="eastAsia"/>
                <w:sz w:val="21"/>
                <w:szCs w:val="21"/>
                <w:lang w:val="en-US" w:eastAsia="zh-CN"/>
              </w:rPr>
              <w:t>/</w:t>
            </w:r>
          </w:p>
        </w:tc>
        <w:tc>
          <w:tcPr>
            <w:tcW w:w="1818" w:type="dxa"/>
            <w:noWrap w:val="0"/>
            <w:vAlign w:val="center"/>
          </w:tcPr>
          <w:p w14:paraId="62CDA4B3">
            <w:pPr>
              <w:bidi w:val="0"/>
              <w:jc w:val="center"/>
              <w:rPr>
                <w:rFonts w:hint="eastAsia"/>
                <w:sz w:val="21"/>
                <w:szCs w:val="21"/>
                <w:lang w:val="en-US" w:eastAsia="zh-CN"/>
              </w:rPr>
            </w:pPr>
            <w:r>
              <w:rPr>
                <w:rFonts w:hint="eastAsia"/>
                <w:sz w:val="21"/>
                <w:szCs w:val="21"/>
                <w:lang w:val="en-US" w:eastAsia="zh-CN"/>
              </w:rPr>
              <w:t>0.027t/a</w:t>
            </w:r>
          </w:p>
        </w:tc>
        <w:tc>
          <w:tcPr>
            <w:tcW w:w="1137" w:type="dxa"/>
            <w:noWrap w:val="0"/>
            <w:vAlign w:val="center"/>
          </w:tcPr>
          <w:p w14:paraId="7B5AB08F">
            <w:pPr>
              <w:bidi w:val="0"/>
              <w:jc w:val="center"/>
              <w:rPr>
                <w:rFonts w:hint="eastAsia"/>
                <w:sz w:val="21"/>
                <w:szCs w:val="21"/>
                <w:lang w:val="en-US" w:eastAsia="zh-CN"/>
              </w:rPr>
            </w:pPr>
            <w:r>
              <w:rPr>
                <w:rFonts w:hint="eastAsia"/>
                <w:sz w:val="21"/>
                <w:szCs w:val="21"/>
                <w:lang w:val="en-US" w:eastAsia="zh-CN"/>
              </w:rPr>
              <w:t>+0.027t/a</w:t>
            </w:r>
          </w:p>
        </w:tc>
      </w:tr>
      <w:tr w14:paraId="560F5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restart"/>
            <w:noWrap w:val="0"/>
            <w:vAlign w:val="center"/>
          </w:tcPr>
          <w:p w14:paraId="4513D355">
            <w:pPr>
              <w:bidi w:val="0"/>
              <w:jc w:val="center"/>
              <w:rPr>
                <w:rFonts w:hint="eastAsia" w:eastAsia="宋体"/>
                <w:sz w:val="21"/>
                <w:szCs w:val="21"/>
                <w:lang w:val="en-US" w:eastAsia="zh-CN"/>
              </w:rPr>
            </w:pPr>
            <w:r>
              <w:rPr>
                <w:rFonts w:hint="eastAsia"/>
                <w:sz w:val="21"/>
                <w:szCs w:val="21"/>
                <w:lang w:val="en-US" w:eastAsia="zh-CN"/>
              </w:rPr>
              <w:t>废水</w:t>
            </w:r>
          </w:p>
        </w:tc>
        <w:tc>
          <w:tcPr>
            <w:tcW w:w="1826" w:type="dxa"/>
            <w:noWrap w:val="0"/>
            <w:vAlign w:val="center"/>
          </w:tcPr>
          <w:p w14:paraId="399289E7">
            <w:pPr>
              <w:bidi w:val="0"/>
              <w:jc w:val="center"/>
              <w:rPr>
                <w:rFonts w:hint="eastAsia"/>
                <w:sz w:val="21"/>
                <w:szCs w:val="21"/>
                <w:lang w:val="en-US" w:eastAsia="zh-CN"/>
              </w:rPr>
            </w:pPr>
            <w:r>
              <w:rPr>
                <w:rFonts w:hint="eastAsia"/>
                <w:sz w:val="21"/>
                <w:szCs w:val="21"/>
                <w:lang w:val="en-US" w:eastAsia="zh-CN"/>
              </w:rPr>
              <w:t>COD</w:t>
            </w:r>
          </w:p>
        </w:tc>
        <w:tc>
          <w:tcPr>
            <w:tcW w:w="1701" w:type="dxa"/>
            <w:shd w:val="clear" w:color="auto" w:fill="auto"/>
            <w:noWrap w:val="0"/>
            <w:vAlign w:val="center"/>
          </w:tcPr>
          <w:p w14:paraId="60AA96E4">
            <w:pPr>
              <w:bidi w:val="0"/>
              <w:jc w:val="center"/>
              <w:rPr>
                <w:rFonts w:hint="default"/>
                <w:sz w:val="21"/>
                <w:szCs w:val="21"/>
                <w:lang w:val="en-US" w:eastAsia="zh-CN"/>
              </w:rPr>
            </w:pPr>
            <w:r>
              <w:rPr>
                <w:rFonts w:hint="eastAsia"/>
                <w:sz w:val="21"/>
                <w:szCs w:val="21"/>
                <w:lang w:val="en-US" w:eastAsia="zh-CN"/>
              </w:rPr>
              <w:t>0.102t/a</w:t>
            </w:r>
          </w:p>
        </w:tc>
        <w:tc>
          <w:tcPr>
            <w:tcW w:w="1276" w:type="dxa"/>
            <w:shd w:val="clear" w:color="auto" w:fill="auto"/>
            <w:noWrap w:val="0"/>
            <w:vAlign w:val="center"/>
          </w:tcPr>
          <w:p w14:paraId="28D5EE2C">
            <w:pPr>
              <w:bidi w:val="0"/>
              <w:jc w:val="center"/>
              <w:rPr>
                <w:rFonts w:hint="eastAsia"/>
                <w:sz w:val="21"/>
                <w:szCs w:val="21"/>
                <w:lang w:val="en-US" w:eastAsia="zh-CN"/>
              </w:rPr>
            </w:pPr>
            <w:r>
              <w:rPr>
                <w:rFonts w:hint="eastAsia"/>
                <w:sz w:val="21"/>
                <w:szCs w:val="21"/>
                <w:lang w:val="en-US" w:eastAsia="zh-CN"/>
              </w:rPr>
              <w:t>/</w:t>
            </w:r>
          </w:p>
        </w:tc>
        <w:tc>
          <w:tcPr>
            <w:tcW w:w="1445" w:type="dxa"/>
            <w:shd w:val="clear" w:color="auto" w:fill="auto"/>
            <w:noWrap w:val="0"/>
            <w:vAlign w:val="center"/>
          </w:tcPr>
          <w:p w14:paraId="53C1BCF4">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0E5C3011">
            <w:pPr>
              <w:bidi w:val="0"/>
              <w:jc w:val="center"/>
              <w:rPr>
                <w:rFonts w:hint="default"/>
                <w:sz w:val="21"/>
                <w:szCs w:val="21"/>
                <w:lang w:val="en-US" w:eastAsia="zh-CN"/>
              </w:rPr>
            </w:pPr>
            <w:r>
              <w:rPr>
                <w:rFonts w:hint="eastAsia"/>
                <w:sz w:val="21"/>
                <w:szCs w:val="21"/>
                <w:lang w:val="en-US" w:eastAsia="zh-CN"/>
              </w:rPr>
              <w:t>0.041t/a</w:t>
            </w:r>
          </w:p>
        </w:tc>
        <w:tc>
          <w:tcPr>
            <w:tcW w:w="1560" w:type="dxa"/>
            <w:noWrap w:val="0"/>
            <w:vAlign w:val="center"/>
          </w:tcPr>
          <w:p w14:paraId="0F8F221B">
            <w:pPr>
              <w:bidi w:val="0"/>
              <w:jc w:val="center"/>
              <w:rPr>
                <w:rFonts w:hint="eastAsia"/>
                <w:sz w:val="21"/>
                <w:szCs w:val="21"/>
                <w:lang w:val="en-US" w:eastAsia="zh-CN"/>
              </w:rPr>
            </w:pPr>
            <w:r>
              <w:rPr>
                <w:rFonts w:hint="eastAsia"/>
                <w:sz w:val="21"/>
                <w:szCs w:val="21"/>
                <w:lang w:val="en-US" w:eastAsia="zh-CN"/>
              </w:rPr>
              <w:t>/</w:t>
            </w:r>
          </w:p>
        </w:tc>
        <w:tc>
          <w:tcPr>
            <w:tcW w:w="1818" w:type="dxa"/>
            <w:noWrap w:val="0"/>
            <w:vAlign w:val="center"/>
          </w:tcPr>
          <w:p w14:paraId="00587D6B">
            <w:pPr>
              <w:bidi w:val="0"/>
              <w:jc w:val="center"/>
              <w:rPr>
                <w:rFonts w:hint="default"/>
                <w:sz w:val="21"/>
                <w:szCs w:val="21"/>
                <w:lang w:val="en-US" w:eastAsia="zh-CN"/>
              </w:rPr>
            </w:pPr>
            <w:r>
              <w:rPr>
                <w:rFonts w:hint="eastAsia"/>
                <w:sz w:val="21"/>
                <w:szCs w:val="21"/>
                <w:lang w:val="en-US" w:eastAsia="zh-CN"/>
              </w:rPr>
              <w:t>0.153t/a</w:t>
            </w:r>
          </w:p>
        </w:tc>
        <w:tc>
          <w:tcPr>
            <w:tcW w:w="1137" w:type="dxa"/>
            <w:noWrap w:val="0"/>
            <w:vAlign w:val="center"/>
          </w:tcPr>
          <w:p w14:paraId="536499C1">
            <w:pPr>
              <w:bidi w:val="0"/>
              <w:jc w:val="center"/>
              <w:rPr>
                <w:rFonts w:hint="default"/>
                <w:sz w:val="21"/>
                <w:szCs w:val="21"/>
                <w:lang w:val="en-US" w:eastAsia="zh-CN"/>
              </w:rPr>
            </w:pPr>
            <w:r>
              <w:rPr>
                <w:rFonts w:hint="eastAsia"/>
                <w:sz w:val="21"/>
                <w:szCs w:val="21"/>
                <w:lang w:val="en-US" w:eastAsia="zh-CN"/>
              </w:rPr>
              <w:t>+0.041t/a</w:t>
            </w:r>
          </w:p>
        </w:tc>
      </w:tr>
      <w:tr w14:paraId="636A4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093C56E5">
            <w:pPr>
              <w:bidi w:val="0"/>
              <w:jc w:val="center"/>
              <w:rPr>
                <w:rFonts w:hint="eastAsia"/>
                <w:sz w:val="21"/>
                <w:szCs w:val="21"/>
              </w:rPr>
            </w:pPr>
          </w:p>
        </w:tc>
        <w:tc>
          <w:tcPr>
            <w:tcW w:w="1826" w:type="dxa"/>
            <w:noWrap w:val="0"/>
            <w:vAlign w:val="center"/>
          </w:tcPr>
          <w:p w14:paraId="5862BA04">
            <w:pPr>
              <w:bidi w:val="0"/>
              <w:jc w:val="center"/>
              <w:rPr>
                <w:rFonts w:hint="eastAsia"/>
                <w:sz w:val="21"/>
                <w:szCs w:val="21"/>
                <w:lang w:val="en-US" w:eastAsia="zh-CN"/>
              </w:rPr>
            </w:pPr>
            <w:r>
              <w:rPr>
                <w:rFonts w:hint="eastAsia"/>
                <w:sz w:val="21"/>
                <w:szCs w:val="21"/>
                <w:lang w:val="en-US" w:eastAsia="zh-CN"/>
              </w:rPr>
              <w:t>氨氮</w:t>
            </w:r>
          </w:p>
        </w:tc>
        <w:tc>
          <w:tcPr>
            <w:tcW w:w="1701" w:type="dxa"/>
            <w:shd w:val="clear" w:color="auto" w:fill="auto"/>
            <w:noWrap w:val="0"/>
            <w:vAlign w:val="center"/>
          </w:tcPr>
          <w:p w14:paraId="0A9A9DB6">
            <w:pPr>
              <w:bidi w:val="0"/>
              <w:jc w:val="center"/>
              <w:rPr>
                <w:rFonts w:hint="default"/>
                <w:sz w:val="21"/>
                <w:szCs w:val="21"/>
                <w:lang w:val="en-US" w:eastAsia="zh-CN"/>
              </w:rPr>
            </w:pPr>
            <w:r>
              <w:rPr>
                <w:rFonts w:hint="eastAsia"/>
                <w:sz w:val="21"/>
                <w:szCs w:val="21"/>
                <w:lang w:val="en-US" w:eastAsia="zh-CN"/>
              </w:rPr>
              <w:t>0.0114t/a</w:t>
            </w:r>
          </w:p>
        </w:tc>
        <w:tc>
          <w:tcPr>
            <w:tcW w:w="1276" w:type="dxa"/>
            <w:shd w:val="clear" w:color="auto" w:fill="auto"/>
            <w:noWrap w:val="0"/>
            <w:vAlign w:val="center"/>
          </w:tcPr>
          <w:p w14:paraId="56B1878B">
            <w:pPr>
              <w:bidi w:val="0"/>
              <w:jc w:val="center"/>
              <w:rPr>
                <w:rFonts w:hint="eastAsia"/>
                <w:sz w:val="21"/>
                <w:szCs w:val="21"/>
                <w:lang w:val="en-US" w:eastAsia="zh-CN"/>
              </w:rPr>
            </w:pPr>
            <w:r>
              <w:rPr>
                <w:rFonts w:hint="eastAsia"/>
                <w:sz w:val="21"/>
                <w:szCs w:val="21"/>
                <w:lang w:val="en-US" w:eastAsia="zh-CN"/>
              </w:rPr>
              <w:t>/</w:t>
            </w:r>
          </w:p>
        </w:tc>
        <w:tc>
          <w:tcPr>
            <w:tcW w:w="1445" w:type="dxa"/>
            <w:shd w:val="clear" w:color="auto" w:fill="auto"/>
            <w:noWrap w:val="0"/>
            <w:vAlign w:val="center"/>
          </w:tcPr>
          <w:p w14:paraId="2479EB12">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67A1D539">
            <w:pPr>
              <w:bidi w:val="0"/>
              <w:jc w:val="center"/>
              <w:rPr>
                <w:rFonts w:hint="default"/>
                <w:sz w:val="21"/>
                <w:szCs w:val="21"/>
                <w:lang w:val="en-US" w:eastAsia="zh-CN"/>
              </w:rPr>
            </w:pPr>
            <w:r>
              <w:rPr>
                <w:rFonts w:hint="eastAsia"/>
                <w:sz w:val="21"/>
                <w:szCs w:val="21"/>
                <w:lang w:val="en-US" w:eastAsia="zh-CN"/>
              </w:rPr>
              <w:t>0.0057t/a</w:t>
            </w:r>
          </w:p>
        </w:tc>
        <w:tc>
          <w:tcPr>
            <w:tcW w:w="1560" w:type="dxa"/>
            <w:noWrap w:val="0"/>
            <w:vAlign w:val="center"/>
          </w:tcPr>
          <w:p w14:paraId="6590F582">
            <w:pPr>
              <w:bidi w:val="0"/>
              <w:jc w:val="center"/>
              <w:rPr>
                <w:rFonts w:hint="eastAsia"/>
                <w:sz w:val="21"/>
                <w:szCs w:val="21"/>
                <w:lang w:val="en-US" w:eastAsia="zh-CN"/>
              </w:rPr>
            </w:pPr>
            <w:r>
              <w:rPr>
                <w:rFonts w:hint="eastAsia"/>
                <w:sz w:val="21"/>
                <w:szCs w:val="21"/>
                <w:lang w:val="en-US" w:eastAsia="zh-CN"/>
              </w:rPr>
              <w:t>/</w:t>
            </w:r>
          </w:p>
        </w:tc>
        <w:tc>
          <w:tcPr>
            <w:tcW w:w="1818" w:type="dxa"/>
            <w:noWrap w:val="0"/>
            <w:vAlign w:val="center"/>
          </w:tcPr>
          <w:p w14:paraId="07E4DB91">
            <w:pPr>
              <w:bidi w:val="0"/>
              <w:jc w:val="center"/>
              <w:rPr>
                <w:rFonts w:hint="default"/>
                <w:sz w:val="21"/>
                <w:szCs w:val="21"/>
                <w:lang w:val="en-US" w:eastAsia="zh-CN"/>
              </w:rPr>
            </w:pPr>
            <w:r>
              <w:rPr>
                <w:rFonts w:hint="eastAsia"/>
                <w:sz w:val="21"/>
                <w:szCs w:val="21"/>
                <w:lang w:val="en-US" w:eastAsia="zh-CN"/>
              </w:rPr>
              <w:t>0.0171t/a</w:t>
            </w:r>
          </w:p>
        </w:tc>
        <w:tc>
          <w:tcPr>
            <w:tcW w:w="1137" w:type="dxa"/>
            <w:noWrap w:val="0"/>
            <w:vAlign w:val="center"/>
          </w:tcPr>
          <w:p w14:paraId="1025C450">
            <w:pPr>
              <w:bidi w:val="0"/>
              <w:jc w:val="center"/>
              <w:rPr>
                <w:rFonts w:hint="default"/>
                <w:sz w:val="21"/>
                <w:szCs w:val="21"/>
                <w:lang w:val="en-US" w:eastAsia="zh-CN"/>
              </w:rPr>
            </w:pPr>
            <w:r>
              <w:rPr>
                <w:rFonts w:hint="eastAsia"/>
                <w:sz w:val="21"/>
                <w:szCs w:val="21"/>
                <w:lang w:val="en-US" w:eastAsia="zh-CN"/>
              </w:rPr>
              <w:t>+0.0057t/a</w:t>
            </w:r>
          </w:p>
        </w:tc>
      </w:tr>
      <w:tr w14:paraId="1F854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restart"/>
            <w:noWrap w:val="0"/>
            <w:vAlign w:val="center"/>
          </w:tcPr>
          <w:p w14:paraId="37A8EB5F">
            <w:pPr>
              <w:bidi w:val="0"/>
              <w:jc w:val="center"/>
              <w:rPr>
                <w:sz w:val="21"/>
                <w:szCs w:val="21"/>
              </w:rPr>
            </w:pPr>
            <w:r>
              <w:rPr>
                <w:rFonts w:hint="eastAsia"/>
                <w:sz w:val="21"/>
                <w:szCs w:val="21"/>
              </w:rPr>
              <w:t>一般工业</w:t>
            </w:r>
          </w:p>
          <w:p w14:paraId="19542A31">
            <w:pPr>
              <w:bidi w:val="0"/>
              <w:jc w:val="center"/>
              <w:rPr>
                <w:rFonts w:hint="eastAsia"/>
                <w:sz w:val="21"/>
                <w:szCs w:val="21"/>
              </w:rPr>
            </w:pPr>
            <w:r>
              <w:rPr>
                <w:rFonts w:hint="eastAsia"/>
                <w:sz w:val="21"/>
                <w:szCs w:val="21"/>
              </w:rPr>
              <w:t>固体废物</w:t>
            </w:r>
          </w:p>
        </w:tc>
        <w:tc>
          <w:tcPr>
            <w:tcW w:w="1826" w:type="dxa"/>
            <w:noWrap w:val="0"/>
            <w:vAlign w:val="center"/>
          </w:tcPr>
          <w:p w14:paraId="63205CA7">
            <w:pPr>
              <w:bidi w:val="0"/>
              <w:jc w:val="center"/>
              <w:rPr>
                <w:rFonts w:hint="default"/>
                <w:sz w:val="21"/>
                <w:szCs w:val="21"/>
                <w:lang w:val="en-US" w:eastAsia="zh-CN"/>
              </w:rPr>
            </w:pPr>
            <w:r>
              <w:rPr>
                <w:rFonts w:hint="eastAsia"/>
                <w:sz w:val="21"/>
                <w:szCs w:val="21"/>
                <w:lang w:val="en-US" w:eastAsia="zh-CN"/>
              </w:rPr>
              <w:t>废边角料</w:t>
            </w:r>
          </w:p>
        </w:tc>
        <w:tc>
          <w:tcPr>
            <w:tcW w:w="1701" w:type="dxa"/>
            <w:shd w:val="clear" w:color="auto" w:fill="auto"/>
            <w:noWrap w:val="0"/>
            <w:vAlign w:val="center"/>
          </w:tcPr>
          <w:p w14:paraId="4860C5DE">
            <w:pPr>
              <w:bidi w:val="0"/>
              <w:jc w:val="center"/>
              <w:rPr>
                <w:rFonts w:hint="default"/>
                <w:sz w:val="21"/>
                <w:szCs w:val="21"/>
                <w:lang w:val="en-US" w:eastAsia="zh-CN"/>
              </w:rPr>
            </w:pPr>
            <w:r>
              <w:rPr>
                <w:rFonts w:hint="eastAsia"/>
                <w:sz w:val="21"/>
                <w:szCs w:val="21"/>
                <w:lang w:val="en-US" w:eastAsia="zh-CN"/>
              </w:rPr>
              <w:t>6.75t/a</w:t>
            </w:r>
          </w:p>
        </w:tc>
        <w:tc>
          <w:tcPr>
            <w:tcW w:w="1276" w:type="dxa"/>
            <w:noWrap w:val="0"/>
            <w:vAlign w:val="center"/>
          </w:tcPr>
          <w:p w14:paraId="744881A2">
            <w:pPr>
              <w:bidi w:val="0"/>
              <w:jc w:val="center"/>
              <w:rPr>
                <w:rFonts w:hint="default"/>
                <w:sz w:val="21"/>
                <w:szCs w:val="21"/>
                <w:lang w:val="en-US" w:eastAsia="zh-CN"/>
              </w:rPr>
            </w:pPr>
            <w:r>
              <w:rPr>
                <w:rFonts w:hint="eastAsia"/>
                <w:sz w:val="21"/>
                <w:szCs w:val="21"/>
                <w:lang w:val="en-US" w:eastAsia="zh-CN"/>
              </w:rPr>
              <w:t>/</w:t>
            </w:r>
          </w:p>
        </w:tc>
        <w:tc>
          <w:tcPr>
            <w:tcW w:w="1445" w:type="dxa"/>
            <w:noWrap w:val="0"/>
            <w:vAlign w:val="center"/>
          </w:tcPr>
          <w:p w14:paraId="704200A4">
            <w:pPr>
              <w:bidi w:val="0"/>
              <w:jc w:val="center"/>
              <w:rPr>
                <w:rFonts w:hint="default"/>
                <w:sz w:val="21"/>
                <w:szCs w:val="21"/>
                <w:lang w:val="en-US" w:eastAsia="zh-CN"/>
              </w:rPr>
            </w:pPr>
            <w:r>
              <w:rPr>
                <w:rFonts w:hint="eastAsia"/>
                <w:sz w:val="21"/>
                <w:szCs w:val="21"/>
                <w:lang w:val="en-US" w:eastAsia="zh-CN"/>
              </w:rPr>
              <w:t>/</w:t>
            </w:r>
          </w:p>
        </w:tc>
        <w:tc>
          <w:tcPr>
            <w:tcW w:w="1365" w:type="dxa"/>
            <w:noWrap w:val="0"/>
            <w:vAlign w:val="center"/>
          </w:tcPr>
          <w:p w14:paraId="29A2C6AB">
            <w:pPr>
              <w:widowControl/>
              <w:jc w:val="center"/>
              <w:textAlignment w:val="center"/>
              <w:rPr>
                <w:rFonts w:hint="default"/>
                <w:sz w:val="21"/>
                <w:szCs w:val="21"/>
                <w:lang w:val="en-US" w:eastAsia="zh-CN"/>
              </w:rPr>
            </w:pPr>
            <w:r>
              <w:rPr>
                <w:rFonts w:hint="eastAsia" w:cs="Times New Roman"/>
                <w:sz w:val="21"/>
                <w:szCs w:val="21"/>
                <w:lang w:val="en-US" w:eastAsia="zh-CN"/>
              </w:rPr>
              <w:t>43.25</w:t>
            </w:r>
            <w:r>
              <w:rPr>
                <w:rFonts w:hint="eastAsia"/>
                <w:sz w:val="21"/>
                <w:szCs w:val="21"/>
                <w:lang w:val="en-US" w:eastAsia="zh-CN"/>
              </w:rPr>
              <w:t>t/a</w:t>
            </w:r>
          </w:p>
        </w:tc>
        <w:tc>
          <w:tcPr>
            <w:tcW w:w="1560" w:type="dxa"/>
            <w:noWrap w:val="0"/>
            <w:vAlign w:val="center"/>
          </w:tcPr>
          <w:p w14:paraId="49981D2C">
            <w:pPr>
              <w:bidi w:val="0"/>
              <w:jc w:val="center"/>
              <w:rPr>
                <w:rFonts w:hint="default"/>
                <w:sz w:val="21"/>
                <w:szCs w:val="21"/>
                <w:lang w:val="en-US" w:eastAsia="zh-CN"/>
              </w:rPr>
            </w:pPr>
            <w:r>
              <w:rPr>
                <w:rFonts w:hint="eastAsia"/>
                <w:sz w:val="21"/>
                <w:szCs w:val="21"/>
                <w:lang w:val="en-US" w:eastAsia="zh-CN"/>
              </w:rPr>
              <w:t>/</w:t>
            </w:r>
          </w:p>
        </w:tc>
        <w:tc>
          <w:tcPr>
            <w:tcW w:w="1818" w:type="dxa"/>
            <w:noWrap w:val="0"/>
            <w:vAlign w:val="center"/>
          </w:tcPr>
          <w:p w14:paraId="168F109B">
            <w:pPr>
              <w:widowControl/>
              <w:jc w:val="center"/>
              <w:textAlignment w:val="center"/>
              <w:rPr>
                <w:rFonts w:hint="default"/>
                <w:sz w:val="21"/>
                <w:szCs w:val="21"/>
                <w:lang w:val="en-US" w:eastAsia="zh-CN"/>
              </w:rPr>
            </w:pPr>
            <w:r>
              <w:rPr>
                <w:rFonts w:hint="default" w:ascii="Times New Roman" w:hAnsi="Times New Roman" w:cs="Times New Roman"/>
                <w:sz w:val="21"/>
                <w:szCs w:val="21"/>
                <w:lang w:val="en-US" w:eastAsia="zh-CN"/>
              </w:rPr>
              <w:t>50</w:t>
            </w:r>
            <w:r>
              <w:rPr>
                <w:rFonts w:hint="eastAsia"/>
                <w:sz w:val="21"/>
                <w:szCs w:val="21"/>
                <w:lang w:val="en-US" w:eastAsia="zh-CN"/>
              </w:rPr>
              <w:t>t/a</w:t>
            </w:r>
          </w:p>
        </w:tc>
        <w:tc>
          <w:tcPr>
            <w:tcW w:w="1137" w:type="dxa"/>
            <w:noWrap w:val="0"/>
            <w:vAlign w:val="center"/>
          </w:tcPr>
          <w:p w14:paraId="4010D791">
            <w:pPr>
              <w:widowControl/>
              <w:jc w:val="center"/>
              <w:textAlignment w:val="center"/>
              <w:rPr>
                <w:rFonts w:hint="default"/>
                <w:sz w:val="21"/>
                <w:szCs w:val="21"/>
                <w:lang w:val="en-US" w:eastAsia="zh-CN"/>
              </w:rPr>
            </w:pPr>
            <w:r>
              <w:rPr>
                <w:rFonts w:hint="eastAsia"/>
                <w:sz w:val="21"/>
                <w:szCs w:val="21"/>
                <w:lang w:val="en-US" w:eastAsia="zh-CN"/>
              </w:rPr>
              <w:t>+</w:t>
            </w:r>
            <w:r>
              <w:rPr>
                <w:rFonts w:hint="eastAsia" w:cs="Times New Roman"/>
                <w:sz w:val="21"/>
                <w:szCs w:val="21"/>
                <w:lang w:val="en-US" w:eastAsia="zh-CN"/>
              </w:rPr>
              <w:t>43.25</w:t>
            </w:r>
            <w:r>
              <w:rPr>
                <w:rFonts w:hint="eastAsia"/>
                <w:sz w:val="21"/>
                <w:szCs w:val="21"/>
                <w:lang w:val="en-US" w:eastAsia="zh-CN"/>
              </w:rPr>
              <w:t>t/a</w:t>
            </w:r>
          </w:p>
        </w:tc>
      </w:tr>
      <w:tr w14:paraId="655C7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3B54348B">
            <w:pPr>
              <w:bidi w:val="0"/>
              <w:jc w:val="center"/>
              <w:rPr>
                <w:sz w:val="21"/>
                <w:szCs w:val="21"/>
              </w:rPr>
            </w:pPr>
          </w:p>
        </w:tc>
        <w:tc>
          <w:tcPr>
            <w:tcW w:w="1826" w:type="dxa"/>
            <w:noWrap w:val="0"/>
            <w:vAlign w:val="center"/>
          </w:tcPr>
          <w:p w14:paraId="5DB3027C">
            <w:pPr>
              <w:bidi w:val="0"/>
              <w:jc w:val="center"/>
              <w:rPr>
                <w:rFonts w:hint="default"/>
                <w:sz w:val="21"/>
                <w:szCs w:val="21"/>
                <w:lang w:val="en-US" w:eastAsia="zh-CN"/>
              </w:rPr>
            </w:pPr>
            <w:r>
              <w:rPr>
                <w:rFonts w:hint="eastAsia"/>
                <w:sz w:val="21"/>
                <w:szCs w:val="21"/>
                <w:lang w:val="en-US" w:eastAsia="zh-CN"/>
              </w:rPr>
              <w:t>收集尘</w:t>
            </w:r>
          </w:p>
        </w:tc>
        <w:tc>
          <w:tcPr>
            <w:tcW w:w="1701" w:type="dxa"/>
            <w:shd w:val="clear" w:color="auto" w:fill="auto"/>
            <w:noWrap w:val="0"/>
            <w:vAlign w:val="center"/>
          </w:tcPr>
          <w:p w14:paraId="4E035B85">
            <w:pPr>
              <w:bidi w:val="0"/>
              <w:jc w:val="center"/>
              <w:rPr>
                <w:rFonts w:hint="eastAsia"/>
                <w:sz w:val="21"/>
                <w:szCs w:val="21"/>
                <w:lang w:val="en-US" w:eastAsia="zh-CN"/>
              </w:rPr>
            </w:pPr>
            <w:r>
              <w:rPr>
                <w:rFonts w:hint="eastAsia"/>
                <w:sz w:val="21"/>
                <w:szCs w:val="21"/>
                <w:lang w:val="en-US" w:eastAsia="zh-CN"/>
              </w:rPr>
              <w:t>/</w:t>
            </w:r>
          </w:p>
        </w:tc>
        <w:tc>
          <w:tcPr>
            <w:tcW w:w="1276" w:type="dxa"/>
            <w:noWrap w:val="0"/>
            <w:vAlign w:val="center"/>
          </w:tcPr>
          <w:p w14:paraId="386C61BE">
            <w:pPr>
              <w:bidi w:val="0"/>
              <w:jc w:val="center"/>
              <w:rPr>
                <w:rFonts w:hint="default"/>
                <w:sz w:val="21"/>
                <w:szCs w:val="21"/>
                <w:lang w:val="en-US" w:eastAsia="zh-CN"/>
              </w:rPr>
            </w:pPr>
            <w:r>
              <w:rPr>
                <w:rFonts w:hint="eastAsia"/>
                <w:sz w:val="21"/>
                <w:szCs w:val="21"/>
                <w:lang w:val="en-US" w:eastAsia="zh-CN"/>
              </w:rPr>
              <w:t>/</w:t>
            </w:r>
          </w:p>
        </w:tc>
        <w:tc>
          <w:tcPr>
            <w:tcW w:w="1445" w:type="dxa"/>
            <w:noWrap w:val="0"/>
            <w:vAlign w:val="center"/>
          </w:tcPr>
          <w:p w14:paraId="3CB126E6">
            <w:pPr>
              <w:bidi w:val="0"/>
              <w:jc w:val="center"/>
              <w:rPr>
                <w:rFonts w:hint="default"/>
                <w:sz w:val="21"/>
                <w:szCs w:val="21"/>
                <w:lang w:val="en-US" w:eastAsia="zh-CN"/>
              </w:rPr>
            </w:pPr>
            <w:r>
              <w:rPr>
                <w:rFonts w:hint="eastAsia"/>
                <w:sz w:val="21"/>
                <w:szCs w:val="21"/>
                <w:lang w:val="en-US" w:eastAsia="zh-CN"/>
              </w:rPr>
              <w:t>/</w:t>
            </w:r>
          </w:p>
        </w:tc>
        <w:tc>
          <w:tcPr>
            <w:tcW w:w="1365" w:type="dxa"/>
            <w:shd w:val="clear" w:color="auto" w:fill="auto"/>
            <w:noWrap w:val="0"/>
            <w:vAlign w:val="center"/>
          </w:tcPr>
          <w:p w14:paraId="67913371">
            <w:pPr>
              <w:widowControl/>
              <w:jc w:val="center"/>
              <w:textAlignment w:val="center"/>
              <w:rPr>
                <w:rFonts w:hint="default"/>
                <w:sz w:val="21"/>
                <w:szCs w:val="21"/>
                <w:lang w:val="en-US" w:eastAsia="zh-CN"/>
              </w:rPr>
            </w:pPr>
            <w:r>
              <w:rPr>
                <w:rFonts w:hint="eastAsia" w:cs="Times New Roman"/>
                <w:sz w:val="21"/>
                <w:szCs w:val="21"/>
                <w:lang w:val="en-US" w:eastAsia="zh-CN"/>
              </w:rPr>
              <w:t>1.0507</w:t>
            </w:r>
            <w:r>
              <w:rPr>
                <w:rFonts w:hint="eastAsia"/>
                <w:sz w:val="21"/>
                <w:szCs w:val="21"/>
                <w:lang w:val="en-US" w:eastAsia="zh-CN"/>
              </w:rPr>
              <w:t>t/a</w:t>
            </w:r>
          </w:p>
        </w:tc>
        <w:tc>
          <w:tcPr>
            <w:tcW w:w="1560" w:type="dxa"/>
            <w:shd w:val="clear" w:color="auto" w:fill="auto"/>
            <w:noWrap w:val="0"/>
            <w:vAlign w:val="center"/>
          </w:tcPr>
          <w:p w14:paraId="66942E7B">
            <w:pPr>
              <w:bidi w:val="0"/>
              <w:jc w:val="center"/>
              <w:rPr>
                <w:rFonts w:hint="default"/>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35E56201">
            <w:pPr>
              <w:widowControl/>
              <w:jc w:val="center"/>
              <w:textAlignment w:val="center"/>
              <w:rPr>
                <w:rFonts w:hint="eastAsia"/>
                <w:sz w:val="21"/>
                <w:szCs w:val="21"/>
                <w:lang w:val="en-US" w:eastAsia="zh-CN"/>
              </w:rPr>
            </w:pPr>
            <w:r>
              <w:rPr>
                <w:rFonts w:hint="eastAsia" w:cs="Times New Roman"/>
                <w:sz w:val="21"/>
                <w:szCs w:val="21"/>
                <w:lang w:val="en-US" w:eastAsia="zh-CN"/>
              </w:rPr>
              <w:t>1.0507</w:t>
            </w:r>
            <w:r>
              <w:rPr>
                <w:rFonts w:hint="eastAsia"/>
                <w:sz w:val="21"/>
                <w:szCs w:val="21"/>
                <w:lang w:val="en-US" w:eastAsia="zh-CN"/>
              </w:rPr>
              <w:t>t/a</w:t>
            </w:r>
          </w:p>
        </w:tc>
        <w:tc>
          <w:tcPr>
            <w:tcW w:w="1137" w:type="dxa"/>
            <w:shd w:val="clear" w:color="auto" w:fill="auto"/>
            <w:noWrap w:val="0"/>
            <w:vAlign w:val="center"/>
          </w:tcPr>
          <w:p w14:paraId="20128B5F">
            <w:pPr>
              <w:widowControl/>
              <w:jc w:val="center"/>
              <w:textAlignment w:val="center"/>
              <w:rPr>
                <w:rFonts w:hint="eastAsia"/>
                <w:sz w:val="21"/>
                <w:szCs w:val="21"/>
                <w:lang w:val="en-US" w:eastAsia="zh-CN"/>
              </w:rPr>
            </w:pPr>
            <w:r>
              <w:rPr>
                <w:rFonts w:hint="eastAsia"/>
                <w:sz w:val="21"/>
                <w:szCs w:val="21"/>
                <w:lang w:val="en-US" w:eastAsia="zh-CN"/>
              </w:rPr>
              <w:t>+</w:t>
            </w:r>
            <w:r>
              <w:rPr>
                <w:rFonts w:hint="eastAsia" w:cs="Times New Roman"/>
                <w:sz w:val="21"/>
                <w:szCs w:val="21"/>
                <w:lang w:val="en-US" w:eastAsia="zh-CN"/>
              </w:rPr>
              <w:t>1.0507</w:t>
            </w:r>
            <w:r>
              <w:rPr>
                <w:rFonts w:hint="eastAsia"/>
                <w:sz w:val="21"/>
                <w:szCs w:val="21"/>
                <w:lang w:val="en-US" w:eastAsia="zh-CN"/>
              </w:rPr>
              <w:t>t/a</w:t>
            </w:r>
          </w:p>
        </w:tc>
      </w:tr>
      <w:tr w14:paraId="123F4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5FAD5AE6">
            <w:pPr>
              <w:bidi w:val="0"/>
              <w:jc w:val="center"/>
              <w:rPr>
                <w:sz w:val="21"/>
                <w:szCs w:val="21"/>
              </w:rPr>
            </w:pPr>
          </w:p>
        </w:tc>
        <w:tc>
          <w:tcPr>
            <w:tcW w:w="1826" w:type="dxa"/>
            <w:shd w:val="clear" w:color="auto" w:fill="auto"/>
            <w:noWrap w:val="0"/>
            <w:vAlign w:val="center"/>
          </w:tcPr>
          <w:p w14:paraId="76C2E8AD">
            <w:pPr>
              <w:bidi w:val="0"/>
              <w:jc w:val="center"/>
              <w:rPr>
                <w:rFonts w:hint="eastAsia"/>
                <w:sz w:val="21"/>
                <w:szCs w:val="21"/>
                <w:lang w:val="en-US" w:eastAsia="zh-CN"/>
              </w:rPr>
            </w:pPr>
            <w:r>
              <w:rPr>
                <w:rFonts w:hint="default" w:ascii="Times New Roman" w:hAnsi="Times New Roman" w:cs="Times New Roman"/>
                <w:b w:val="0"/>
                <w:bCs w:val="0"/>
                <w:sz w:val="21"/>
                <w:szCs w:val="21"/>
                <w:lang w:val="en-US" w:eastAsia="zh-CN"/>
              </w:rPr>
              <w:t>废布袋</w:t>
            </w:r>
          </w:p>
        </w:tc>
        <w:tc>
          <w:tcPr>
            <w:tcW w:w="1701" w:type="dxa"/>
            <w:shd w:val="clear" w:color="auto" w:fill="auto"/>
            <w:noWrap w:val="0"/>
            <w:vAlign w:val="center"/>
          </w:tcPr>
          <w:p w14:paraId="280EB6EC">
            <w:pPr>
              <w:bidi w:val="0"/>
              <w:jc w:val="center"/>
              <w:rPr>
                <w:rFonts w:hint="eastAsia"/>
                <w:sz w:val="21"/>
                <w:szCs w:val="21"/>
                <w:lang w:val="en-US" w:eastAsia="zh-CN"/>
              </w:rPr>
            </w:pPr>
            <w:r>
              <w:rPr>
                <w:rFonts w:hint="eastAsia"/>
                <w:sz w:val="21"/>
                <w:szCs w:val="21"/>
                <w:lang w:val="en-US" w:eastAsia="zh-CN"/>
              </w:rPr>
              <w:t>/</w:t>
            </w:r>
          </w:p>
        </w:tc>
        <w:tc>
          <w:tcPr>
            <w:tcW w:w="1276" w:type="dxa"/>
            <w:shd w:val="clear" w:color="auto" w:fill="auto"/>
            <w:noWrap w:val="0"/>
            <w:vAlign w:val="center"/>
          </w:tcPr>
          <w:p w14:paraId="51E846C5">
            <w:pPr>
              <w:bidi w:val="0"/>
              <w:jc w:val="center"/>
              <w:rPr>
                <w:rFonts w:hint="eastAsia"/>
                <w:sz w:val="21"/>
                <w:szCs w:val="21"/>
                <w:lang w:val="en-US" w:eastAsia="zh-CN"/>
              </w:rPr>
            </w:pPr>
            <w:r>
              <w:rPr>
                <w:rFonts w:hint="eastAsia"/>
                <w:sz w:val="21"/>
                <w:szCs w:val="21"/>
                <w:lang w:val="en-US" w:eastAsia="zh-CN"/>
              </w:rPr>
              <w:t>/</w:t>
            </w:r>
          </w:p>
        </w:tc>
        <w:tc>
          <w:tcPr>
            <w:tcW w:w="1445" w:type="dxa"/>
            <w:shd w:val="clear" w:color="auto" w:fill="auto"/>
            <w:noWrap w:val="0"/>
            <w:vAlign w:val="center"/>
          </w:tcPr>
          <w:p w14:paraId="1CAEDF18">
            <w:pPr>
              <w:bidi w:val="0"/>
              <w:jc w:val="center"/>
              <w:rPr>
                <w:rFonts w:hint="eastAsia"/>
                <w:sz w:val="21"/>
                <w:szCs w:val="21"/>
                <w:lang w:val="en-US" w:eastAsia="zh-CN"/>
              </w:rPr>
            </w:pPr>
            <w:r>
              <w:rPr>
                <w:rFonts w:hint="eastAsia"/>
                <w:sz w:val="21"/>
                <w:szCs w:val="21"/>
                <w:lang w:val="en-US" w:eastAsia="zh-CN"/>
              </w:rPr>
              <w:t>/</w:t>
            </w:r>
          </w:p>
        </w:tc>
        <w:tc>
          <w:tcPr>
            <w:tcW w:w="1365" w:type="dxa"/>
            <w:shd w:val="clear" w:color="auto" w:fill="auto"/>
            <w:noWrap w:val="0"/>
            <w:vAlign w:val="center"/>
          </w:tcPr>
          <w:p w14:paraId="3A50B699">
            <w:pPr>
              <w:widowControl/>
              <w:jc w:val="center"/>
              <w:textAlignment w:val="center"/>
              <w:rPr>
                <w:rFonts w:hint="default"/>
                <w:sz w:val="21"/>
                <w:szCs w:val="21"/>
                <w:lang w:val="en-US" w:eastAsia="zh-CN"/>
              </w:rPr>
            </w:pPr>
            <w:r>
              <w:rPr>
                <w:rFonts w:hint="default" w:ascii="Times New Roman" w:hAnsi="Times New Roman" w:cs="Times New Roman"/>
                <w:sz w:val="21"/>
                <w:szCs w:val="21"/>
                <w:lang w:val="en-US" w:eastAsia="zh-CN"/>
              </w:rPr>
              <w:t>0.1</w:t>
            </w:r>
            <w:r>
              <w:rPr>
                <w:rFonts w:hint="eastAsia"/>
                <w:sz w:val="21"/>
                <w:szCs w:val="21"/>
                <w:lang w:val="en-US" w:eastAsia="zh-CN"/>
              </w:rPr>
              <w:t>t/a</w:t>
            </w:r>
          </w:p>
        </w:tc>
        <w:tc>
          <w:tcPr>
            <w:tcW w:w="1560" w:type="dxa"/>
            <w:shd w:val="clear" w:color="auto" w:fill="auto"/>
            <w:noWrap w:val="0"/>
            <w:vAlign w:val="center"/>
          </w:tcPr>
          <w:p w14:paraId="2D497A5F">
            <w:pPr>
              <w:bidi w:val="0"/>
              <w:jc w:val="center"/>
              <w:rPr>
                <w:rFonts w:hint="eastAsia"/>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18893490">
            <w:pPr>
              <w:widowControl/>
              <w:jc w:val="center"/>
              <w:textAlignment w:val="center"/>
              <w:rPr>
                <w:rFonts w:hint="eastAsia"/>
                <w:sz w:val="21"/>
                <w:szCs w:val="21"/>
                <w:lang w:val="en-US" w:eastAsia="zh-CN"/>
              </w:rPr>
            </w:pPr>
            <w:r>
              <w:rPr>
                <w:rFonts w:hint="default" w:ascii="Times New Roman" w:hAnsi="Times New Roman" w:cs="Times New Roman"/>
                <w:sz w:val="21"/>
                <w:szCs w:val="21"/>
                <w:lang w:val="en-US" w:eastAsia="zh-CN"/>
              </w:rPr>
              <w:t>0.1</w:t>
            </w:r>
            <w:r>
              <w:rPr>
                <w:rFonts w:hint="eastAsia"/>
                <w:sz w:val="21"/>
                <w:szCs w:val="21"/>
                <w:lang w:val="en-US" w:eastAsia="zh-CN"/>
              </w:rPr>
              <w:t>t/a</w:t>
            </w:r>
          </w:p>
        </w:tc>
        <w:tc>
          <w:tcPr>
            <w:tcW w:w="1137" w:type="dxa"/>
            <w:shd w:val="clear" w:color="auto" w:fill="auto"/>
            <w:noWrap w:val="0"/>
            <w:vAlign w:val="center"/>
          </w:tcPr>
          <w:p w14:paraId="40ADAA58">
            <w:pPr>
              <w:widowControl/>
              <w:jc w:val="center"/>
              <w:textAlignment w:val="center"/>
              <w:rPr>
                <w:rFonts w:hint="eastAsia"/>
                <w:sz w:val="21"/>
                <w:szCs w:val="21"/>
                <w:lang w:val="en-US" w:eastAsia="zh-CN"/>
              </w:rPr>
            </w:pPr>
            <w:r>
              <w:rPr>
                <w:rFonts w:hint="eastAsia"/>
                <w:sz w:val="21"/>
                <w:szCs w:val="21"/>
                <w:lang w:val="en-US" w:eastAsia="zh-CN"/>
              </w:rPr>
              <w:t>+</w:t>
            </w:r>
            <w:r>
              <w:rPr>
                <w:rFonts w:hint="default" w:ascii="Times New Roman" w:hAnsi="Times New Roman" w:cs="Times New Roman"/>
                <w:sz w:val="21"/>
                <w:szCs w:val="21"/>
                <w:lang w:val="en-US" w:eastAsia="zh-CN"/>
              </w:rPr>
              <w:t>0.1</w:t>
            </w:r>
            <w:r>
              <w:rPr>
                <w:rFonts w:hint="eastAsia"/>
                <w:sz w:val="21"/>
                <w:szCs w:val="21"/>
                <w:lang w:val="en-US" w:eastAsia="zh-CN"/>
              </w:rPr>
              <w:t>t/a</w:t>
            </w:r>
          </w:p>
        </w:tc>
      </w:tr>
      <w:tr w14:paraId="1122C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47247435">
            <w:pPr>
              <w:bidi w:val="0"/>
              <w:jc w:val="center"/>
              <w:rPr>
                <w:sz w:val="21"/>
                <w:szCs w:val="21"/>
              </w:rPr>
            </w:pPr>
          </w:p>
        </w:tc>
        <w:tc>
          <w:tcPr>
            <w:tcW w:w="1826" w:type="dxa"/>
            <w:shd w:val="clear" w:color="auto" w:fill="auto"/>
            <w:noWrap w:val="0"/>
            <w:vAlign w:val="center"/>
          </w:tcPr>
          <w:p w14:paraId="7868E385">
            <w:pPr>
              <w:bidi w:val="0"/>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粉末涂料包装袋</w:t>
            </w:r>
          </w:p>
        </w:tc>
        <w:tc>
          <w:tcPr>
            <w:tcW w:w="1701" w:type="dxa"/>
            <w:shd w:val="clear" w:color="auto" w:fill="auto"/>
            <w:noWrap w:val="0"/>
            <w:vAlign w:val="center"/>
          </w:tcPr>
          <w:p w14:paraId="66329A2A">
            <w:pPr>
              <w:bidi w:val="0"/>
              <w:jc w:val="center"/>
              <w:rPr>
                <w:rFonts w:hint="eastAsia"/>
                <w:sz w:val="21"/>
                <w:szCs w:val="21"/>
                <w:lang w:val="en-US" w:eastAsia="zh-CN"/>
              </w:rPr>
            </w:pPr>
            <w:r>
              <w:rPr>
                <w:rFonts w:hint="eastAsia"/>
                <w:sz w:val="21"/>
                <w:szCs w:val="21"/>
                <w:lang w:val="en-US" w:eastAsia="zh-CN"/>
              </w:rPr>
              <w:t>/</w:t>
            </w:r>
          </w:p>
        </w:tc>
        <w:tc>
          <w:tcPr>
            <w:tcW w:w="1276" w:type="dxa"/>
            <w:shd w:val="clear" w:color="auto" w:fill="auto"/>
            <w:noWrap w:val="0"/>
            <w:vAlign w:val="center"/>
          </w:tcPr>
          <w:p w14:paraId="1F38F78A">
            <w:pPr>
              <w:bidi w:val="0"/>
              <w:jc w:val="center"/>
              <w:rPr>
                <w:rFonts w:hint="eastAsia"/>
                <w:sz w:val="21"/>
                <w:szCs w:val="21"/>
                <w:lang w:val="en-US" w:eastAsia="zh-CN"/>
              </w:rPr>
            </w:pPr>
            <w:r>
              <w:rPr>
                <w:rFonts w:hint="eastAsia"/>
                <w:sz w:val="21"/>
                <w:szCs w:val="21"/>
                <w:lang w:val="en-US" w:eastAsia="zh-CN"/>
              </w:rPr>
              <w:t>/</w:t>
            </w:r>
          </w:p>
        </w:tc>
        <w:tc>
          <w:tcPr>
            <w:tcW w:w="1445" w:type="dxa"/>
            <w:shd w:val="clear" w:color="auto" w:fill="auto"/>
            <w:noWrap w:val="0"/>
            <w:vAlign w:val="center"/>
          </w:tcPr>
          <w:p w14:paraId="55FB65CD">
            <w:pPr>
              <w:bidi w:val="0"/>
              <w:jc w:val="center"/>
              <w:rPr>
                <w:rFonts w:hint="eastAsia"/>
                <w:sz w:val="21"/>
                <w:szCs w:val="21"/>
                <w:lang w:val="en-US" w:eastAsia="zh-CN"/>
              </w:rPr>
            </w:pPr>
            <w:r>
              <w:rPr>
                <w:rFonts w:hint="eastAsia"/>
                <w:sz w:val="21"/>
                <w:szCs w:val="21"/>
                <w:lang w:val="en-US" w:eastAsia="zh-CN"/>
              </w:rPr>
              <w:t>/</w:t>
            </w:r>
          </w:p>
        </w:tc>
        <w:tc>
          <w:tcPr>
            <w:tcW w:w="1365" w:type="dxa"/>
            <w:shd w:val="clear" w:color="auto" w:fill="auto"/>
            <w:noWrap w:val="0"/>
            <w:vAlign w:val="center"/>
          </w:tcPr>
          <w:p w14:paraId="09A1644D">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0.005</w:t>
            </w:r>
            <w:r>
              <w:rPr>
                <w:rFonts w:hint="eastAsia"/>
                <w:sz w:val="21"/>
                <w:szCs w:val="21"/>
                <w:lang w:val="en-US" w:eastAsia="zh-CN"/>
              </w:rPr>
              <w:t>t/a</w:t>
            </w:r>
          </w:p>
        </w:tc>
        <w:tc>
          <w:tcPr>
            <w:tcW w:w="1560" w:type="dxa"/>
            <w:shd w:val="clear" w:color="auto" w:fill="auto"/>
            <w:noWrap w:val="0"/>
            <w:vAlign w:val="center"/>
          </w:tcPr>
          <w:p w14:paraId="3665159F">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818" w:type="dxa"/>
            <w:shd w:val="clear" w:color="auto" w:fill="auto"/>
            <w:noWrap w:val="0"/>
            <w:vAlign w:val="center"/>
          </w:tcPr>
          <w:p w14:paraId="57174728">
            <w:pPr>
              <w:bidi w:val="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0.005</w:t>
            </w:r>
            <w:r>
              <w:rPr>
                <w:rFonts w:hint="eastAsia"/>
                <w:sz w:val="21"/>
                <w:szCs w:val="21"/>
                <w:lang w:val="en-US" w:eastAsia="zh-CN"/>
              </w:rPr>
              <w:t>t/a</w:t>
            </w:r>
          </w:p>
        </w:tc>
        <w:tc>
          <w:tcPr>
            <w:tcW w:w="1137" w:type="dxa"/>
            <w:shd w:val="clear" w:color="auto" w:fill="auto"/>
            <w:noWrap w:val="0"/>
            <w:vAlign w:val="center"/>
          </w:tcPr>
          <w:p w14:paraId="15BA8E31">
            <w:pPr>
              <w:widowControl/>
              <w:jc w:val="center"/>
              <w:textAlignment w:val="center"/>
              <w:rPr>
                <w:rFonts w:hint="eastAsia"/>
                <w:sz w:val="21"/>
                <w:szCs w:val="21"/>
                <w:lang w:val="en-US" w:eastAsia="zh-CN"/>
              </w:rPr>
            </w:pPr>
            <w:r>
              <w:rPr>
                <w:rFonts w:hint="eastAsia" w:cs="Times New Roman"/>
                <w:sz w:val="21"/>
                <w:szCs w:val="21"/>
                <w:lang w:val="en-US" w:eastAsia="zh-CN"/>
              </w:rPr>
              <w:t>+0.005</w:t>
            </w:r>
            <w:r>
              <w:rPr>
                <w:rFonts w:hint="eastAsia"/>
                <w:sz w:val="21"/>
                <w:szCs w:val="21"/>
                <w:lang w:val="en-US" w:eastAsia="zh-CN"/>
              </w:rPr>
              <w:t>t/a</w:t>
            </w:r>
          </w:p>
        </w:tc>
      </w:tr>
      <w:tr w14:paraId="7C059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61FBBFC4">
            <w:pPr>
              <w:bidi w:val="0"/>
              <w:jc w:val="center"/>
              <w:rPr>
                <w:rFonts w:hint="eastAsia"/>
                <w:sz w:val="21"/>
                <w:szCs w:val="21"/>
              </w:rPr>
            </w:pPr>
          </w:p>
        </w:tc>
        <w:tc>
          <w:tcPr>
            <w:tcW w:w="1826" w:type="dxa"/>
            <w:shd w:val="clear" w:color="auto" w:fill="auto"/>
            <w:noWrap w:val="0"/>
            <w:vAlign w:val="center"/>
          </w:tcPr>
          <w:p w14:paraId="1909EB7A">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b w:val="0"/>
                <w:bCs w:val="0"/>
                <w:sz w:val="21"/>
                <w:szCs w:val="21"/>
                <w:lang w:val="en-US" w:eastAsia="zh-CN"/>
              </w:rPr>
              <w:t>漆渣</w:t>
            </w:r>
          </w:p>
        </w:tc>
        <w:tc>
          <w:tcPr>
            <w:tcW w:w="1701" w:type="dxa"/>
            <w:shd w:val="clear" w:color="auto" w:fill="auto"/>
            <w:noWrap w:val="0"/>
            <w:vAlign w:val="center"/>
          </w:tcPr>
          <w:p w14:paraId="2A78111E">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276" w:type="dxa"/>
            <w:noWrap w:val="0"/>
            <w:vAlign w:val="center"/>
          </w:tcPr>
          <w:p w14:paraId="6AFD4F93">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3291D359">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04CD85AB">
            <w:pPr>
              <w:widowControl/>
              <w:jc w:val="center"/>
              <w:textAlignment w:val="center"/>
              <w:rPr>
                <w:rFonts w:hint="eastAsia"/>
                <w:sz w:val="21"/>
                <w:szCs w:val="21"/>
                <w:lang w:val="en-US" w:eastAsia="zh-CN"/>
              </w:rPr>
            </w:pPr>
            <w:r>
              <w:rPr>
                <w:rFonts w:hint="eastAsia" w:cs="Times New Roman"/>
                <w:sz w:val="21"/>
                <w:szCs w:val="21"/>
                <w:lang w:val="en-US" w:eastAsia="zh-CN"/>
              </w:rPr>
              <w:t>0.3628</w:t>
            </w:r>
            <w:r>
              <w:rPr>
                <w:rFonts w:hint="eastAsia"/>
                <w:sz w:val="21"/>
                <w:szCs w:val="21"/>
                <w:lang w:val="en-US" w:eastAsia="zh-CN"/>
              </w:rPr>
              <w:t>t/a</w:t>
            </w:r>
          </w:p>
        </w:tc>
        <w:tc>
          <w:tcPr>
            <w:tcW w:w="1560" w:type="dxa"/>
            <w:noWrap w:val="0"/>
            <w:vAlign w:val="center"/>
          </w:tcPr>
          <w:p w14:paraId="56A824A5">
            <w:pPr>
              <w:bidi w:val="0"/>
              <w:jc w:val="center"/>
              <w:rPr>
                <w:rFonts w:hint="eastAsia"/>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4F956DA2">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0.3628</w:t>
            </w:r>
            <w:r>
              <w:rPr>
                <w:rFonts w:hint="eastAsia"/>
                <w:sz w:val="21"/>
                <w:szCs w:val="21"/>
                <w:lang w:val="en-US" w:eastAsia="zh-CN"/>
              </w:rPr>
              <w:t>t/a</w:t>
            </w:r>
          </w:p>
        </w:tc>
        <w:tc>
          <w:tcPr>
            <w:tcW w:w="1137" w:type="dxa"/>
            <w:noWrap w:val="0"/>
            <w:vAlign w:val="center"/>
          </w:tcPr>
          <w:p w14:paraId="25AB4208">
            <w:pPr>
              <w:widowControl/>
              <w:jc w:val="center"/>
              <w:textAlignment w:val="center"/>
              <w:rPr>
                <w:rFonts w:hint="eastAsia"/>
                <w:sz w:val="21"/>
                <w:szCs w:val="21"/>
                <w:lang w:val="en-US" w:eastAsia="zh-CN"/>
              </w:rPr>
            </w:pPr>
            <w:r>
              <w:rPr>
                <w:rFonts w:hint="eastAsia"/>
                <w:sz w:val="21"/>
                <w:szCs w:val="21"/>
                <w:lang w:val="en-US" w:eastAsia="zh-CN"/>
              </w:rPr>
              <w:t>+</w:t>
            </w:r>
            <w:r>
              <w:rPr>
                <w:rFonts w:hint="eastAsia" w:cs="Times New Roman"/>
                <w:sz w:val="21"/>
                <w:szCs w:val="21"/>
                <w:lang w:val="en-US" w:eastAsia="zh-CN"/>
              </w:rPr>
              <w:t>0.3628</w:t>
            </w:r>
            <w:r>
              <w:rPr>
                <w:rFonts w:hint="eastAsia"/>
                <w:sz w:val="21"/>
                <w:szCs w:val="21"/>
                <w:lang w:val="en-US" w:eastAsia="zh-CN"/>
              </w:rPr>
              <w:t>t/a</w:t>
            </w:r>
          </w:p>
        </w:tc>
      </w:tr>
      <w:tr w14:paraId="488B0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767DF477">
            <w:pPr>
              <w:bidi w:val="0"/>
              <w:jc w:val="center"/>
              <w:rPr>
                <w:rFonts w:hint="eastAsia"/>
                <w:sz w:val="21"/>
                <w:szCs w:val="21"/>
              </w:rPr>
            </w:pPr>
          </w:p>
        </w:tc>
        <w:tc>
          <w:tcPr>
            <w:tcW w:w="1826" w:type="dxa"/>
            <w:shd w:val="clear" w:color="auto" w:fill="auto"/>
            <w:noWrap w:val="0"/>
            <w:vAlign w:val="center"/>
          </w:tcPr>
          <w:p w14:paraId="51368421">
            <w:pPr>
              <w:widowControl/>
              <w:jc w:val="center"/>
              <w:textAlignment w:val="center"/>
              <w:rPr>
                <w:rFonts w:hint="eastAsia"/>
                <w:sz w:val="21"/>
                <w:szCs w:val="21"/>
                <w:lang w:val="en-US" w:eastAsia="zh-CN"/>
              </w:rPr>
            </w:pPr>
            <w:r>
              <w:rPr>
                <w:rFonts w:hint="eastAsia" w:cs="Times New Roman"/>
                <w:b w:val="0"/>
                <w:bCs w:val="0"/>
                <w:sz w:val="21"/>
                <w:szCs w:val="21"/>
                <w:lang w:val="en-US" w:eastAsia="zh-CN"/>
              </w:rPr>
              <w:t>废切削液</w:t>
            </w:r>
          </w:p>
        </w:tc>
        <w:tc>
          <w:tcPr>
            <w:tcW w:w="1701" w:type="dxa"/>
            <w:shd w:val="clear" w:color="auto" w:fill="auto"/>
            <w:noWrap w:val="0"/>
            <w:vAlign w:val="center"/>
          </w:tcPr>
          <w:p w14:paraId="1C340F5C">
            <w:pPr>
              <w:bidi w:val="0"/>
              <w:jc w:val="center"/>
              <w:rPr>
                <w:rFonts w:hint="default"/>
                <w:sz w:val="21"/>
                <w:szCs w:val="21"/>
                <w:lang w:val="en-US" w:eastAsia="zh-CN"/>
              </w:rPr>
            </w:pPr>
            <w:r>
              <w:rPr>
                <w:rFonts w:hint="eastAsia"/>
                <w:sz w:val="21"/>
                <w:szCs w:val="21"/>
                <w:lang w:val="en-US" w:eastAsia="zh-CN"/>
              </w:rPr>
              <w:t>0.1t/a</w:t>
            </w:r>
          </w:p>
        </w:tc>
        <w:tc>
          <w:tcPr>
            <w:tcW w:w="1276" w:type="dxa"/>
            <w:noWrap w:val="0"/>
            <w:vAlign w:val="center"/>
          </w:tcPr>
          <w:p w14:paraId="743FDC23">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005C696A">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5D657AAB">
            <w:pPr>
              <w:widowControl/>
              <w:jc w:val="center"/>
              <w:textAlignment w:val="center"/>
              <w:rPr>
                <w:rFonts w:hint="eastAsia" w:cs="Times New Roman"/>
                <w:sz w:val="21"/>
                <w:szCs w:val="21"/>
                <w:lang w:val="en-US" w:eastAsia="zh-CN"/>
              </w:rPr>
            </w:pPr>
            <w:r>
              <w:rPr>
                <w:rFonts w:hint="eastAsia" w:cs="Times New Roman"/>
                <w:sz w:val="21"/>
                <w:szCs w:val="21"/>
                <w:lang w:val="en-US" w:eastAsia="zh-CN"/>
              </w:rPr>
              <w:t>0.1</w:t>
            </w:r>
            <w:r>
              <w:rPr>
                <w:rFonts w:hint="eastAsia"/>
                <w:sz w:val="21"/>
                <w:szCs w:val="21"/>
                <w:lang w:val="en-US" w:eastAsia="zh-CN"/>
              </w:rPr>
              <w:t>t/a</w:t>
            </w:r>
          </w:p>
        </w:tc>
        <w:tc>
          <w:tcPr>
            <w:tcW w:w="1560" w:type="dxa"/>
            <w:noWrap w:val="0"/>
            <w:vAlign w:val="center"/>
          </w:tcPr>
          <w:p w14:paraId="7FB6F26D">
            <w:pPr>
              <w:bidi w:val="0"/>
              <w:jc w:val="center"/>
              <w:rPr>
                <w:rFonts w:hint="eastAsia"/>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325B1DD8">
            <w:pPr>
              <w:widowControl/>
              <w:jc w:val="center"/>
              <w:textAlignment w:val="center"/>
              <w:rPr>
                <w:rFonts w:hint="eastAsia" w:cs="Times New Roman"/>
                <w:sz w:val="21"/>
                <w:szCs w:val="21"/>
                <w:lang w:val="en-US" w:eastAsia="zh-CN"/>
              </w:rPr>
            </w:pPr>
            <w:r>
              <w:rPr>
                <w:rFonts w:hint="eastAsia" w:cs="Times New Roman"/>
                <w:sz w:val="21"/>
                <w:szCs w:val="21"/>
                <w:lang w:val="en-US" w:eastAsia="zh-CN"/>
              </w:rPr>
              <w:t>0.2</w:t>
            </w:r>
            <w:r>
              <w:rPr>
                <w:rFonts w:hint="eastAsia"/>
                <w:sz w:val="21"/>
                <w:szCs w:val="21"/>
                <w:lang w:val="en-US" w:eastAsia="zh-CN"/>
              </w:rPr>
              <w:t>t/a</w:t>
            </w:r>
          </w:p>
        </w:tc>
        <w:tc>
          <w:tcPr>
            <w:tcW w:w="1137" w:type="dxa"/>
            <w:noWrap w:val="0"/>
            <w:vAlign w:val="center"/>
          </w:tcPr>
          <w:p w14:paraId="42D4C7E3">
            <w:pPr>
              <w:widowControl/>
              <w:jc w:val="center"/>
              <w:textAlignment w:val="center"/>
              <w:rPr>
                <w:rFonts w:hint="eastAsia" w:cs="Times New Roman"/>
                <w:sz w:val="21"/>
                <w:szCs w:val="21"/>
                <w:lang w:val="en-US" w:eastAsia="zh-CN"/>
              </w:rPr>
            </w:pPr>
            <w:r>
              <w:rPr>
                <w:rFonts w:hint="eastAsia"/>
                <w:sz w:val="21"/>
                <w:szCs w:val="21"/>
                <w:lang w:val="en-US" w:eastAsia="zh-CN"/>
              </w:rPr>
              <w:t>+</w:t>
            </w:r>
            <w:r>
              <w:rPr>
                <w:rFonts w:hint="eastAsia" w:cs="Times New Roman"/>
                <w:sz w:val="21"/>
                <w:szCs w:val="21"/>
                <w:lang w:val="en-US" w:eastAsia="zh-CN"/>
              </w:rPr>
              <w:t>0.1</w:t>
            </w:r>
            <w:r>
              <w:rPr>
                <w:rFonts w:hint="eastAsia"/>
                <w:sz w:val="21"/>
                <w:szCs w:val="21"/>
                <w:lang w:val="en-US" w:eastAsia="zh-CN"/>
              </w:rPr>
              <w:t>t/a</w:t>
            </w:r>
          </w:p>
        </w:tc>
      </w:tr>
      <w:tr w14:paraId="0CCB3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4E748914">
            <w:pPr>
              <w:bidi w:val="0"/>
              <w:jc w:val="center"/>
              <w:rPr>
                <w:rFonts w:hint="eastAsia"/>
                <w:sz w:val="21"/>
                <w:szCs w:val="21"/>
              </w:rPr>
            </w:pPr>
          </w:p>
        </w:tc>
        <w:tc>
          <w:tcPr>
            <w:tcW w:w="1826" w:type="dxa"/>
            <w:shd w:val="clear" w:color="auto" w:fill="auto"/>
            <w:noWrap w:val="0"/>
            <w:vAlign w:val="center"/>
          </w:tcPr>
          <w:p w14:paraId="538961B3">
            <w:pPr>
              <w:widowControl/>
              <w:jc w:val="center"/>
              <w:textAlignment w:val="center"/>
              <w:rPr>
                <w:rFonts w:hint="eastAsia"/>
                <w:sz w:val="21"/>
                <w:szCs w:val="21"/>
                <w:lang w:val="en-US" w:eastAsia="zh-CN"/>
              </w:rPr>
            </w:pPr>
            <w:r>
              <w:rPr>
                <w:rFonts w:hint="default" w:ascii="Times New Roman" w:hAnsi="Times New Roman" w:cs="Times New Roman"/>
                <w:b w:val="0"/>
                <w:bCs w:val="0"/>
                <w:sz w:val="21"/>
                <w:szCs w:val="21"/>
                <w:lang w:val="en-US" w:eastAsia="zh-CN"/>
              </w:rPr>
              <w:t>废漆桶</w:t>
            </w:r>
          </w:p>
        </w:tc>
        <w:tc>
          <w:tcPr>
            <w:tcW w:w="1701" w:type="dxa"/>
            <w:shd w:val="clear" w:color="auto" w:fill="auto"/>
            <w:noWrap w:val="0"/>
            <w:vAlign w:val="center"/>
          </w:tcPr>
          <w:p w14:paraId="4836D485">
            <w:pPr>
              <w:bidi w:val="0"/>
              <w:jc w:val="center"/>
              <w:rPr>
                <w:rFonts w:hint="eastAsia"/>
                <w:sz w:val="21"/>
                <w:szCs w:val="21"/>
                <w:lang w:val="en-US" w:eastAsia="zh-CN"/>
              </w:rPr>
            </w:pPr>
            <w:r>
              <w:rPr>
                <w:rFonts w:hint="eastAsia"/>
                <w:sz w:val="21"/>
                <w:szCs w:val="21"/>
                <w:lang w:val="en-US" w:eastAsia="zh-CN"/>
              </w:rPr>
              <w:t>/</w:t>
            </w:r>
          </w:p>
        </w:tc>
        <w:tc>
          <w:tcPr>
            <w:tcW w:w="1276" w:type="dxa"/>
            <w:noWrap w:val="0"/>
            <w:vAlign w:val="center"/>
          </w:tcPr>
          <w:p w14:paraId="1B48C95D">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161424D3">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7739433E">
            <w:pPr>
              <w:widowControl/>
              <w:jc w:val="center"/>
              <w:textAlignment w:val="center"/>
              <w:rPr>
                <w:rFonts w:hint="eastAsia" w:cs="Times New Roman"/>
                <w:sz w:val="21"/>
                <w:szCs w:val="21"/>
                <w:lang w:val="en-US" w:eastAsia="zh-CN"/>
              </w:rPr>
            </w:pPr>
            <w:r>
              <w:rPr>
                <w:rFonts w:hint="default" w:ascii="Times New Roman" w:hAnsi="Times New Roman" w:cs="Times New Roman"/>
                <w:sz w:val="21"/>
                <w:szCs w:val="21"/>
                <w:lang w:val="en-US" w:eastAsia="zh-CN"/>
              </w:rPr>
              <w:t>0.</w:t>
            </w:r>
            <w:r>
              <w:rPr>
                <w:rFonts w:hint="eastAsia" w:cs="Times New Roman"/>
                <w:sz w:val="21"/>
                <w:szCs w:val="21"/>
                <w:lang w:val="en-US" w:eastAsia="zh-CN"/>
              </w:rPr>
              <w:t>125</w:t>
            </w:r>
            <w:r>
              <w:rPr>
                <w:rFonts w:hint="eastAsia"/>
                <w:sz w:val="21"/>
                <w:szCs w:val="21"/>
                <w:lang w:val="en-US" w:eastAsia="zh-CN"/>
              </w:rPr>
              <w:t>t/a</w:t>
            </w:r>
          </w:p>
        </w:tc>
        <w:tc>
          <w:tcPr>
            <w:tcW w:w="1560" w:type="dxa"/>
            <w:noWrap w:val="0"/>
            <w:vAlign w:val="center"/>
          </w:tcPr>
          <w:p w14:paraId="232AF183">
            <w:pPr>
              <w:bidi w:val="0"/>
              <w:jc w:val="center"/>
              <w:rPr>
                <w:rFonts w:hint="eastAsia"/>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0274DAEC">
            <w:pPr>
              <w:widowControl/>
              <w:jc w:val="center"/>
              <w:textAlignment w:val="center"/>
              <w:rPr>
                <w:rFonts w:hint="eastAsia" w:cs="Times New Roman"/>
                <w:sz w:val="21"/>
                <w:szCs w:val="21"/>
                <w:lang w:val="en-US" w:eastAsia="zh-CN"/>
              </w:rPr>
            </w:pPr>
            <w:r>
              <w:rPr>
                <w:rFonts w:hint="default" w:ascii="Times New Roman" w:hAnsi="Times New Roman" w:cs="Times New Roman"/>
                <w:sz w:val="21"/>
                <w:szCs w:val="21"/>
                <w:lang w:val="en-US" w:eastAsia="zh-CN"/>
              </w:rPr>
              <w:t>0.</w:t>
            </w:r>
            <w:r>
              <w:rPr>
                <w:rFonts w:hint="eastAsia" w:cs="Times New Roman"/>
                <w:sz w:val="21"/>
                <w:szCs w:val="21"/>
                <w:lang w:val="en-US" w:eastAsia="zh-CN"/>
              </w:rPr>
              <w:t>125</w:t>
            </w:r>
            <w:r>
              <w:rPr>
                <w:rFonts w:hint="eastAsia"/>
                <w:sz w:val="21"/>
                <w:szCs w:val="21"/>
                <w:lang w:val="en-US" w:eastAsia="zh-CN"/>
              </w:rPr>
              <w:t>t/a</w:t>
            </w:r>
          </w:p>
        </w:tc>
        <w:tc>
          <w:tcPr>
            <w:tcW w:w="1137" w:type="dxa"/>
            <w:noWrap w:val="0"/>
            <w:vAlign w:val="center"/>
          </w:tcPr>
          <w:p w14:paraId="3704950B">
            <w:pPr>
              <w:widowControl/>
              <w:jc w:val="center"/>
              <w:textAlignment w:val="center"/>
              <w:rPr>
                <w:rFonts w:hint="eastAsia" w:cs="Times New Roman"/>
                <w:sz w:val="21"/>
                <w:szCs w:val="21"/>
                <w:lang w:val="en-US" w:eastAsia="zh-CN"/>
              </w:rPr>
            </w:pPr>
            <w:r>
              <w:rPr>
                <w:rFonts w:hint="eastAsia"/>
                <w:sz w:val="21"/>
                <w:szCs w:val="21"/>
                <w:lang w:val="en-US" w:eastAsia="zh-CN"/>
              </w:rPr>
              <w:t>+</w:t>
            </w:r>
            <w:r>
              <w:rPr>
                <w:rFonts w:hint="default" w:ascii="Times New Roman" w:hAnsi="Times New Roman" w:cs="Times New Roman"/>
                <w:sz w:val="21"/>
                <w:szCs w:val="21"/>
                <w:lang w:val="en-US" w:eastAsia="zh-CN"/>
              </w:rPr>
              <w:t>0.</w:t>
            </w:r>
            <w:r>
              <w:rPr>
                <w:rFonts w:hint="eastAsia" w:cs="Times New Roman"/>
                <w:sz w:val="21"/>
                <w:szCs w:val="21"/>
                <w:lang w:val="en-US" w:eastAsia="zh-CN"/>
              </w:rPr>
              <w:t>125</w:t>
            </w:r>
            <w:r>
              <w:rPr>
                <w:rFonts w:hint="eastAsia"/>
                <w:sz w:val="21"/>
                <w:szCs w:val="21"/>
                <w:lang w:val="en-US" w:eastAsia="zh-CN"/>
              </w:rPr>
              <w:t>t/a</w:t>
            </w:r>
          </w:p>
        </w:tc>
      </w:tr>
      <w:tr w14:paraId="15E2A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3EBEE7C7">
            <w:pPr>
              <w:bidi w:val="0"/>
              <w:jc w:val="center"/>
              <w:rPr>
                <w:rFonts w:hint="eastAsia"/>
                <w:sz w:val="21"/>
                <w:szCs w:val="21"/>
              </w:rPr>
            </w:pPr>
          </w:p>
        </w:tc>
        <w:tc>
          <w:tcPr>
            <w:tcW w:w="1826" w:type="dxa"/>
            <w:shd w:val="clear" w:color="auto" w:fill="auto"/>
            <w:noWrap w:val="0"/>
            <w:vAlign w:val="center"/>
          </w:tcPr>
          <w:p w14:paraId="351A2FB1">
            <w:pPr>
              <w:widowControl/>
              <w:jc w:val="center"/>
              <w:textAlignment w:val="center"/>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废封装料桶</w:t>
            </w:r>
          </w:p>
        </w:tc>
        <w:tc>
          <w:tcPr>
            <w:tcW w:w="1701" w:type="dxa"/>
            <w:shd w:val="clear" w:color="auto" w:fill="auto"/>
            <w:noWrap w:val="0"/>
            <w:vAlign w:val="center"/>
          </w:tcPr>
          <w:p w14:paraId="3E441671">
            <w:pPr>
              <w:bidi w:val="0"/>
              <w:jc w:val="center"/>
              <w:rPr>
                <w:rFonts w:hint="eastAsia"/>
                <w:sz w:val="21"/>
                <w:szCs w:val="21"/>
                <w:lang w:val="en-US" w:eastAsia="zh-CN"/>
              </w:rPr>
            </w:pPr>
            <w:r>
              <w:rPr>
                <w:rFonts w:hint="eastAsia"/>
                <w:sz w:val="21"/>
                <w:szCs w:val="21"/>
                <w:lang w:val="en-US" w:eastAsia="zh-CN"/>
              </w:rPr>
              <w:t>/</w:t>
            </w:r>
          </w:p>
        </w:tc>
        <w:tc>
          <w:tcPr>
            <w:tcW w:w="1276" w:type="dxa"/>
            <w:noWrap w:val="0"/>
            <w:vAlign w:val="center"/>
          </w:tcPr>
          <w:p w14:paraId="52ED16D2">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7EFC34B2">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013E3E03">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0.0974</w:t>
            </w:r>
            <w:r>
              <w:rPr>
                <w:rFonts w:hint="eastAsia"/>
                <w:sz w:val="21"/>
                <w:szCs w:val="21"/>
                <w:lang w:val="en-US" w:eastAsia="zh-CN"/>
              </w:rPr>
              <w:t>t/a</w:t>
            </w:r>
          </w:p>
        </w:tc>
        <w:tc>
          <w:tcPr>
            <w:tcW w:w="1560" w:type="dxa"/>
            <w:noWrap w:val="0"/>
            <w:vAlign w:val="center"/>
          </w:tcPr>
          <w:p w14:paraId="5021B00A">
            <w:pPr>
              <w:bidi w:val="0"/>
              <w:jc w:val="center"/>
              <w:rPr>
                <w:rFonts w:hint="eastAsia"/>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6444F744">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0.0974</w:t>
            </w:r>
            <w:r>
              <w:rPr>
                <w:rFonts w:hint="eastAsia"/>
                <w:sz w:val="21"/>
                <w:szCs w:val="21"/>
                <w:lang w:val="en-US" w:eastAsia="zh-CN"/>
              </w:rPr>
              <w:t>t/a</w:t>
            </w:r>
          </w:p>
        </w:tc>
        <w:tc>
          <w:tcPr>
            <w:tcW w:w="1137" w:type="dxa"/>
            <w:shd w:val="clear" w:color="auto" w:fill="auto"/>
            <w:noWrap w:val="0"/>
            <w:vAlign w:val="center"/>
          </w:tcPr>
          <w:p w14:paraId="2298232D">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+0.0974</w:t>
            </w:r>
            <w:r>
              <w:rPr>
                <w:rFonts w:hint="eastAsia"/>
                <w:sz w:val="21"/>
                <w:szCs w:val="21"/>
                <w:lang w:val="en-US" w:eastAsia="zh-CN"/>
              </w:rPr>
              <w:t>t/a</w:t>
            </w:r>
          </w:p>
        </w:tc>
      </w:tr>
      <w:tr w14:paraId="14375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01A44337">
            <w:pPr>
              <w:bidi w:val="0"/>
              <w:jc w:val="center"/>
              <w:rPr>
                <w:rFonts w:hint="eastAsia"/>
                <w:sz w:val="21"/>
                <w:szCs w:val="21"/>
              </w:rPr>
            </w:pPr>
          </w:p>
        </w:tc>
        <w:tc>
          <w:tcPr>
            <w:tcW w:w="1826" w:type="dxa"/>
            <w:shd w:val="clear" w:color="auto" w:fill="auto"/>
            <w:noWrap w:val="0"/>
            <w:vAlign w:val="center"/>
          </w:tcPr>
          <w:p w14:paraId="7B8A5A70">
            <w:pPr>
              <w:widowControl/>
              <w:jc w:val="center"/>
              <w:textAlignment w:val="center"/>
              <w:rPr>
                <w:rFonts w:hint="default" w:ascii="Times New Roman" w:hAnsi="Times New Roman" w:cs="Times New Roman"/>
                <w:b w:val="0"/>
                <w:bCs w:val="0"/>
                <w:sz w:val="21"/>
                <w:szCs w:val="21"/>
                <w:lang w:val="en-US" w:eastAsia="zh-CN"/>
              </w:rPr>
            </w:pPr>
            <w:r>
              <w:rPr>
                <w:rFonts w:hint="eastAsia" w:cs="Times New Roman"/>
                <w:b w:val="0"/>
                <w:bCs w:val="0"/>
                <w:sz w:val="21"/>
                <w:szCs w:val="21"/>
                <w:lang w:val="en-US" w:eastAsia="zh-CN"/>
              </w:rPr>
              <w:t>废过滤棉</w:t>
            </w:r>
          </w:p>
        </w:tc>
        <w:tc>
          <w:tcPr>
            <w:tcW w:w="1701" w:type="dxa"/>
            <w:shd w:val="clear" w:color="auto" w:fill="auto"/>
            <w:noWrap w:val="0"/>
            <w:vAlign w:val="center"/>
          </w:tcPr>
          <w:p w14:paraId="7A9CAB60">
            <w:pPr>
              <w:bidi w:val="0"/>
              <w:jc w:val="center"/>
              <w:rPr>
                <w:rFonts w:hint="eastAsia"/>
                <w:sz w:val="21"/>
                <w:szCs w:val="21"/>
                <w:lang w:val="en-US" w:eastAsia="zh-CN"/>
              </w:rPr>
            </w:pPr>
            <w:r>
              <w:rPr>
                <w:rFonts w:hint="eastAsia"/>
                <w:sz w:val="21"/>
                <w:szCs w:val="21"/>
                <w:lang w:val="en-US" w:eastAsia="zh-CN"/>
              </w:rPr>
              <w:t>/</w:t>
            </w:r>
          </w:p>
        </w:tc>
        <w:tc>
          <w:tcPr>
            <w:tcW w:w="1276" w:type="dxa"/>
            <w:noWrap w:val="0"/>
            <w:vAlign w:val="center"/>
          </w:tcPr>
          <w:p w14:paraId="1D383766">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283782B8">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5585424D">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1.4512</w:t>
            </w:r>
            <w:r>
              <w:rPr>
                <w:rFonts w:hint="eastAsia"/>
                <w:sz w:val="21"/>
                <w:szCs w:val="21"/>
                <w:lang w:val="en-US" w:eastAsia="zh-CN"/>
              </w:rPr>
              <w:t>t/a</w:t>
            </w:r>
          </w:p>
        </w:tc>
        <w:tc>
          <w:tcPr>
            <w:tcW w:w="1560" w:type="dxa"/>
            <w:noWrap w:val="0"/>
            <w:vAlign w:val="center"/>
          </w:tcPr>
          <w:p w14:paraId="207EFA15">
            <w:pPr>
              <w:bidi w:val="0"/>
              <w:jc w:val="center"/>
              <w:rPr>
                <w:rFonts w:hint="eastAsia"/>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18DDB97A">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1.4512</w:t>
            </w:r>
            <w:r>
              <w:rPr>
                <w:rFonts w:hint="eastAsia"/>
                <w:sz w:val="21"/>
                <w:szCs w:val="21"/>
                <w:lang w:val="en-US" w:eastAsia="zh-CN"/>
              </w:rPr>
              <w:t>t/a</w:t>
            </w:r>
          </w:p>
        </w:tc>
        <w:tc>
          <w:tcPr>
            <w:tcW w:w="1137" w:type="dxa"/>
            <w:shd w:val="clear" w:color="auto" w:fill="auto"/>
            <w:noWrap w:val="0"/>
            <w:vAlign w:val="center"/>
          </w:tcPr>
          <w:p w14:paraId="71487CCF">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+1.4512</w:t>
            </w:r>
            <w:r>
              <w:rPr>
                <w:rFonts w:hint="eastAsia"/>
                <w:sz w:val="21"/>
                <w:szCs w:val="21"/>
                <w:lang w:val="en-US" w:eastAsia="zh-CN"/>
              </w:rPr>
              <w:t>t/a</w:t>
            </w:r>
          </w:p>
        </w:tc>
      </w:tr>
      <w:tr w14:paraId="6C001D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7A692DDF">
            <w:pPr>
              <w:bidi w:val="0"/>
              <w:jc w:val="center"/>
              <w:rPr>
                <w:rFonts w:hint="eastAsia"/>
                <w:sz w:val="21"/>
                <w:szCs w:val="21"/>
              </w:rPr>
            </w:pPr>
          </w:p>
        </w:tc>
        <w:tc>
          <w:tcPr>
            <w:tcW w:w="1826" w:type="dxa"/>
            <w:shd w:val="clear" w:color="auto" w:fill="auto"/>
            <w:noWrap w:val="0"/>
            <w:vAlign w:val="center"/>
          </w:tcPr>
          <w:p w14:paraId="11861028">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color w:val="auto"/>
                <w:kern w:val="2"/>
                <w:sz w:val="21"/>
                <w:szCs w:val="21"/>
                <w:lang w:val="en-US" w:eastAsia="zh-CN" w:bidi="ar-SA"/>
              </w:rPr>
              <w:t>废液压油</w:t>
            </w:r>
          </w:p>
        </w:tc>
        <w:tc>
          <w:tcPr>
            <w:tcW w:w="1701" w:type="dxa"/>
            <w:shd w:val="clear" w:color="auto" w:fill="auto"/>
            <w:noWrap w:val="0"/>
            <w:vAlign w:val="center"/>
          </w:tcPr>
          <w:p w14:paraId="75ED534E">
            <w:pPr>
              <w:bidi w:val="0"/>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1276" w:type="dxa"/>
            <w:noWrap w:val="0"/>
            <w:vAlign w:val="center"/>
          </w:tcPr>
          <w:p w14:paraId="6AE10340">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702110B3">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0E77B36C">
            <w:pPr>
              <w:widowControl/>
              <w:jc w:val="center"/>
              <w:textAlignment w:val="center"/>
              <w:rPr>
                <w:rFonts w:hint="default"/>
                <w:sz w:val="21"/>
                <w:szCs w:val="21"/>
                <w:lang w:val="en-US" w:eastAsia="zh-CN"/>
              </w:rPr>
            </w:pPr>
            <w:r>
              <w:rPr>
                <w:rFonts w:hint="eastAsia" w:ascii="Times New Roman" w:hAnsi="Times New Roman" w:cs="Times New Roman"/>
                <w:sz w:val="21"/>
                <w:szCs w:val="21"/>
                <w:lang w:val="en-US" w:eastAsia="zh-CN"/>
              </w:rPr>
              <w:t>2</w:t>
            </w:r>
            <w:r>
              <w:rPr>
                <w:rFonts w:hint="eastAsia"/>
                <w:sz w:val="21"/>
                <w:szCs w:val="21"/>
                <w:lang w:val="en-US" w:eastAsia="zh-CN"/>
              </w:rPr>
              <w:t>t/a</w:t>
            </w:r>
          </w:p>
        </w:tc>
        <w:tc>
          <w:tcPr>
            <w:tcW w:w="1560" w:type="dxa"/>
            <w:noWrap w:val="0"/>
            <w:vAlign w:val="center"/>
          </w:tcPr>
          <w:p w14:paraId="460CC07F">
            <w:pPr>
              <w:bidi w:val="0"/>
              <w:jc w:val="center"/>
              <w:rPr>
                <w:rFonts w:hint="eastAsia"/>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60670F7E">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2</w:t>
            </w:r>
            <w:r>
              <w:rPr>
                <w:rFonts w:hint="eastAsia"/>
                <w:sz w:val="21"/>
                <w:szCs w:val="21"/>
                <w:lang w:val="en-US" w:eastAsia="zh-CN"/>
              </w:rPr>
              <w:t>t/a</w:t>
            </w:r>
          </w:p>
        </w:tc>
        <w:tc>
          <w:tcPr>
            <w:tcW w:w="1137" w:type="dxa"/>
            <w:noWrap w:val="0"/>
            <w:vAlign w:val="center"/>
          </w:tcPr>
          <w:p w14:paraId="73CC5696">
            <w:pPr>
              <w:widowControl/>
              <w:jc w:val="center"/>
              <w:textAlignment w:val="center"/>
              <w:rPr>
                <w:rFonts w:hint="eastAsia"/>
                <w:sz w:val="21"/>
                <w:szCs w:val="21"/>
                <w:lang w:val="en-US" w:eastAsia="zh-CN"/>
              </w:rPr>
            </w:pPr>
            <w:r>
              <w:rPr>
                <w:rFonts w:hint="eastAsia"/>
                <w:sz w:val="21"/>
                <w:szCs w:val="21"/>
                <w:lang w:val="en-US" w:eastAsia="zh-CN"/>
              </w:rPr>
              <w:t>+</w:t>
            </w:r>
            <w:r>
              <w:rPr>
                <w:rFonts w:hint="eastAsia" w:ascii="Times New Roman" w:hAnsi="Times New Roman" w:cs="Times New Roman"/>
                <w:sz w:val="21"/>
                <w:szCs w:val="21"/>
                <w:lang w:val="en-US" w:eastAsia="zh-CN"/>
              </w:rPr>
              <w:t>2</w:t>
            </w:r>
            <w:r>
              <w:rPr>
                <w:rFonts w:hint="eastAsia"/>
                <w:sz w:val="21"/>
                <w:szCs w:val="21"/>
                <w:lang w:val="en-US" w:eastAsia="zh-CN"/>
              </w:rPr>
              <w:t>t/a</w:t>
            </w:r>
          </w:p>
        </w:tc>
      </w:tr>
      <w:tr w14:paraId="6EE0D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2D1D2F10">
            <w:pPr>
              <w:bidi w:val="0"/>
              <w:jc w:val="center"/>
              <w:rPr>
                <w:rFonts w:hint="eastAsia"/>
                <w:sz w:val="21"/>
                <w:szCs w:val="21"/>
              </w:rPr>
            </w:pPr>
          </w:p>
        </w:tc>
        <w:tc>
          <w:tcPr>
            <w:tcW w:w="1826" w:type="dxa"/>
            <w:shd w:val="clear" w:color="auto" w:fill="auto"/>
            <w:noWrap w:val="0"/>
            <w:vAlign w:val="center"/>
          </w:tcPr>
          <w:p w14:paraId="292F8123">
            <w:pPr>
              <w:widowControl/>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废液压油桶</w:t>
            </w:r>
          </w:p>
        </w:tc>
        <w:tc>
          <w:tcPr>
            <w:tcW w:w="1701" w:type="dxa"/>
            <w:shd w:val="clear" w:color="auto" w:fill="auto"/>
            <w:noWrap w:val="0"/>
            <w:vAlign w:val="center"/>
          </w:tcPr>
          <w:p w14:paraId="075E5DEF">
            <w:pPr>
              <w:bidi w:val="0"/>
              <w:jc w:val="center"/>
              <w:rPr>
                <w:rFonts w:hint="eastAsia"/>
                <w:sz w:val="21"/>
                <w:szCs w:val="21"/>
                <w:lang w:val="en-US" w:eastAsia="zh-CN"/>
              </w:rPr>
            </w:pPr>
            <w:r>
              <w:rPr>
                <w:rFonts w:hint="eastAsia"/>
                <w:sz w:val="21"/>
                <w:szCs w:val="21"/>
                <w:lang w:val="en-US" w:eastAsia="zh-CN"/>
              </w:rPr>
              <w:t>/</w:t>
            </w:r>
          </w:p>
        </w:tc>
        <w:tc>
          <w:tcPr>
            <w:tcW w:w="1276" w:type="dxa"/>
            <w:noWrap w:val="0"/>
            <w:vAlign w:val="center"/>
          </w:tcPr>
          <w:p w14:paraId="66CC824C">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154BD4E0">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230522BC">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0.12</w:t>
            </w:r>
            <w:r>
              <w:rPr>
                <w:rFonts w:hint="eastAsia"/>
                <w:sz w:val="21"/>
                <w:szCs w:val="21"/>
                <w:lang w:val="en-US" w:eastAsia="zh-CN"/>
              </w:rPr>
              <w:t>t/a</w:t>
            </w:r>
          </w:p>
        </w:tc>
        <w:tc>
          <w:tcPr>
            <w:tcW w:w="1560" w:type="dxa"/>
            <w:noWrap w:val="0"/>
            <w:vAlign w:val="center"/>
          </w:tcPr>
          <w:p w14:paraId="4828DC49">
            <w:pPr>
              <w:bidi w:val="0"/>
              <w:jc w:val="center"/>
              <w:rPr>
                <w:rFonts w:hint="default"/>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35A42FB9">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0.12</w:t>
            </w:r>
            <w:r>
              <w:rPr>
                <w:rFonts w:hint="eastAsia"/>
                <w:sz w:val="21"/>
                <w:szCs w:val="21"/>
                <w:lang w:val="en-US" w:eastAsia="zh-CN"/>
              </w:rPr>
              <w:t>t/a</w:t>
            </w:r>
          </w:p>
        </w:tc>
        <w:tc>
          <w:tcPr>
            <w:tcW w:w="1137" w:type="dxa"/>
            <w:noWrap w:val="0"/>
            <w:vAlign w:val="center"/>
          </w:tcPr>
          <w:p w14:paraId="6D389C09">
            <w:pPr>
              <w:widowControl/>
              <w:jc w:val="center"/>
              <w:textAlignment w:val="center"/>
              <w:rPr>
                <w:rFonts w:hint="default"/>
                <w:sz w:val="21"/>
                <w:szCs w:val="21"/>
                <w:lang w:val="en-US" w:eastAsia="zh-CN"/>
              </w:rPr>
            </w:pPr>
            <w:r>
              <w:rPr>
                <w:rFonts w:hint="eastAsia"/>
                <w:sz w:val="21"/>
                <w:szCs w:val="21"/>
                <w:lang w:val="en-US" w:eastAsia="zh-CN"/>
              </w:rPr>
              <w:t>+0.12t/a</w:t>
            </w:r>
          </w:p>
        </w:tc>
      </w:tr>
      <w:tr w14:paraId="69DCD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vMerge w:val="continue"/>
            <w:noWrap w:val="0"/>
            <w:vAlign w:val="center"/>
          </w:tcPr>
          <w:p w14:paraId="77548DD1">
            <w:pPr>
              <w:bidi w:val="0"/>
              <w:jc w:val="center"/>
              <w:rPr>
                <w:rFonts w:hint="eastAsia"/>
                <w:sz w:val="21"/>
                <w:szCs w:val="21"/>
              </w:rPr>
            </w:pPr>
          </w:p>
        </w:tc>
        <w:tc>
          <w:tcPr>
            <w:tcW w:w="1826" w:type="dxa"/>
            <w:shd w:val="clear" w:color="auto" w:fill="auto"/>
            <w:noWrap w:val="0"/>
            <w:vAlign w:val="center"/>
          </w:tcPr>
          <w:p w14:paraId="10300BA9">
            <w:pPr>
              <w:widowControl/>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含油抹布及手套</w:t>
            </w:r>
          </w:p>
        </w:tc>
        <w:tc>
          <w:tcPr>
            <w:tcW w:w="1701" w:type="dxa"/>
            <w:shd w:val="clear" w:color="auto" w:fill="auto"/>
            <w:noWrap w:val="0"/>
            <w:vAlign w:val="center"/>
          </w:tcPr>
          <w:p w14:paraId="064D165E">
            <w:pPr>
              <w:bidi w:val="0"/>
              <w:jc w:val="center"/>
              <w:rPr>
                <w:rFonts w:hint="eastAsia"/>
                <w:sz w:val="21"/>
                <w:szCs w:val="21"/>
                <w:lang w:val="en-US" w:eastAsia="zh-CN"/>
              </w:rPr>
            </w:pPr>
            <w:r>
              <w:rPr>
                <w:rFonts w:hint="eastAsia"/>
                <w:sz w:val="21"/>
                <w:szCs w:val="21"/>
                <w:lang w:val="en-US" w:eastAsia="zh-CN"/>
              </w:rPr>
              <w:t>/</w:t>
            </w:r>
          </w:p>
        </w:tc>
        <w:tc>
          <w:tcPr>
            <w:tcW w:w="1276" w:type="dxa"/>
            <w:noWrap w:val="0"/>
            <w:vAlign w:val="center"/>
          </w:tcPr>
          <w:p w14:paraId="6E2CDB2A">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2515E91B">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036311FD">
            <w:pPr>
              <w:widowControl/>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0.01</w:t>
            </w:r>
            <w:r>
              <w:rPr>
                <w:rFonts w:hint="eastAsia"/>
                <w:sz w:val="21"/>
                <w:szCs w:val="21"/>
                <w:lang w:val="en-US" w:eastAsia="zh-CN"/>
              </w:rPr>
              <w:t>t/a</w:t>
            </w:r>
          </w:p>
        </w:tc>
        <w:tc>
          <w:tcPr>
            <w:tcW w:w="1560" w:type="dxa"/>
            <w:noWrap w:val="0"/>
            <w:vAlign w:val="center"/>
          </w:tcPr>
          <w:p w14:paraId="3C69D922">
            <w:pPr>
              <w:bidi w:val="0"/>
              <w:jc w:val="center"/>
              <w:rPr>
                <w:rFonts w:hint="default"/>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430F083B">
            <w:pPr>
              <w:widowControl/>
              <w:jc w:val="center"/>
              <w:textAlignment w:val="center"/>
              <w:rPr>
                <w:rFonts w:hint="eastAsia" w:ascii="Times New Roman" w:hAnsi="Times New Roman" w:cs="Times New Roman"/>
                <w:sz w:val="21"/>
                <w:szCs w:val="21"/>
                <w:lang w:val="en-US" w:eastAsia="zh-CN"/>
              </w:rPr>
            </w:pPr>
            <w:r>
              <w:rPr>
                <w:rFonts w:hint="eastAsia" w:cs="Times New Roman"/>
                <w:sz w:val="21"/>
                <w:szCs w:val="21"/>
                <w:lang w:val="en-US" w:eastAsia="zh-CN"/>
              </w:rPr>
              <w:t>0.01</w:t>
            </w:r>
            <w:r>
              <w:rPr>
                <w:rFonts w:hint="eastAsia"/>
                <w:sz w:val="21"/>
                <w:szCs w:val="21"/>
                <w:lang w:val="en-US" w:eastAsia="zh-CN"/>
              </w:rPr>
              <w:t>t/a</w:t>
            </w:r>
          </w:p>
        </w:tc>
        <w:tc>
          <w:tcPr>
            <w:tcW w:w="1137" w:type="dxa"/>
            <w:noWrap w:val="0"/>
            <w:vAlign w:val="center"/>
          </w:tcPr>
          <w:p w14:paraId="6F554602">
            <w:pPr>
              <w:widowControl/>
              <w:jc w:val="center"/>
              <w:textAlignment w:val="center"/>
              <w:rPr>
                <w:rFonts w:hint="eastAsia"/>
                <w:sz w:val="21"/>
                <w:szCs w:val="21"/>
                <w:lang w:val="en-US" w:eastAsia="zh-CN"/>
              </w:rPr>
            </w:pPr>
            <w:r>
              <w:rPr>
                <w:rFonts w:hint="eastAsia" w:cs="Times New Roman"/>
                <w:sz w:val="21"/>
                <w:szCs w:val="21"/>
                <w:lang w:val="en-US" w:eastAsia="zh-CN"/>
              </w:rPr>
              <w:t>+0.01</w:t>
            </w:r>
            <w:r>
              <w:rPr>
                <w:rFonts w:hint="eastAsia"/>
                <w:sz w:val="21"/>
                <w:szCs w:val="21"/>
                <w:lang w:val="en-US" w:eastAsia="zh-CN"/>
              </w:rPr>
              <w:t>t/a</w:t>
            </w:r>
          </w:p>
        </w:tc>
      </w:tr>
      <w:tr w14:paraId="16ABB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9" w:type="dxa"/>
            <w:noWrap w:val="0"/>
            <w:vAlign w:val="center"/>
          </w:tcPr>
          <w:p w14:paraId="2CDD304F">
            <w:pPr>
              <w:bidi w:val="0"/>
              <w:jc w:val="center"/>
              <w:rPr>
                <w:rFonts w:hint="default" w:eastAsia="宋体"/>
                <w:sz w:val="21"/>
                <w:szCs w:val="21"/>
                <w:lang w:val="en-US" w:eastAsia="zh-CN"/>
              </w:rPr>
            </w:pPr>
            <w:r>
              <w:rPr>
                <w:rFonts w:hint="eastAsia"/>
                <w:sz w:val="21"/>
                <w:szCs w:val="21"/>
                <w:lang w:val="en-US" w:eastAsia="zh-CN"/>
              </w:rPr>
              <w:t>生活垃圾</w:t>
            </w:r>
          </w:p>
        </w:tc>
        <w:tc>
          <w:tcPr>
            <w:tcW w:w="1826" w:type="dxa"/>
            <w:shd w:val="clear" w:color="auto" w:fill="auto"/>
            <w:noWrap w:val="0"/>
            <w:vAlign w:val="center"/>
          </w:tcPr>
          <w:p w14:paraId="4830A42E">
            <w:pPr>
              <w:bidi w:val="0"/>
              <w:jc w:val="center"/>
              <w:rPr>
                <w:rFonts w:hint="eastAsia"/>
                <w:sz w:val="21"/>
                <w:szCs w:val="21"/>
                <w:lang w:val="en-US" w:eastAsia="zh-CN"/>
              </w:rPr>
            </w:pPr>
            <w:r>
              <w:rPr>
                <w:rFonts w:hint="eastAsia"/>
                <w:sz w:val="21"/>
                <w:szCs w:val="21"/>
                <w:lang w:val="en-US" w:eastAsia="zh-CN"/>
              </w:rPr>
              <w:t>生活垃圾</w:t>
            </w:r>
          </w:p>
        </w:tc>
        <w:tc>
          <w:tcPr>
            <w:tcW w:w="1701" w:type="dxa"/>
            <w:shd w:val="clear" w:color="auto" w:fill="auto"/>
            <w:noWrap w:val="0"/>
            <w:vAlign w:val="center"/>
          </w:tcPr>
          <w:p w14:paraId="0164AF16">
            <w:pPr>
              <w:bidi w:val="0"/>
              <w:jc w:val="center"/>
              <w:rPr>
                <w:rFonts w:hint="default"/>
                <w:sz w:val="21"/>
                <w:szCs w:val="21"/>
                <w:lang w:val="en-US" w:eastAsia="zh-CN"/>
              </w:rPr>
            </w:pPr>
            <w:r>
              <w:rPr>
                <w:rFonts w:hint="eastAsia"/>
                <w:sz w:val="21"/>
                <w:szCs w:val="21"/>
                <w:lang w:val="en-US" w:eastAsia="zh-CN"/>
              </w:rPr>
              <w:t>6t/a</w:t>
            </w:r>
          </w:p>
        </w:tc>
        <w:tc>
          <w:tcPr>
            <w:tcW w:w="1276" w:type="dxa"/>
            <w:noWrap w:val="0"/>
            <w:vAlign w:val="center"/>
          </w:tcPr>
          <w:p w14:paraId="78212ECA">
            <w:pPr>
              <w:bidi w:val="0"/>
              <w:jc w:val="center"/>
              <w:rPr>
                <w:rFonts w:hint="eastAsia"/>
                <w:sz w:val="21"/>
                <w:szCs w:val="21"/>
                <w:lang w:val="en-US" w:eastAsia="zh-CN"/>
              </w:rPr>
            </w:pPr>
            <w:r>
              <w:rPr>
                <w:rFonts w:hint="eastAsia"/>
                <w:sz w:val="21"/>
                <w:szCs w:val="21"/>
                <w:lang w:val="en-US" w:eastAsia="zh-CN"/>
              </w:rPr>
              <w:t>/</w:t>
            </w:r>
          </w:p>
        </w:tc>
        <w:tc>
          <w:tcPr>
            <w:tcW w:w="1445" w:type="dxa"/>
            <w:noWrap w:val="0"/>
            <w:vAlign w:val="center"/>
          </w:tcPr>
          <w:p w14:paraId="1FB17EB6">
            <w:pPr>
              <w:bidi w:val="0"/>
              <w:jc w:val="center"/>
              <w:rPr>
                <w:rFonts w:hint="eastAsia"/>
                <w:sz w:val="21"/>
                <w:szCs w:val="21"/>
                <w:lang w:val="en-US" w:eastAsia="zh-CN"/>
              </w:rPr>
            </w:pPr>
            <w:r>
              <w:rPr>
                <w:rFonts w:hint="eastAsia"/>
                <w:sz w:val="21"/>
                <w:szCs w:val="21"/>
                <w:lang w:val="en-US" w:eastAsia="zh-CN"/>
              </w:rPr>
              <w:t>/</w:t>
            </w:r>
          </w:p>
        </w:tc>
        <w:tc>
          <w:tcPr>
            <w:tcW w:w="1365" w:type="dxa"/>
            <w:noWrap w:val="0"/>
            <w:vAlign w:val="center"/>
          </w:tcPr>
          <w:p w14:paraId="32541A49">
            <w:pPr>
              <w:bidi w:val="0"/>
              <w:jc w:val="center"/>
              <w:rPr>
                <w:rFonts w:hint="eastAsia"/>
                <w:sz w:val="21"/>
                <w:szCs w:val="21"/>
                <w:lang w:val="en-US" w:eastAsia="zh-CN"/>
              </w:rPr>
            </w:pPr>
            <w:r>
              <w:rPr>
                <w:rFonts w:hint="eastAsia"/>
                <w:sz w:val="21"/>
                <w:szCs w:val="21"/>
                <w:lang w:val="en-US" w:eastAsia="zh-CN"/>
              </w:rPr>
              <w:t>1.5t/a</w:t>
            </w:r>
          </w:p>
        </w:tc>
        <w:tc>
          <w:tcPr>
            <w:tcW w:w="1560" w:type="dxa"/>
            <w:noWrap w:val="0"/>
            <w:vAlign w:val="center"/>
          </w:tcPr>
          <w:p w14:paraId="715A5B75">
            <w:pPr>
              <w:bidi w:val="0"/>
              <w:jc w:val="center"/>
              <w:rPr>
                <w:rFonts w:hint="default"/>
                <w:sz w:val="21"/>
                <w:szCs w:val="21"/>
                <w:lang w:val="en-US" w:eastAsia="zh-CN"/>
              </w:rPr>
            </w:pPr>
            <w:r>
              <w:rPr>
                <w:rFonts w:hint="eastAsia"/>
                <w:sz w:val="21"/>
                <w:szCs w:val="21"/>
                <w:lang w:val="en-US" w:eastAsia="zh-CN"/>
              </w:rPr>
              <w:t>/</w:t>
            </w:r>
          </w:p>
        </w:tc>
        <w:tc>
          <w:tcPr>
            <w:tcW w:w="1818" w:type="dxa"/>
            <w:shd w:val="clear" w:color="auto" w:fill="auto"/>
            <w:noWrap w:val="0"/>
            <w:vAlign w:val="center"/>
          </w:tcPr>
          <w:p w14:paraId="71FF1FDA">
            <w:pPr>
              <w:bidi w:val="0"/>
              <w:jc w:val="center"/>
              <w:rPr>
                <w:rFonts w:hint="default"/>
                <w:sz w:val="21"/>
                <w:szCs w:val="21"/>
                <w:lang w:val="en-US" w:eastAsia="zh-CN"/>
              </w:rPr>
            </w:pPr>
            <w:r>
              <w:rPr>
                <w:rFonts w:hint="eastAsia"/>
                <w:sz w:val="21"/>
                <w:szCs w:val="21"/>
                <w:lang w:val="en-US" w:eastAsia="zh-CN"/>
              </w:rPr>
              <w:t>7.5t/a</w:t>
            </w:r>
          </w:p>
        </w:tc>
        <w:tc>
          <w:tcPr>
            <w:tcW w:w="1137" w:type="dxa"/>
            <w:noWrap w:val="0"/>
            <w:vAlign w:val="center"/>
          </w:tcPr>
          <w:p w14:paraId="17F5C1BA">
            <w:pPr>
              <w:bidi w:val="0"/>
              <w:jc w:val="center"/>
              <w:rPr>
                <w:rFonts w:hint="default"/>
                <w:sz w:val="21"/>
                <w:szCs w:val="21"/>
                <w:lang w:val="en-US" w:eastAsia="zh-CN"/>
              </w:rPr>
            </w:pPr>
            <w:r>
              <w:rPr>
                <w:rFonts w:hint="eastAsia"/>
                <w:sz w:val="21"/>
                <w:szCs w:val="21"/>
                <w:lang w:val="en-US" w:eastAsia="zh-CN"/>
              </w:rPr>
              <w:t>+1.5t/a</w:t>
            </w:r>
          </w:p>
        </w:tc>
      </w:tr>
    </w:tbl>
    <w:p w14:paraId="3F953FA3">
      <w:pPr>
        <w:bidi w:val="0"/>
        <w:rPr>
          <w:sz w:val="21"/>
          <w:szCs w:val="21"/>
        </w:rPr>
      </w:pPr>
    </w:p>
    <w:p w14:paraId="56C3AA26">
      <w:pPr>
        <w:rPr>
          <w:sz w:val="21"/>
          <w:szCs w:val="21"/>
        </w:rPr>
      </w:pPr>
      <w:r>
        <w:rPr>
          <w:sz w:val="21"/>
          <w:szCs w:val="21"/>
        </w:rPr>
        <w:t>注：</w:t>
      </w:r>
      <w:r>
        <w:rPr>
          <w:sz w:val="21"/>
          <w:szCs w:val="21"/>
        </w:rPr>
        <w:fldChar w:fldCharType="begin"/>
      </w:r>
      <w:r>
        <w:rPr>
          <w:sz w:val="21"/>
          <w:szCs w:val="21"/>
        </w:rPr>
        <w:instrText xml:space="preserve"> = 6 \* GB3 \* MERGEFORMAT </w:instrText>
      </w:r>
      <w:r>
        <w:rPr>
          <w:sz w:val="21"/>
          <w:szCs w:val="21"/>
        </w:rPr>
        <w:fldChar w:fldCharType="separate"/>
      </w:r>
      <w:r>
        <w:rPr>
          <w:rFonts w:hint="eastAsia"/>
          <w:sz w:val="21"/>
          <w:szCs w:val="21"/>
        </w:rPr>
        <w:t>⑥</w:t>
      </w:r>
      <w:r>
        <w:rPr>
          <w:sz w:val="21"/>
          <w:szCs w:val="21"/>
        </w:rPr>
        <w:fldChar w:fldCharType="end"/>
      </w:r>
      <w:r>
        <w:rPr>
          <w:sz w:val="21"/>
          <w:szCs w:val="21"/>
        </w:rPr>
        <w:t>=</w:t>
      </w:r>
      <w:r>
        <w:rPr>
          <w:sz w:val="21"/>
          <w:szCs w:val="21"/>
        </w:rPr>
        <w:fldChar w:fldCharType="begin"/>
      </w:r>
      <w:r>
        <w:rPr>
          <w:sz w:val="21"/>
          <w:szCs w:val="21"/>
        </w:rPr>
        <w:instrText xml:space="preserve"> = 1 \* GB3 \* MERGEFORMAT </w:instrText>
      </w:r>
      <w:r>
        <w:rPr>
          <w:sz w:val="21"/>
          <w:szCs w:val="21"/>
        </w:rPr>
        <w:fldChar w:fldCharType="separate"/>
      </w:r>
      <w:r>
        <w:rPr>
          <w:rFonts w:hint="eastAsia"/>
          <w:sz w:val="21"/>
          <w:szCs w:val="21"/>
        </w:rPr>
        <w:t>①</w:t>
      </w:r>
      <w:r>
        <w:rPr>
          <w:sz w:val="21"/>
          <w:szCs w:val="21"/>
        </w:rPr>
        <w:fldChar w:fldCharType="end"/>
      </w:r>
      <w:r>
        <w:rPr>
          <w:sz w:val="21"/>
          <w:szCs w:val="21"/>
        </w:rPr>
        <w:t>+</w:t>
      </w:r>
      <w:r>
        <w:rPr>
          <w:sz w:val="21"/>
          <w:szCs w:val="21"/>
        </w:rPr>
        <w:fldChar w:fldCharType="begin"/>
      </w:r>
      <w:r>
        <w:rPr>
          <w:sz w:val="21"/>
          <w:szCs w:val="21"/>
        </w:rPr>
        <w:instrText xml:space="preserve"> = 3 \* GB3 \* MERGEFORMAT </w:instrText>
      </w:r>
      <w:r>
        <w:rPr>
          <w:sz w:val="21"/>
          <w:szCs w:val="21"/>
        </w:rPr>
        <w:fldChar w:fldCharType="separate"/>
      </w:r>
      <w:r>
        <w:rPr>
          <w:rFonts w:hint="eastAsia"/>
          <w:sz w:val="21"/>
          <w:szCs w:val="21"/>
        </w:rPr>
        <w:t>③</w:t>
      </w:r>
      <w:r>
        <w:rPr>
          <w:sz w:val="21"/>
          <w:szCs w:val="21"/>
        </w:rPr>
        <w:fldChar w:fldCharType="end"/>
      </w:r>
      <w:r>
        <w:rPr>
          <w:sz w:val="21"/>
          <w:szCs w:val="21"/>
        </w:rPr>
        <w:t>+</w:t>
      </w:r>
      <w:r>
        <w:rPr>
          <w:sz w:val="21"/>
          <w:szCs w:val="21"/>
        </w:rPr>
        <w:fldChar w:fldCharType="begin"/>
      </w:r>
      <w:r>
        <w:rPr>
          <w:sz w:val="21"/>
          <w:szCs w:val="21"/>
        </w:rPr>
        <w:instrText xml:space="preserve"> = 4 \* GB3 \* MERGEFORMAT </w:instrText>
      </w:r>
      <w:r>
        <w:rPr>
          <w:sz w:val="21"/>
          <w:szCs w:val="21"/>
        </w:rPr>
        <w:fldChar w:fldCharType="separate"/>
      </w:r>
      <w:r>
        <w:rPr>
          <w:rFonts w:hint="eastAsia"/>
          <w:sz w:val="21"/>
          <w:szCs w:val="21"/>
        </w:rPr>
        <w:t>④</w:t>
      </w:r>
      <w:r>
        <w:rPr>
          <w:sz w:val="21"/>
          <w:szCs w:val="21"/>
        </w:rPr>
        <w:fldChar w:fldCharType="end"/>
      </w:r>
      <w:r>
        <w:rPr>
          <w:sz w:val="21"/>
          <w:szCs w:val="21"/>
        </w:rPr>
        <w:t>-</w:t>
      </w:r>
      <w:r>
        <w:rPr>
          <w:sz w:val="21"/>
          <w:szCs w:val="21"/>
        </w:rPr>
        <w:fldChar w:fldCharType="begin"/>
      </w:r>
      <w:r>
        <w:rPr>
          <w:sz w:val="21"/>
          <w:szCs w:val="21"/>
        </w:rPr>
        <w:instrText xml:space="preserve"> = 5 \* GB3 \* MERGEFORMAT </w:instrText>
      </w:r>
      <w:r>
        <w:rPr>
          <w:sz w:val="21"/>
          <w:szCs w:val="21"/>
        </w:rPr>
        <w:fldChar w:fldCharType="separate"/>
      </w:r>
      <w:r>
        <w:rPr>
          <w:rFonts w:hint="eastAsia"/>
          <w:sz w:val="21"/>
          <w:szCs w:val="21"/>
        </w:rPr>
        <w:t>⑤</w:t>
      </w:r>
      <w:r>
        <w:rPr>
          <w:sz w:val="21"/>
          <w:szCs w:val="21"/>
        </w:rPr>
        <w:fldChar w:fldCharType="end"/>
      </w:r>
      <w:r>
        <w:rPr>
          <w:sz w:val="21"/>
          <w:szCs w:val="21"/>
        </w:rPr>
        <w:t>；</w:t>
      </w:r>
      <w:r>
        <w:rPr>
          <w:sz w:val="21"/>
          <w:szCs w:val="21"/>
        </w:rPr>
        <w:fldChar w:fldCharType="begin"/>
      </w:r>
      <w:r>
        <w:rPr>
          <w:sz w:val="21"/>
          <w:szCs w:val="21"/>
        </w:rPr>
        <w:instrText xml:space="preserve"> = 7 \* GB3 \* MERGEFORMAT </w:instrText>
      </w:r>
      <w:r>
        <w:rPr>
          <w:sz w:val="21"/>
          <w:szCs w:val="21"/>
        </w:rPr>
        <w:fldChar w:fldCharType="separate"/>
      </w:r>
      <w:r>
        <w:rPr>
          <w:rFonts w:hint="eastAsia"/>
          <w:sz w:val="21"/>
          <w:szCs w:val="21"/>
        </w:rPr>
        <w:t>⑦</w:t>
      </w:r>
      <w:r>
        <w:rPr>
          <w:sz w:val="21"/>
          <w:szCs w:val="21"/>
        </w:rPr>
        <w:fldChar w:fldCharType="end"/>
      </w:r>
      <w:r>
        <w:rPr>
          <w:sz w:val="21"/>
          <w:szCs w:val="21"/>
        </w:rPr>
        <w:t>=</w:t>
      </w:r>
      <w:r>
        <w:rPr>
          <w:sz w:val="21"/>
          <w:szCs w:val="21"/>
        </w:rPr>
        <w:fldChar w:fldCharType="begin"/>
      </w:r>
      <w:r>
        <w:rPr>
          <w:sz w:val="21"/>
          <w:szCs w:val="21"/>
        </w:rPr>
        <w:instrText xml:space="preserve"> = 6 \* GB3 \* MERGEFORMAT </w:instrText>
      </w:r>
      <w:r>
        <w:rPr>
          <w:sz w:val="21"/>
          <w:szCs w:val="21"/>
        </w:rPr>
        <w:fldChar w:fldCharType="separate"/>
      </w:r>
      <w:r>
        <w:rPr>
          <w:rFonts w:hint="eastAsia"/>
          <w:sz w:val="21"/>
          <w:szCs w:val="21"/>
        </w:rPr>
        <w:t>⑥</w:t>
      </w:r>
      <w:r>
        <w:rPr>
          <w:sz w:val="21"/>
          <w:szCs w:val="21"/>
        </w:rPr>
        <w:fldChar w:fldCharType="end"/>
      </w:r>
      <w:r>
        <w:rPr>
          <w:sz w:val="21"/>
          <w:szCs w:val="21"/>
        </w:rPr>
        <w:t>-</w:t>
      </w:r>
      <w:r>
        <w:rPr>
          <w:sz w:val="21"/>
          <w:szCs w:val="21"/>
        </w:rPr>
        <w:fldChar w:fldCharType="begin"/>
      </w:r>
      <w:r>
        <w:rPr>
          <w:sz w:val="21"/>
          <w:szCs w:val="21"/>
        </w:rPr>
        <w:instrText xml:space="preserve"> = 1 \* GB3 \* MERGEFORMAT </w:instrText>
      </w:r>
      <w:r>
        <w:rPr>
          <w:sz w:val="21"/>
          <w:szCs w:val="21"/>
        </w:rPr>
        <w:fldChar w:fldCharType="separate"/>
      </w:r>
      <w:r>
        <w:rPr>
          <w:rFonts w:hint="eastAsia"/>
          <w:sz w:val="21"/>
          <w:szCs w:val="21"/>
        </w:rPr>
        <w:t>①</w:t>
      </w:r>
      <w:r>
        <w:rPr>
          <w:sz w:val="21"/>
          <w:szCs w:val="21"/>
        </w:rPr>
        <w:fldChar w:fldCharType="end"/>
      </w:r>
    </w:p>
    <w:sectPr>
      <w:footerReference r:id="rId11" w:type="default"/>
      <w:pgSz w:w="16838" w:h="11906" w:orient="landscape"/>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D0F029E2-E40A-49AE-8EDE-F22C85EF76A5}"/>
  </w:font>
  <w:font w:name="仿宋_GB2312">
    <w:altName w:val="仿宋"/>
    <w:panose1 w:val="02010609030101010101"/>
    <w:charset w:val="86"/>
    <w:family w:val="modern"/>
    <w:pitch w:val="default"/>
    <w:sig w:usb0="00000000" w:usb1="00000000" w:usb2="00000000" w:usb3="00000000" w:csb0="00040000" w:csb1="00000000"/>
    <w:embedRegular r:id="rId2" w:fontKey="{EBDC07C8-B62B-449A-9F08-B3067E33E8AC}"/>
  </w:font>
  <w:font w:name="仿宋">
    <w:panose1 w:val="02010609060101010101"/>
    <w:charset w:val="86"/>
    <w:family w:val="auto"/>
    <w:pitch w:val="default"/>
    <w:sig w:usb0="800002BF" w:usb1="38CF7CFA" w:usb2="00000016" w:usb3="00000000" w:csb0="00040001" w:csb1="00000000"/>
    <w:embedRegular r:id="rId3" w:fontKey="{10E4226F-BB63-47D5-9206-0AB6819000FB}"/>
  </w:font>
  <w:font w:name="Arial Black">
    <w:panose1 w:val="020B0A04020102020204"/>
    <w:charset w:val="00"/>
    <w:family w:val="swiss"/>
    <w:pitch w:val="default"/>
    <w:sig w:usb0="A00002AF" w:usb1="400078FB" w:usb2="00000000" w:usb3="00000000" w:csb0="6000009F" w:csb1="DFD7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script"/>
    <w:pitch w:val="default"/>
    <w:sig w:usb0="A00002BF" w:usb1="38CF7CFA" w:usb2="00082016" w:usb3="00000000" w:csb0="00040001" w:csb1="00000000"/>
    <w:embedRegular r:id="rId4" w:fontKey="{51D97CB7-701E-4C20-8E48-43F5DDC438D4}"/>
  </w:font>
  <w:font w:name="楷体_GB2312">
    <w:altName w:val="楷体"/>
    <w:panose1 w:val="02010609030101010101"/>
    <w:charset w:val="86"/>
    <w:family w:val="modern"/>
    <w:pitch w:val="default"/>
    <w:sig w:usb0="00000000" w:usb1="00000000" w:usb2="00000000" w:usb3="00000000" w:csb0="00040000" w:csb1="00000000"/>
    <w:embedRegular r:id="rId5" w:fontKey="{F36983C8-0854-4874-927C-A1B7FB48EF7C}"/>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6" w:fontKey="{9C5307EE-6490-41D3-835E-D68BC009154B}"/>
  </w:font>
  <w:font w:name="Wingdings 2">
    <w:altName w:val="Wingdings"/>
    <w:panose1 w:val="05020102010507070707"/>
    <w:charset w:val="02"/>
    <w:family w:val="roman"/>
    <w:pitch w:val="default"/>
    <w:sig w:usb0="00000000" w:usb1="00000000" w:usb2="00000000" w:usb3="00000000" w:csb0="80000000" w:csb1="00000000"/>
    <w:embedRegular r:id="rId7" w:fontKey="{7BDDAFAF-5187-4693-BD56-82A1B28520B7}"/>
  </w:font>
  <w:font w:name="微软雅黑">
    <w:panose1 w:val="020B0503020204020204"/>
    <w:charset w:val="86"/>
    <w:family w:val="swiss"/>
    <w:pitch w:val="default"/>
    <w:sig w:usb0="80000287" w:usb1="2ACF3C50" w:usb2="00000016" w:usb3="00000000" w:csb0="0004001F" w:csb1="00000000"/>
    <w:embedRegular r:id="rId8" w:fontKey="{25A9647D-BB71-421A-90B3-3EEAF87FA330}"/>
  </w:font>
  <w:font w:name="榛戜綋">
    <w:altName w:val="Segoe Print"/>
    <w:panose1 w:val="00000000000000000000"/>
    <w:charset w:val="00"/>
    <w:family w:val="auto"/>
    <w:pitch w:val="default"/>
    <w:sig w:usb0="00000000" w:usb1="00000000" w:usb2="00000000" w:usb3="00000000" w:csb0="00000000" w:csb1="00000000"/>
    <w:embedRegular r:id="rId9" w:fontKey="{EBF4C553-7930-43D9-8674-AD9969BC87B7}"/>
  </w:font>
  <w:font w:name="Segoe Print">
    <w:panose1 w:val="02000600000000000000"/>
    <w:charset w:val="00"/>
    <w:family w:val="auto"/>
    <w:pitch w:val="default"/>
    <w:sig w:usb0="0000028F" w:usb1="00000000" w:usb2="00000000" w:usb3="00000000" w:csb0="2000009F" w:csb1="47010000"/>
  </w:font>
  <w:font w:name="瀹嬩綋">
    <w:altName w:val="Segoe Print"/>
    <w:panose1 w:val="00000000000000000000"/>
    <w:charset w:val="00"/>
    <w:family w:val="auto"/>
    <w:pitch w:val="default"/>
    <w:sig w:usb0="00000000" w:usb1="00000000" w:usb2="00000000" w:usb3="00000000" w:csb0="00000000" w:csb1="00000000"/>
    <w:embedRegular r:id="rId10" w:fontKey="{7A2C3B59-CE21-486A-8E67-98F69A878256}"/>
  </w:font>
  <w:font w:name="TimesNewRomanPSMT">
    <w:altName w:val="Times New Roman"/>
    <w:panose1 w:val="00000000000000000000"/>
    <w:charset w:val="00"/>
    <w:family w:val="auto"/>
    <w:pitch w:val="default"/>
    <w:sig w:usb0="00000000" w:usb1="00000000" w:usb2="00000000" w:usb3="00000000" w:csb0="00040001" w:csb1="00000000"/>
    <w:embedRegular r:id="rId11" w:fontKey="{19E0742D-382A-4CD7-9CDC-86B81EE7842F}"/>
  </w:font>
  <w:font w:name="Cambria Math">
    <w:panose1 w:val="02040503050406030204"/>
    <w:charset w:val="00"/>
    <w:family w:val="auto"/>
    <w:pitch w:val="default"/>
    <w:sig w:usb0="E00006FF" w:usb1="420024FF" w:usb2="02000000" w:usb3="00000000" w:csb0="2000019F" w:csb1="00000000"/>
    <w:embedRegular r:id="rId12" w:fontKey="{3A0082A1-7707-4B14-A781-3E93152B8B0B}"/>
  </w:font>
  <w:font w:name="Nirmala Text Semilight">
    <w:panose1 w:val="020B0402040204020203"/>
    <w:charset w:val="00"/>
    <w:family w:val="auto"/>
    <w:pitch w:val="default"/>
    <w:sig w:usb0="80FF8023" w:usb1="0200004A" w:usb2="00000200" w:usb3="00040000" w:csb0="00000001" w:csb1="00000000"/>
    <w:embedRegular r:id="rId13" w:fontKey="{22D0D29D-5306-4B29-9112-DF3F14048B6E}"/>
  </w:font>
  <w:font w:name="KSOFE44F9426">
    <w:panose1 w:val="02010609060101010101"/>
    <w:charset w:val="86"/>
    <w:family w:val="auto"/>
    <w:pitch w:val="default"/>
    <w:sig w:usb0="00000001"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BA6E1">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01140">
    <w:pPr>
      <w:pStyle w:val="16"/>
      <w:framePr w:wrap="around" w:vAnchor="text" w:hAnchor="margin" w:xAlign="center" w:y="1"/>
      <w:rPr>
        <w:rStyle w:val="28"/>
      </w:rPr>
    </w:pPr>
    <w:r>
      <w:fldChar w:fldCharType="begin"/>
    </w:r>
    <w:r>
      <w:rPr>
        <w:rStyle w:val="28"/>
      </w:rPr>
      <w:instrText xml:space="preserve">PAGE  </w:instrText>
    </w:r>
    <w:r>
      <w:fldChar w:fldCharType="end"/>
    </w:r>
  </w:p>
  <w:p w14:paraId="30D4DB62">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03AA7">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10760">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2605405</wp:posOffset>
              </wp:positionH>
              <wp:positionV relativeFrom="paragraph">
                <wp:posOffset>-8890</wp:posOffset>
              </wp:positionV>
              <wp:extent cx="453390" cy="14668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453390" cy="146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A33F6">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15pt;margin-top:-0.7pt;height:11.55pt;width:35.7pt;mso-position-horizontal-relative:margin;z-index:251660288;mso-width-relative:page;mso-height-relative:page;" filled="f" stroked="f" coordsize="21600,21600" o:gfxdata="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Zo0dLYAAAACQEAAA8AAAAAAAAAAQAgAAAAIgAAAGRycy9kb3du&#10;cmV2LnhtbFBLAQIUABQAAAAIAIdO4kADvpEdOAIAAGMEAAAOAAAAAAAAAAEAIAAAACcBAABkcnMv&#10;ZTJvRG9jLnhtbFBLBQYAAAAABgAGAFkBAADRBQAAAAA=&#10;">
              <v:fill on="f" focussize="0,0"/>
              <v:stroke on="f" weight="0.5pt"/>
              <v:imagedata o:title=""/>
              <o:lock v:ext="edit" aspectratio="f"/>
              <v:textbox inset="0mm,0mm,0mm,0mm">
                <w:txbxContent>
                  <w:p w14:paraId="6E8A33F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1F4F">
    <w:pPr>
      <w:pStyle w:val="1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2F5F8">
                          <w:pPr>
                            <w:pStyle w:val="16"/>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952F5F8">
                    <w:pPr>
                      <w:pStyle w:val="16"/>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B681C">
    <w:pPr>
      <w:pStyle w:val="1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0892A">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240892A">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25DBE">
    <w:pPr>
      <w:pStyle w:val="1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2EE2E0">
                          <w:pPr>
                            <w:pStyle w:val="16"/>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W5UHu4QEAAMEDAAAOAAAA&#10;AAAAAAEAIAAAAB4BAABkcnMvZTJvRG9jLnhtbFBLBQYAAAAABgAGAFkBAABxBQAAAAA=&#10;">
              <v:fill on="f" focussize="0,0"/>
              <v:stroke on="f"/>
              <v:imagedata o:title=""/>
              <o:lock v:ext="edit" aspectratio="f"/>
              <v:textbox inset="0mm,0mm,0mm,0mm" style="mso-fit-shape-to-text:t;">
                <w:txbxContent>
                  <w:p w14:paraId="082EE2E0">
                    <w:pPr>
                      <w:pStyle w:val="16"/>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03160">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EDA1">
    <w:pPr>
      <w:pStyle w:val="17"/>
      <w:rPr>
        <w:rFonts w:hint="eastAsia" w:eastAsia="宋体"/>
        <w:lang w:val="en-US" w:eastAsia="zh-CN"/>
      </w:rPr>
    </w:pPr>
    <w:r>
      <w:rPr>
        <w:rFonts w:hint="eastAsia"/>
        <w:lang w:val="en-US" w:eastAsia="zh-CN"/>
      </w:rPr>
      <w:t>淮北市平祥感应炉</w:t>
    </w:r>
    <w:r>
      <w:rPr>
        <w:rFonts w:hint="eastAsia"/>
      </w:rPr>
      <w:t>有限公司年产260套</w:t>
    </w:r>
    <w:r>
      <w:rPr>
        <w:rFonts w:hint="eastAsia"/>
        <w:lang w:val="en-US" w:eastAsia="zh-CN"/>
      </w:rPr>
      <w:t>工业电</w:t>
    </w:r>
    <w:r>
      <w:rPr>
        <w:rFonts w:hint="eastAsia"/>
      </w:rPr>
      <w:t>炉</w:t>
    </w:r>
    <w:r>
      <w:rPr>
        <w:rFonts w:hint="eastAsia"/>
        <w:lang w:eastAsia="zh-CN"/>
      </w:rPr>
      <w:t>项目</w:t>
    </w:r>
    <w:r>
      <w:rPr>
        <w:rFonts w:hint="eastAsia"/>
        <w:lang w:val="en-US" w:eastAsia="zh-CN"/>
      </w:rPr>
      <w:t>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93051E"/>
    <w:multiLevelType w:val="singleLevel"/>
    <w:tmpl w:val="C393051E"/>
    <w:lvl w:ilvl="0" w:tentative="0">
      <w:start w:val="2"/>
      <w:numFmt w:val="decimal"/>
      <w:suff w:val="nothing"/>
      <w:lvlText w:val="（%1）"/>
      <w:lvlJc w:val="left"/>
    </w:lvl>
  </w:abstractNum>
  <w:abstractNum w:abstractNumId="1">
    <w:nsid w:val="C3E45DDB"/>
    <w:multiLevelType w:val="singleLevel"/>
    <w:tmpl w:val="C3E45DDB"/>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2">
    <w:nsid w:val="C96D6877"/>
    <w:multiLevelType w:val="singleLevel"/>
    <w:tmpl w:val="C96D6877"/>
    <w:lvl w:ilvl="0" w:tentative="0">
      <w:start w:val="1"/>
      <w:numFmt w:val="decimal"/>
      <w:lvlText w:val="%1"/>
      <w:lvlJc w:val="left"/>
      <w:pPr>
        <w:tabs>
          <w:tab w:val="left" w:pos="420"/>
        </w:tabs>
        <w:ind w:left="425" w:leftChars="0" w:hanging="425" w:firstLineChars="0"/>
      </w:pPr>
      <w:rPr>
        <w:rFonts w:hint="default"/>
      </w:rPr>
    </w:lvl>
  </w:abstractNum>
  <w:abstractNum w:abstractNumId="3">
    <w:nsid w:val="EA58DFCE"/>
    <w:multiLevelType w:val="singleLevel"/>
    <w:tmpl w:val="EA58DFCE"/>
    <w:lvl w:ilvl="0" w:tentative="0">
      <w:start w:val="1"/>
      <w:numFmt w:val="decimal"/>
      <w:lvlText w:val="%1"/>
      <w:lvlJc w:val="left"/>
      <w:pPr>
        <w:tabs>
          <w:tab w:val="left" w:pos="420"/>
        </w:tabs>
        <w:ind w:left="425" w:leftChars="0" w:hanging="425" w:firstLineChars="0"/>
      </w:pPr>
      <w:rPr>
        <w:rFonts w:hint="default"/>
      </w:rPr>
    </w:lvl>
  </w:abstractNum>
  <w:abstractNum w:abstractNumId="4">
    <w:nsid w:val="0D5EC048"/>
    <w:multiLevelType w:val="singleLevel"/>
    <w:tmpl w:val="0D5EC048"/>
    <w:lvl w:ilvl="0" w:tentative="0">
      <w:start w:val="1"/>
      <w:numFmt w:val="decimal"/>
      <w:lvlText w:val="%1"/>
      <w:lvlJc w:val="left"/>
      <w:pPr>
        <w:tabs>
          <w:tab w:val="left" w:pos="420"/>
        </w:tabs>
        <w:ind w:left="425" w:leftChars="0" w:hanging="425" w:firstLineChars="0"/>
      </w:pPr>
      <w:rPr>
        <w:rFonts w:hint="default"/>
      </w:rPr>
    </w:lvl>
  </w:abstractNum>
  <w:abstractNum w:abstractNumId="5">
    <w:nsid w:val="1F911A6C"/>
    <w:multiLevelType w:val="singleLevel"/>
    <w:tmpl w:val="1F911A6C"/>
    <w:lvl w:ilvl="0" w:tentative="0">
      <w:start w:val="1"/>
      <w:numFmt w:val="decimal"/>
      <w:suff w:val="nothing"/>
      <w:lvlText w:val="%1、"/>
      <w:lvlJc w:val="left"/>
    </w:lvl>
  </w:abstractNum>
  <w:abstractNum w:abstractNumId="6">
    <w:nsid w:val="3AD09DB3"/>
    <w:multiLevelType w:val="singleLevel"/>
    <w:tmpl w:val="3AD09DB3"/>
    <w:lvl w:ilvl="0" w:tentative="0">
      <w:start w:val="4"/>
      <w:numFmt w:val="decimal"/>
      <w:suff w:val="nothing"/>
      <w:lvlText w:val="%1、"/>
      <w:lvlJc w:val="left"/>
    </w:lvl>
  </w:abstractNum>
  <w:abstractNum w:abstractNumId="7">
    <w:nsid w:val="52EC9AC7"/>
    <w:multiLevelType w:val="multilevel"/>
    <w:tmpl w:val="52EC9AC7"/>
    <w:lvl w:ilvl="0" w:tentative="0">
      <w:start w:val="1"/>
      <w:numFmt w:val="decimal"/>
      <w:lvlText w:val="表2-%1"/>
      <w:lvlJc w:val="left"/>
      <w:pPr>
        <w:ind w:left="425" w:hanging="425"/>
      </w:pPr>
      <w:rPr>
        <w:rFonts w:hint="default" w:ascii="Times New Roman" w:hAnsi="Times New Roman" w:eastAsia="宋体" w:cs="微软雅黑"/>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534EC690"/>
    <w:multiLevelType w:val="singleLevel"/>
    <w:tmpl w:val="534EC690"/>
    <w:lvl w:ilvl="0" w:tentative="0">
      <w:start w:val="1"/>
      <w:numFmt w:val="decimal"/>
      <w:suff w:val="nothing"/>
      <w:lvlText w:val="%1、"/>
      <w:lvlJc w:val="left"/>
    </w:lvl>
  </w:abstractNum>
  <w:abstractNum w:abstractNumId="9">
    <w:nsid w:val="54A937F0"/>
    <w:multiLevelType w:val="singleLevel"/>
    <w:tmpl w:val="54A937F0"/>
    <w:lvl w:ilvl="0" w:tentative="0">
      <w:start w:val="1"/>
      <w:numFmt w:val="decimal"/>
      <w:lvlText w:val="(%1)"/>
      <w:lvlJc w:val="left"/>
      <w:pPr>
        <w:tabs>
          <w:tab w:val="left" w:pos="312"/>
        </w:tabs>
      </w:pPr>
    </w:lvl>
  </w:abstractNum>
  <w:abstractNum w:abstractNumId="10">
    <w:nsid w:val="6392FA32"/>
    <w:multiLevelType w:val="singleLevel"/>
    <w:tmpl w:val="6392FA32"/>
    <w:lvl w:ilvl="0" w:tentative="0">
      <w:start w:val="1"/>
      <w:numFmt w:val="decimal"/>
      <w:lvlText w:val="%1"/>
      <w:lvlJc w:val="left"/>
      <w:pPr>
        <w:tabs>
          <w:tab w:val="left" w:pos="420"/>
        </w:tabs>
        <w:ind w:left="425" w:leftChars="0" w:hanging="425" w:firstLineChars="0"/>
      </w:pPr>
      <w:rPr>
        <w:rFonts w:hint="default"/>
      </w:rPr>
    </w:lvl>
  </w:abstractNum>
  <w:abstractNum w:abstractNumId="11">
    <w:nsid w:val="774F34DF"/>
    <w:multiLevelType w:val="singleLevel"/>
    <w:tmpl w:val="774F34DF"/>
    <w:lvl w:ilvl="0" w:tentative="0">
      <w:start w:val="1"/>
      <w:numFmt w:val="decimal"/>
      <w:lvlText w:val="%1"/>
      <w:lvlJc w:val="left"/>
      <w:pPr>
        <w:tabs>
          <w:tab w:val="left" w:pos="420"/>
        </w:tabs>
        <w:ind w:left="425" w:leftChars="0" w:hanging="425" w:firstLineChars="0"/>
      </w:pPr>
      <w:rPr>
        <w:rFonts w:hint="default"/>
      </w:rPr>
    </w:lvl>
  </w:abstractNum>
  <w:num w:numId="1">
    <w:abstractNumId w:val="1"/>
  </w:num>
  <w:num w:numId="2">
    <w:abstractNumId w:val="7"/>
  </w:num>
  <w:num w:numId="3">
    <w:abstractNumId w:val="6"/>
  </w:num>
  <w:num w:numId="4">
    <w:abstractNumId w:val="10"/>
  </w:num>
  <w:num w:numId="5">
    <w:abstractNumId w:val="3"/>
  </w:num>
  <w:num w:numId="6">
    <w:abstractNumId w:val="0"/>
  </w:num>
  <w:num w:numId="7">
    <w:abstractNumId w:val="9"/>
  </w:num>
  <w:num w:numId="8">
    <w:abstractNumId w:val="8"/>
  </w:num>
  <w:num w:numId="9">
    <w:abstractNumId w:val="11"/>
  </w:num>
  <w:num w:numId="10">
    <w:abstractNumId w:val="2"/>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3OTc5YWI0YTFiOWQ2MWNlNDA2ZjhiZGE3ODUxMmU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0914"/>
    <w:rsid w:val="003A4BF3"/>
    <w:rsid w:val="003B420D"/>
    <w:rsid w:val="003C6C16"/>
    <w:rsid w:val="003D794D"/>
    <w:rsid w:val="003E3058"/>
    <w:rsid w:val="003E76A9"/>
    <w:rsid w:val="003F0809"/>
    <w:rsid w:val="003F6A8C"/>
    <w:rsid w:val="003F755C"/>
    <w:rsid w:val="00405DBA"/>
    <w:rsid w:val="00406F01"/>
    <w:rsid w:val="00416D50"/>
    <w:rsid w:val="00416FD5"/>
    <w:rsid w:val="00417772"/>
    <w:rsid w:val="00420E6A"/>
    <w:rsid w:val="00425A9E"/>
    <w:rsid w:val="00426D6B"/>
    <w:rsid w:val="00431E6C"/>
    <w:rsid w:val="00433CE7"/>
    <w:rsid w:val="00441793"/>
    <w:rsid w:val="00452738"/>
    <w:rsid w:val="00456091"/>
    <w:rsid w:val="00466321"/>
    <w:rsid w:val="00484B9B"/>
    <w:rsid w:val="004855F6"/>
    <w:rsid w:val="0048661E"/>
    <w:rsid w:val="00494670"/>
    <w:rsid w:val="004A3823"/>
    <w:rsid w:val="004E2959"/>
    <w:rsid w:val="004E6946"/>
    <w:rsid w:val="004F1AD8"/>
    <w:rsid w:val="004F73D2"/>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57A8E"/>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D534A"/>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94E"/>
    <w:rsid w:val="00B24F30"/>
    <w:rsid w:val="00B31ABF"/>
    <w:rsid w:val="00B33BE3"/>
    <w:rsid w:val="00B52F07"/>
    <w:rsid w:val="00B53B5D"/>
    <w:rsid w:val="00B6055E"/>
    <w:rsid w:val="00B6317D"/>
    <w:rsid w:val="00B7723F"/>
    <w:rsid w:val="00B80488"/>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2313"/>
    <w:rsid w:val="00D87770"/>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1E58"/>
    <w:rsid w:val="00F9212D"/>
    <w:rsid w:val="00F965DA"/>
    <w:rsid w:val="00FA406A"/>
    <w:rsid w:val="00FB503A"/>
    <w:rsid w:val="00FB516C"/>
    <w:rsid w:val="00FD0236"/>
    <w:rsid w:val="00FD18F4"/>
    <w:rsid w:val="00FD54DB"/>
    <w:rsid w:val="00FD619F"/>
    <w:rsid w:val="01267404"/>
    <w:rsid w:val="01290F7E"/>
    <w:rsid w:val="015D1E09"/>
    <w:rsid w:val="01766273"/>
    <w:rsid w:val="01910A08"/>
    <w:rsid w:val="01A142DE"/>
    <w:rsid w:val="01C7204A"/>
    <w:rsid w:val="01DE36F7"/>
    <w:rsid w:val="01EA0EC9"/>
    <w:rsid w:val="01F95167"/>
    <w:rsid w:val="021332F5"/>
    <w:rsid w:val="022A6766"/>
    <w:rsid w:val="023C1459"/>
    <w:rsid w:val="025F3034"/>
    <w:rsid w:val="02697903"/>
    <w:rsid w:val="027D2D7E"/>
    <w:rsid w:val="02887A9D"/>
    <w:rsid w:val="02E6103C"/>
    <w:rsid w:val="02F2424C"/>
    <w:rsid w:val="02F96569"/>
    <w:rsid w:val="03101E00"/>
    <w:rsid w:val="0315681E"/>
    <w:rsid w:val="03241BB2"/>
    <w:rsid w:val="033C40E6"/>
    <w:rsid w:val="03465822"/>
    <w:rsid w:val="03575F0B"/>
    <w:rsid w:val="039F614C"/>
    <w:rsid w:val="03B42718"/>
    <w:rsid w:val="03D251BA"/>
    <w:rsid w:val="03DE1247"/>
    <w:rsid w:val="03EA7B21"/>
    <w:rsid w:val="03FF48AB"/>
    <w:rsid w:val="041313D0"/>
    <w:rsid w:val="043A613C"/>
    <w:rsid w:val="044E2EA3"/>
    <w:rsid w:val="047C494D"/>
    <w:rsid w:val="048550B3"/>
    <w:rsid w:val="04AB4D5E"/>
    <w:rsid w:val="04B736E8"/>
    <w:rsid w:val="04D861BD"/>
    <w:rsid w:val="04F7254E"/>
    <w:rsid w:val="05270171"/>
    <w:rsid w:val="055931ED"/>
    <w:rsid w:val="05757122"/>
    <w:rsid w:val="05862267"/>
    <w:rsid w:val="05882122"/>
    <w:rsid w:val="05994A53"/>
    <w:rsid w:val="05B5148B"/>
    <w:rsid w:val="05B8041A"/>
    <w:rsid w:val="05CE36DB"/>
    <w:rsid w:val="05E70971"/>
    <w:rsid w:val="05F332D1"/>
    <w:rsid w:val="05F83EAE"/>
    <w:rsid w:val="063137A7"/>
    <w:rsid w:val="063E7D85"/>
    <w:rsid w:val="064C314F"/>
    <w:rsid w:val="066043D9"/>
    <w:rsid w:val="06940A44"/>
    <w:rsid w:val="06C11907"/>
    <w:rsid w:val="06C862D8"/>
    <w:rsid w:val="06D67170"/>
    <w:rsid w:val="07293586"/>
    <w:rsid w:val="07295285"/>
    <w:rsid w:val="073C3CBB"/>
    <w:rsid w:val="07636392"/>
    <w:rsid w:val="076E3F95"/>
    <w:rsid w:val="076E6936"/>
    <w:rsid w:val="07770C56"/>
    <w:rsid w:val="077C74E6"/>
    <w:rsid w:val="07893F46"/>
    <w:rsid w:val="078F7BE7"/>
    <w:rsid w:val="07927268"/>
    <w:rsid w:val="07AE4E1A"/>
    <w:rsid w:val="07C57CC7"/>
    <w:rsid w:val="082A309C"/>
    <w:rsid w:val="082D6CF9"/>
    <w:rsid w:val="08353772"/>
    <w:rsid w:val="084C339B"/>
    <w:rsid w:val="087251E8"/>
    <w:rsid w:val="08835919"/>
    <w:rsid w:val="088548F3"/>
    <w:rsid w:val="08A16BBF"/>
    <w:rsid w:val="08DB5371"/>
    <w:rsid w:val="08E849DB"/>
    <w:rsid w:val="09032566"/>
    <w:rsid w:val="092217DD"/>
    <w:rsid w:val="093866C6"/>
    <w:rsid w:val="093A7294"/>
    <w:rsid w:val="0993296D"/>
    <w:rsid w:val="09970B85"/>
    <w:rsid w:val="09B27A4E"/>
    <w:rsid w:val="09B53EE5"/>
    <w:rsid w:val="09C15F5A"/>
    <w:rsid w:val="09CC699C"/>
    <w:rsid w:val="0A000F61"/>
    <w:rsid w:val="0A050775"/>
    <w:rsid w:val="0A1271FF"/>
    <w:rsid w:val="0A263993"/>
    <w:rsid w:val="0A2D3AC2"/>
    <w:rsid w:val="0A496549"/>
    <w:rsid w:val="0A58209D"/>
    <w:rsid w:val="0A66288F"/>
    <w:rsid w:val="0A670557"/>
    <w:rsid w:val="0A760771"/>
    <w:rsid w:val="0AA755DF"/>
    <w:rsid w:val="0AAC60CF"/>
    <w:rsid w:val="0AB76A49"/>
    <w:rsid w:val="0AB9673F"/>
    <w:rsid w:val="0AD913C0"/>
    <w:rsid w:val="0AE777C6"/>
    <w:rsid w:val="0AEE277F"/>
    <w:rsid w:val="0B053D8E"/>
    <w:rsid w:val="0B120D44"/>
    <w:rsid w:val="0B1B69CB"/>
    <w:rsid w:val="0B215154"/>
    <w:rsid w:val="0B2F5EE6"/>
    <w:rsid w:val="0B2F61E4"/>
    <w:rsid w:val="0B506D55"/>
    <w:rsid w:val="0B512790"/>
    <w:rsid w:val="0B5F0138"/>
    <w:rsid w:val="0B6336DB"/>
    <w:rsid w:val="0B770C6E"/>
    <w:rsid w:val="0B9869BF"/>
    <w:rsid w:val="0BBC48D3"/>
    <w:rsid w:val="0BCA4F8D"/>
    <w:rsid w:val="0BD27BF6"/>
    <w:rsid w:val="0BF202F5"/>
    <w:rsid w:val="0BF62D59"/>
    <w:rsid w:val="0BF74BF9"/>
    <w:rsid w:val="0C241338"/>
    <w:rsid w:val="0C3B3C7D"/>
    <w:rsid w:val="0C3E1D6A"/>
    <w:rsid w:val="0C6A750D"/>
    <w:rsid w:val="0CA56362"/>
    <w:rsid w:val="0CAB2EAE"/>
    <w:rsid w:val="0CD914B5"/>
    <w:rsid w:val="0D0C7508"/>
    <w:rsid w:val="0D283BA5"/>
    <w:rsid w:val="0D415BF9"/>
    <w:rsid w:val="0D510B45"/>
    <w:rsid w:val="0D616980"/>
    <w:rsid w:val="0D621C7D"/>
    <w:rsid w:val="0D68454A"/>
    <w:rsid w:val="0D732DC0"/>
    <w:rsid w:val="0DA239FF"/>
    <w:rsid w:val="0DD733C1"/>
    <w:rsid w:val="0DED56CC"/>
    <w:rsid w:val="0E205AB9"/>
    <w:rsid w:val="0E247D43"/>
    <w:rsid w:val="0E302325"/>
    <w:rsid w:val="0E411E17"/>
    <w:rsid w:val="0E452A34"/>
    <w:rsid w:val="0E73034D"/>
    <w:rsid w:val="0E941B37"/>
    <w:rsid w:val="0EA57C2A"/>
    <w:rsid w:val="0EA60BA2"/>
    <w:rsid w:val="0EA91109"/>
    <w:rsid w:val="0EC034A9"/>
    <w:rsid w:val="0EDA3649"/>
    <w:rsid w:val="0EE02A09"/>
    <w:rsid w:val="0F032819"/>
    <w:rsid w:val="0F035AA5"/>
    <w:rsid w:val="0F112C3E"/>
    <w:rsid w:val="0F13775A"/>
    <w:rsid w:val="0F403EBA"/>
    <w:rsid w:val="0F520DBB"/>
    <w:rsid w:val="0F5F45FE"/>
    <w:rsid w:val="0F7C0A5C"/>
    <w:rsid w:val="0F9A112B"/>
    <w:rsid w:val="0FAF605E"/>
    <w:rsid w:val="0FC96C4E"/>
    <w:rsid w:val="10014FAA"/>
    <w:rsid w:val="100E5B94"/>
    <w:rsid w:val="1016154A"/>
    <w:rsid w:val="10232133"/>
    <w:rsid w:val="103D03A3"/>
    <w:rsid w:val="106D2F64"/>
    <w:rsid w:val="10B63710"/>
    <w:rsid w:val="10C90CDF"/>
    <w:rsid w:val="10F10820"/>
    <w:rsid w:val="10F52DF8"/>
    <w:rsid w:val="11146F5F"/>
    <w:rsid w:val="111C2F7A"/>
    <w:rsid w:val="112C299E"/>
    <w:rsid w:val="1148238E"/>
    <w:rsid w:val="11665CA1"/>
    <w:rsid w:val="1199509E"/>
    <w:rsid w:val="11AA52A5"/>
    <w:rsid w:val="11B967CF"/>
    <w:rsid w:val="11D61580"/>
    <w:rsid w:val="11DE0080"/>
    <w:rsid w:val="11DF7A0D"/>
    <w:rsid w:val="11F46B21"/>
    <w:rsid w:val="120B7175"/>
    <w:rsid w:val="12357CED"/>
    <w:rsid w:val="123613EF"/>
    <w:rsid w:val="12511FF2"/>
    <w:rsid w:val="125B54C7"/>
    <w:rsid w:val="12A56059"/>
    <w:rsid w:val="12CF2E14"/>
    <w:rsid w:val="12F26322"/>
    <w:rsid w:val="12FE1E05"/>
    <w:rsid w:val="130804C5"/>
    <w:rsid w:val="13335CD5"/>
    <w:rsid w:val="134B4E77"/>
    <w:rsid w:val="13951726"/>
    <w:rsid w:val="13984BFA"/>
    <w:rsid w:val="139B3968"/>
    <w:rsid w:val="13A753DE"/>
    <w:rsid w:val="13B82533"/>
    <w:rsid w:val="13F07328"/>
    <w:rsid w:val="13F178F3"/>
    <w:rsid w:val="14004BC4"/>
    <w:rsid w:val="14396509"/>
    <w:rsid w:val="14493B92"/>
    <w:rsid w:val="147509EE"/>
    <w:rsid w:val="147A5C20"/>
    <w:rsid w:val="148235B5"/>
    <w:rsid w:val="148F5B6D"/>
    <w:rsid w:val="149D3294"/>
    <w:rsid w:val="14AD7090"/>
    <w:rsid w:val="14B532B4"/>
    <w:rsid w:val="14D60E02"/>
    <w:rsid w:val="14DD2C3C"/>
    <w:rsid w:val="14E67A56"/>
    <w:rsid w:val="14F54A7F"/>
    <w:rsid w:val="14F63574"/>
    <w:rsid w:val="1510522B"/>
    <w:rsid w:val="15282FD9"/>
    <w:rsid w:val="15510782"/>
    <w:rsid w:val="1570591D"/>
    <w:rsid w:val="15841A71"/>
    <w:rsid w:val="15F368CE"/>
    <w:rsid w:val="15F57C14"/>
    <w:rsid w:val="15FB06EE"/>
    <w:rsid w:val="15FB1CD2"/>
    <w:rsid w:val="16087E1D"/>
    <w:rsid w:val="162654F0"/>
    <w:rsid w:val="16300397"/>
    <w:rsid w:val="16333219"/>
    <w:rsid w:val="1663685F"/>
    <w:rsid w:val="16724241"/>
    <w:rsid w:val="169322FD"/>
    <w:rsid w:val="16972659"/>
    <w:rsid w:val="16992F42"/>
    <w:rsid w:val="16BE08A4"/>
    <w:rsid w:val="16BE28AD"/>
    <w:rsid w:val="16E25797"/>
    <w:rsid w:val="16F861BD"/>
    <w:rsid w:val="17027C18"/>
    <w:rsid w:val="170908D8"/>
    <w:rsid w:val="1720665E"/>
    <w:rsid w:val="1724245F"/>
    <w:rsid w:val="172E060D"/>
    <w:rsid w:val="17700632"/>
    <w:rsid w:val="17701D14"/>
    <w:rsid w:val="17735226"/>
    <w:rsid w:val="17737BAC"/>
    <w:rsid w:val="17B236A1"/>
    <w:rsid w:val="17BE5F93"/>
    <w:rsid w:val="17C36E47"/>
    <w:rsid w:val="17C975CE"/>
    <w:rsid w:val="17DE7336"/>
    <w:rsid w:val="180453F5"/>
    <w:rsid w:val="180F2CDA"/>
    <w:rsid w:val="18264455"/>
    <w:rsid w:val="18464BFC"/>
    <w:rsid w:val="18986BC2"/>
    <w:rsid w:val="189F624C"/>
    <w:rsid w:val="18C64427"/>
    <w:rsid w:val="18EB4C87"/>
    <w:rsid w:val="18F7512B"/>
    <w:rsid w:val="18FE3CDF"/>
    <w:rsid w:val="191875B7"/>
    <w:rsid w:val="195907C9"/>
    <w:rsid w:val="196A6C13"/>
    <w:rsid w:val="196D1852"/>
    <w:rsid w:val="19860954"/>
    <w:rsid w:val="199A3C4D"/>
    <w:rsid w:val="19B71E21"/>
    <w:rsid w:val="19B72A3E"/>
    <w:rsid w:val="19C10AFE"/>
    <w:rsid w:val="19D32F7C"/>
    <w:rsid w:val="19E17DEB"/>
    <w:rsid w:val="19EC040D"/>
    <w:rsid w:val="1A09273B"/>
    <w:rsid w:val="1A1C66C0"/>
    <w:rsid w:val="1A42393B"/>
    <w:rsid w:val="1A480A29"/>
    <w:rsid w:val="1A4D5AFA"/>
    <w:rsid w:val="1A501008"/>
    <w:rsid w:val="1A957DC5"/>
    <w:rsid w:val="1AAD45DE"/>
    <w:rsid w:val="1ACB3952"/>
    <w:rsid w:val="1AD0039B"/>
    <w:rsid w:val="1AD947D6"/>
    <w:rsid w:val="1B046F80"/>
    <w:rsid w:val="1B1D62B8"/>
    <w:rsid w:val="1B3267B5"/>
    <w:rsid w:val="1B40161D"/>
    <w:rsid w:val="1B441859"/>
    <w:rsid w:val="1B4F4EDD"/>
    <w:rsid w:val="1B5728FE"/>
    <w:rsid w:val="1B594AFA"/>
    <w:rsid w:val="1B6606B1"/>
    <w:rsid w:val="1BBE036A"/>
    <w:rsid w:val="1C02003F"/>
    <w:rsid w:val="1C0D4B49"/>
    <w:rsid w:val="1C4967C1"/>
    <w:rsid w:val="1C5E7925"/>
    <w:rsid w:val="1CD35446"/>
    <w:rsid w:val="1CFD070F"/>
    <w:rsid w:val="1CFD2DEB"/>
    <w:rsid w:val="1D0A715C"/>
    <w:rsid w:val="1D5F6196"/>
    <w:rsid w:val="1D6132A5"/>
    <w:rsid w:val="1D696BE1"/>
    <w:rsid w:val="1D722326"/>
    <w:rsid w:val="1D8411E0"/>
    <w:rsid w:val="1D8E56D5"/>
    <w:rsid w:val="1D944203"/>
    <w:rsid w:val="1DD96FAC"/>
    <w:rsid w:val="1DE201DD"/>
    <w:rsid w:val="1DEE295B"/>
    <w:rsid w:val="1DFC1044"/>
    <w:rsid w:val="1E043B06"/>
    <w:rsid w:val="1E1B3469"/>
    <w:rsid w:val="1E200B0D"/>
    <w:rsid w:val="1E285A90"/>
    <w:rsid w:val="1E482A19"/>
    <w:rsid w:val="1E4C07E7"/>
    <w:rsid w:val="1E5840DC"/>
    <w:rsid w:val="1E692FE4"/>
    <w:rsid w:val="1E753008"/>
    <w:rsid w:val="1E7A43DA"/>
    <w:rsid w:val="1E890F8D"/>
    <w:rsid w:val="1E974938"/>
    <w:rsid w:val="1ED23F82"/>
    <w:rsid w:val="1ED93998"/>
    <w:rsid w:val="1EEB6A69"/>
    <w:rsid w:val="1EF20CFE"/>
    <w:rsid w:val="1EF7718E"/>
    <w:rsid w:val="1F0E0E00"/>
    <w:rsid w:val="1F1A034D"/>
    <w:rsid w:val="1F2B3DF2"/>
    <w:rsid w:val="1F5C31ED"/>
    <w:rsid w:val="1F683A82"/>
    <w:rsid w:val="1F7132F2"/>
    <w:rsid w:val="1FB042F7"/>
    <w:rsid w:val="1FD53D5E"/>
    <w:rsid w:val="1FDE2442"/>
    <w:rsid w:val="1FE7539E"/>
    <w:rsid w:val="20017303"/>
    <w:rsid w:val="2035413E"/>
    <w:rsid w:val="203C3DDD"/>
    <w:rsid w:val="2044357A"/>
    <w:rsid w:val="20671BE0"/>
    <w:rsid w:val="20832F3E"/>
    <w:rsid w:val="20845DD0"/>
    <w:rsid w:val="20963CB8"/>
    <w:rsid w:val="20A81A1B"/>
    <w:rsid w:val="20B07FB6"/>
    <w:rsid w:val="20B646FB"/>
    <w:rsid w:val="20F77F87"/>
    <w:rsid w:val="20F85CB8"/>
    <w:rsid w:val="20FB2E15"/>
    <w:rsid w:val="20FB50A8"/>
    <w:rsid w:val="2107473E"/>
    <w:rsid w:val="211A3AD5"/>
    <w:rsid w:val="21221BC6"/>
    <w:rsid w:val="21255897"/>
    <w:rsid w:val="212B0150"/>
    <w:rsid w:val="213A2C54"/>
    <w:rsid w:val="213B74B1"/>
    <w:rsid w:val="213D3DBA"/>
    <w:rsid w:val="213F039A"/>
    <w:rsid w:val="214467A1"/>
    <w:rsid w:val="214A2FA7"/>
    <w:rsid w:val="214E390D"/>
    <w:rsid w:val="21565EE1"/>
    <w:rsid w:val="215A2310"/>
    <w:rsid w:val="215D1CF4"/>
    <w:rsid w:val="2164358E"/>
    <w:rsid w:val="219043E0"/>
    <w:rsid w:val="21A565B2"/>
    <w:rsid w:val="21B64CCF"/>
    <w:rsid w:val="21BB16FC"/>
    <w:rsid w:val="21C96F27"/>
    <w:rsid w:val="21DE318A"/>
    <w:rsid w:val="21EF5B80"/>
    <w:rsid w:val="220072D6"/>
    <w:rsid w:val="220345DE"/>
    <w:rsid w:val="220F3E78"/>
    <w:rsid w:val="225514C5"/>
    <w:rsid w:val="22576990"/>
    <w:rsid w:val="22680C51"/>
    <w:rsid w:val="228E2A57"/>
    <w:rsid w:val="22B01277"/>
    <w:rsid w:val="22B05C2A"/>
    <w:rsid w:val="22B37CEB"/>
    <w:rsid w:val="22D9209E"/>
    <w:rsid w:val="22ED746C"/>
    <w:rsid w:val="22F47480"/>
    <w:rsid w:val="23024B90"/>
    <w:rsid w:val="23091637"/>
    <w:rsid w:val="23160BB0"/>
    <w:rsid w:val="231A6262"/>
    <w:rsid w:val="231B63C2"/>
    <w:rsid w:val="23252CF7"/>
    <w:rsid w:val="23297F55"/>
    <w:rsid w:val="23413786"/>
    <w:rsid w:val="238F59B9"/>
    <w:rsid w:val="23936D42"/>
    <w:rsid w:val="23C728FF"/>
    <w:rsid w:val="23D411E8"/>
    <w:rsid w:val="23DD5893"/>
    <w:rsid w:val="23DE1C48"/>
    <w:rsid w:val="23DE4CB7"/>
    <w:rsid w:val="23E544A8"/>
    <w:rsid w:val="23E71CFE"/>
    <w:rsid w:val="240210CD"/>
    <w:rsid w:val="24292B31"/>
    <w:rsid w:val="24622253"/>
    <w:rsid w:val="2465033E"/>
    <w:rsid w:val="247E3E28"/>
    <w:rsid w:val="248E00C3"/>
    <w:rsid w:val="24A02D30"/>
    <w:rsid w:val="24BC5E35"/>
    <w:rsid w:val="24BF09F7"/>
    <w:rsid w:val="24E448BB"/>
    <w:rsid w:val="25180974"/>
    <w:rsid w:val="251B0FB4"/>
    <w:rsid w:val="251C05ED"/>
    <w:rsid w:val="252512E3"/>
    <w:rsid w:val="252D53FE"/>
    <w:rsid w:val="254C03BC"/>
    <w:rsid w:val="254F13A2"/>
    <w:rsid w:val="25713257"/>
    <w:rsid w:val="25822292"/>
    <w:rsid w:val="25B91624"/>
    <w:rsid w:val="25C33248"/>
    <w:rsid w:val="25C52A17"/>
    <w:rsid w:val="25DF4A28"/>
    <w:rsid w:val="25EC2D81"/>
    <w:rsid w:val="25FD5452"/>
    <w:rsid w:val="26451E8D"/>
    <w:rsid w:val="2669087C"/>
    <w:rsid w:val="267749EE"/>
    <w:rsid w:val="2685347E"/>
    <w:rsid w:val="268668A9"/>
    <w:rsid w:val="26DE7008"/>
    <w:rsid w:val="26EE2789"/>
    <w:rsid w:val="26EF0376"/>
    <w:rsid w:val="26F95878"/>
    <w:rsid w:val="270524A4"/>
    <w:rsid w:val="272753D9"/>
    <w:rsid w:val="274A0B05"/>
    <w:rsid w:val="274D1B5C"/>
    <w:rsid w:val="27644B7E"/>
    <w:rsid w:val="277057A2"/>
    <w:rsid w:val="27736336"/>
    <w:rsid w:val="278C48E9"/>
    <w:rsid w:val="27973328"/>
    <w:rsid w:val="27AD03A1"/>
    <w:rsid w:val="27BA1CA1"/>
    <w:rsid w:val="27E50111"/>
    <w:rsid w:val="2808303D"/>
    <w:rsid w:val="280A473D"/>
    <w:rsid w:val="283A5A9C"/>
    <w:rsid w:val="28840B49"/>
    <w:rsid w:val="289F4340"/>
    <w:rsid w:val="28A0231E"/>
    <w:rsid w:val="28A77B9F"/>
    <w:rsid w:val="28E026ED"/>
    <w:rsid w:val="290C0E4A"/>
    <w:rsid w:val="29206EB8"/>
    <w:rsid w:val="29287068"/>
    <w:rsid w:val="29347E13"/>
    <w:rsid w:val="29595666"/>
    <w:rsid w:val="295E0FC5"/>
    <w:rsid w:val="29844DD8"/>
    <w:rsid w:val="29874881"/>
    <w:rsid w:val="29990F86"/>
    <w:rsid w:val="29B317DC"/>
    <w:rsid w:val="29CC34BC"/>
    <w:rsid w:val="29DB74AF"/>
    <w:rsid w:val="29E325E0"/>
    <w:rsid w:val="2A1040EC"/>
    <w:rsid w:val="2A1F22D2"/>
    <w:rsid w:val="2A34234D"/>
    <w:rsid w:val="2A452503"/>
    <w:rsid w:val="2A500CAE"/>
    <w:rsid w:val="2A554670"/>
    <w:rsid w:val="2A597892"/>
    <w:rsid w:val="2A7347CA"/>
    <w:rsid w:val="2A8645D2"/>
    <w:rsid w:val="2A8B6D74"/>
    <w:rsid w:val="2A9C03FB"/>
    <w:rsid w:val="2AB244CE"/>
    <w:rsid w:val="2AB40E46"/>
    <w:rsid w:val="2AB94F03"/>
    <w:rsid w:val="2B463E44"/>
    <w:rsid w:val="2B904236"/>
    <w:rsid w:val="2BA769AB"/>
    <w:rsid w:val="2BA936A8"/>
    <w:rsid w:val="2BC517DF"/>
    <w:rsid w:val="2BCD5982"/>
    <w:rsid w:val="2BF77D81"/>
    <w:rsid w:val="2BF92B02"/>
    <w:rsid w:val="2C025DC0"/>
    <w:rsid w:val="2C033BED"/>
    <w:rsid w:val="2C140914"/>
    <w:rsid w:val="2C315A5A"/>
    <w:rsid w:val="2C396270"/>
    <w:rsid w:val="2C4B1C25"/>
    <w:rsid w:val="2C977FD5"/>
    <w:rsid w:val="2CA6781B"/>
    <w:rsid w:val="2CB20151"/>
    <w:rsid w:val="2CBC1BF3"/>
    <w:rsid w:val="2CD560C1"/>
    <w:rsid w:val="2CE60A8F"/>
    <w:rsid w:val="2D0F48F2"/>
    <w:rsid w:val="2D456862"/>
    <w:rsid w:val="2D6F54D7"/>
    <w:rsid w:val="2D77569E"/>
    <w:rsid w:val="2D84451D"/>
    <w:rsid w:val="2D9E56F5"/>
    <w:rsid w:val="2DC168BD"/>
    <w:rsid w:val="2DE2365C"/>
    <w:rsid w:val="2DEE5B47"/>
    <w:rsid w:val="2DEF658A"/>
    <w:rsid w:val="2E3A5939"/>
    <w:rsid w:val="2E63282B"/>
    <w:rsid w:val="2E667F96"/>
    <w:rsid w:val="2E8226AB"/>
    <w:rsid w:val="2EBB484E"/>
    <w:rsid w:val="2EDC686F"/>
    <w:rsid w:val="2F202BDF"/>
    <w:rsid w:val="2F522C30"/>
    <w:rsid w:val="2F9C7A12"/>
    <w:rsid w:val="2FB86D15"/>
    <w:rsid w:val="2FCF4190"/>
    <w:rsid w:val="2FD065E6"/>
    <w:rsid w:val="2FD96870"/>
    <w:rsid w:val="2FE84838"/>
    <w:rsid w:val="2FFD5337"/>
    <w:rsid w:val="30304270"/>
    <w:rsid w:val="303867AA"/>
    <w:rsid w:val="30422797"/>
    <w:rsid w:val="304940DC"/>
    <w:rsid w:val="304F620A"/>
    <w:rsid w:val="30552308"/>
    <w:rsid w:val="30580BC9"/>
    <w:rsid w:val="30666833"/>
    <w:rsid w:val="306B3FD9"/>
    <w:rsid w:val="30780D32"/>
    <w:rsid w:val="3078676B"/>
    <w:rsid w:val="30B20571"/>
    <w:rsid w:val="30B755D1"/>
    <w:rsid w:val="30CB5942"/>
    <w:rsid w:val="30F71D86"/>
    <w:rsid w:val="311E2ED7"/>
    <w:rsid w:val="313A3321"/>
    <w:rsid w:val="315619EE"/>
    <w:rsid w:val="315C449C"/>
    <w:rsid w:val="317C38D2"/>
    <w:rsid w:val="31A230CB"/>
    <w:rsid w:val="31B82709"/>
    <w:rsid w:val="31D05482"/>
    <w:rsid w:val="31EC0811"/>
    <w:rsid w:val="31F37D5F"/>
    <w:rsid w:val="32400B34"/>
    <w:rsid w:val="32426A6F"/>
    <w:rsid w:val="32727F72"/>
    <w:rsid w:val="329E6876"/>
    <w:rsid w:val="32A603AC"/>
    <w:rsid w:val="32C30429"/>
    <w:rsid w:val="32E427DE"/>
    <w:rsid w:val="32ED11BD"/>
    <w:rsid w:val="33021DF1"/>
    <w:rsid w:val="331C33EB"/>
    <w:rsid w:val="333015F2"/>
    <w:rsid w:val="334B6320"/>
    <w:rsid w:val="33A422D2"/>
    <w:rsid w:val="33B05759"/>
    <w:rsid w:val="33D5052B"/>
    <w:rsid w:val="33D934D4"/>
    <w:rsid w:val="33ED7192"/>
    <w:rsid w:val="33EF6082"/>
    <w:rsid w:val="33FE2F6A"/>
    <w:rsid w:val="340E07E5"/>
    <w:rsid w:val="34164676"/>
    <w:rsid w:val="341F322A"/>
    <w:rsid w:val="34235BF7"/>
    <w:rsid w:val="342C072C"/>
    <w:rsid w:val="342F6DAC"/>
    <w:rsid w:val="34373666"/>
    <w:rsid w:val="343C379B"/>
    <w:rsid w:val="343F0AE3"/>
    <w:rsid w:val="344965DF"/>
    <w:rsid w:val="34664620"/>
    <w:rsid w:val="348953EB"/>
    <w:rsid w:val="349873DC"/>
    <w:rsid w:val="34AB1664"/>
    <w:rsid w:val="35092D60"/>
    <w:rsid w:val="35200F38"/>
    <w:rsid w:val="35414D8C"/>
    <w:rsid w:val="35470E02"/>
    <w:rsid w:val="354F08B4"/>
    <w:rsid w:val="358C5FA8"/>
    <w:rsid w:val="359B4934"/>
    <w:rsid w:val="359C7B24"/>
    <w:rsid w:val="35B76340"/>
    <w:rsid w:val="35BD30A5"/>
    <w:rsid w:val="35C15DF1"/>
    <w:rsid w:val="35C75A2E"/>
    <w:rsid w:val="35D254E7"/>
    <w:rsid w:val="35ED45D1"/>
    <w:rsid w:val="35F56B61"/>
    <w:rsid w:val="35F67896"/>
    <w:rsid w:val="36074A7F"/>
    <w:rsid w:val="3616585A"/>
    <w:rsid w:val="3627310D"/>
    <w:rsid w:val="362D0BB7"/>
    <w:rsid w:val="365A3471"/>
    <w:rsid w:val="367B15DB"/>
    <w:rsid w:val="36923549"/>
    <w:rsid w:val="36A4650C"/>
    <w:rsid w:val="36A47FFB"/>
    <w:rsid w:val="36B43E2F"/>
    <w:rsid w:val="36B4422C"/>
    <w:rsid w:val="36B75FBF"/>
    <w:rsid w:val="36BD0C45"/>
    <w:rsid w:val="36C603EB"/>
    <w:rsid w:val="36EF3BF8"/>
    <w:rsid w:val="36F20BBE"/>
    <w:rsid w:val="370B0A7F"/>
    <w:rsid w:val="372A07A1"/>
    <w:rsid w:val="37300844"/>
    <w:rsid w:val="373E0828"/>
    <w:rsid w:val="373E0B6E"/>
    <w:rsid w:val="374E154C"/>
    <w:rsid w:val="37616B23"/>
    <w:rsid w:val="377332FE"/>
    <w:rsid w:val="37930739"/>
    <w:rsid w:val="37BB071A"/>
    <w:rsid w:val="37D84371"/>
    <w:rsid w:val="37E00298"/>
    <w:rsid w:val="37F44F8E"/>
    <w:rsid w:val="3808232B"/>
    <w:rsid w:val="383926AA"/>
    <w:rsid w:val="383A76E0"/>
    <w:rsid w:val="38413F2D"/>
    <w:rsid w:val="38613092"/>
    <w:rsid w:val="38813920"/>
    <w:rsid w:val="388365F5"/>
    <w:rsid w:val="388E7BD9"/>
    <w:rsid w:val="389337A8"/>
    <w:rsid w:val="389F5D86"/>
    <w:rsid w:val="38B302F9"/>
    <w:rsid w:val="38BD5663"/>
    <w:rsid w:val="38E72296"/>
    <w:rsid w:val="38F12CD3"/>
    <w:rsid w:val="38F94775"/>
    <w:rsid w:val="392971ED"/>
    <w:rsid w:val="39325651"/>
    <w:rsid w:val="395A1104"/>
    <w:rsid w:val="395E3DBA"/>
    <w:rsid w:val="396F69DA"/>
    <w:rsid w:val="39941C29"/>
    <w:rsid w:val="39947D58"/>
    <w:rsid w:val="39982633"/>
    <w:rsid w:val="39A3641C"/>
    <w:rsid w:val="39DA5E57"/>
    <w:rsid w:val="3A0A43BA"/>
    <w:rsid w:val="3A0E66EE"/>
    <w:rsid w:val="3A0F354D"/>
    <w:rsid w:val="3A2612C1"/>
    <w:rsid w:val="3A274FC2"/>
    <w:rsid w:val="3A4C4008"/>
    <w:rsid w:val="3A872856"/>
    <w:rsid w:val="3AA30F32"/>
    <w:rsid w:val="3AD760E4"/>
    <w:rsid w:val="3ADC7B50"/>
    <w:rsid w:val="3ADE165D"/>
    <w:rsid w:val="3AF8697A"/>
    <w:rsid w:val="3B243574"/>
    <w:rsid w:val="3B303279"/>
    <w:rsid w:val="3B3763D1"/>
    <w:rsid w:val="3B567766"/>
    <w:rsid w:val="3B7D729C"/>
    <w:rsid w:val="3BB2594B"/>
    <w:rsid w:val="3BD24EED"/>
    <w:rsid w:val="3C12040A"/>
    <w:rsid w:val="3C195F70"/>
    <w:rsid w:val="3C2F6E1E"/>
    <w:rsid w:val="3C4F64BA"/>
    <w:rsid w:val="3C5138C8"/>
    <w:rsid w:val="3C566C3C"/>
    <w:rsid w:val="3C686727"/>
    <w:rsid w:val="3CAB6AE5"/>
    <w:rsid w:val="3CCE12C6"/>
    <w:rsid w:val="3CDA245A"/>
    <w:rsid w:val="3D053A7C"/>
    <w:rsid w:val="3D0C0513"/>
    <w:rsid w:val="3D172DB9"/>
    <w:rsid w:val="3D1E06B7"/>
    <w:rsid w:val="3D276890"/>
    <w:rsid w:val="3D2C2E9B"/>
    <w:rsid w:val="3D592220"/>
    <w:rsid w:val="3D840F76"/>
    <w:rsid w:val="3D896C8C"/>
    <w:rsid w:val="3D926C41"/>
    <w:rsid w:val="3DA65CDD"/>
    <w:rsid w:val="3DED4F61"/>
    <w:rsid w:val="3E0B7C2C"/>
    <w:rsid w:val="3E3F294E"/>
    <w:rsid w:val="3E467648"/>
    <w:rsid w:val="3E6B1F14"/>
    <w:rsid w:val="3E6F7B9E"/>
    <w:rsid w:val="3E7C40B8"/>
    <w:rsid w:val="3EB5465A"/>
    <w:rsid w:val="3EC70030"/>
    <w:rsid w:val="3ECA64C5"/>
    <w:rsid w:val="3ECD4A9E"/>
    <w:rsid w:val="3ED04800"/>
    <w:rsid w:val="3EDA0523"/>
    <w:rsid w:val="3F10683A"/>
    <w:rsid w:val="3F116D9E"/>
    <w:rsid w:val="3F304B3D"/>
    <w:rsid w:val="3F3F385D"/>
    <w:rsid w:val="3F74306E"/>
    <w:rsid w:val="3F824CC5"/>
    <w:rsid w:val="3FB22065"/>
    <w:rsid w:val="3FB93CA9"/>
    <w:rsid w:val="3FF550FA"/>
    <w:rsid w:val="400D7105"/>
    <w:rsid w:val="40104F72"/>
    <w:rsid w:val="401A783F"/>
    <w:rsid w:val="40223904"/>
    <w:rsid w:val="402D5094"/>
    <w:rsid w:val="40361AC5"/>
    <w:rsid w:val="40484670"/>
    <w:rsid w:val="406665E0"/>
    <w:rsid w:val="407A6407"/>
    <w:rsid w:val="40842C71"/>
    <w:rsid w:val="409D5210"/>
    <w:rsid w:val="40A44B2B"/>
    <w:rsid w:val="40BA68F4"/>
    <w:rsid w:val="40C746CB"/>
    <w:rsid w:val="40EB7C06"/>
    <w:rsid w:val="41011831"/>
    <w:rsid w:val="410F1B8E"/>
    <w:rsid w:val="411F4EF1"/>
    <w:rsid w:val="41237A6F"/>
    <w:rsid w:val="41385257"/>
    <w:rsid w:val="415017DA"/>
    <w:rsid w:val="41550934"/>
    <w:rsid w:val="418A0F1A"/>
    <w:rsid w:val="41996E0E"/>
    <w:rsid w:val="41A20564"/>
    <w:rsid w:val="41A74866"/>
    <w:rsid w:val="41F31E14"/>
    <w:rsid w:val="41F46F9B"/>
    <w:rsid w:val="4200449D"/>
    <w:rsid w:val="4216293E"/>
    <w:rsid w:val="423A3BCC"/>
    <w:rsid w:val="424E57D2"/>
    <w:rsid w:val="42501863"/>
    <w:rsid w:val="426209F1"/>
    <w:rsid w:val="42624F84"/>
    <w:rsid w:val="42685675"/>
    <w:rsid w:val="42860363"/>
    <w:rsid w:val="42B26C49"/>
    <w:rsid w:val="42DF52B6"/>
    <w:rsid w:val="42F17DE3"/>
    <w:rsid w:val="42FB6058"/>
    <w:rsid w:val="43042160"/>
    <w:rsid w:val="43105F3B"/>
    <w:rsid w:val="43374264"/>
    <w:rsid w:val="433A6FE6"/>
    <w:rsid w:val="43480868"/>
    <w:rsid w:val="434C2C81"/>
    <w:rsid w:val="4350713C"/>
    <w:rsid w:val="436653E0"/>
    <w:rsid w:val="438A4CDB"/>
    <w:rsid w:val="438C0A54"/>
    <w:rsid w:val="439A0A12"/>
    <w:rsid w:val="439D2979"/>
    <w:rsid w:val="43B926D7"/>
    <w:rsid w:val="43C027C7"/>
    <w:rsid w:val="43C4431A"/>
    <w:rsid w:val="43D819DF"/>
    <w:rsid w:val="43DB434B"/>
    <w:rsid w:val="44071500"/>
    <w:rsid w:val="442073EE"/>
    <w:rsid w:val="444D7EDE"/>
    <w:rsid w:val="446F7A2D"/>
    <w:rsid w:val="44A67585"/>
    <w:rsid w:val="44B951CC"/>
    <w:rsid w:val="44C11B72"/>
    <w:rsid w:val="44CD14E0"/>
    <w:rsid w:val="44E422F7"/>
    <w:rsid w:val="44E5700F"/>
    <w:rsid w:val="44F20B0B"/>
    <w:rsid w:val="44F26AE6"/>
    <w:rsid w:val="45011D41"/>
    <w:rsid w:val="452E5F4C"/>
    <w:rsid w:val="452E6673"/>
    <w:rsid w:val="45402A0F"/>
    <w:rsid w:val="45511C7E"/>
    <w:rsid w:val="455235D7"/>
    <w:rsid w:val="45612018"/>
    <w:rsid w:val="457E7607"/>
    <w:rsid w:val="458946E9"/>
    <w:rsid w:val="458A5D4D"/>
    <w:rsid w:val="458C558D"/>
    <w:rsid w:val="45A47C0E"/>
    <w:rsid w:val="45BB0BBE"/>
    <w:rsid w:val="462D113C"/>
    <w:rsid w:val="46361C50"/>
    <w:rsid w:val="463665D8"/>
    <w:rsid w:val="464E0B03"/>
    <w:rsid w:val="4651586C"/>
    <w:rsid w:val="46577FD6"/>
    <w:rsid w:val="46585C31"/>
    <w:rsid w:val="466C06C8"/>
    <w:rsid w:val="46755232"/>
    <w:rsid w:val="469971A8"/>
    <w:rsid w:val="46AB4E9E"/>
    <w:rsid w:val="46B32803"/>
    <w:rsid w:val="46B406CC"/>
    <w:rsid w:val="46B533E6"/>
    <w:rsid w:val="46B979D4"/>
    <w:rsid w:val="46BE75D7"/>
    <w:rsid w:val="46D12FAC"/>
    <w:rsid w:val="46D955A7"/>
    <w:rsid w:val="46E6406A"/>
    <w:rsid w:val="46F126E0"/>
    <w:rsid w:val="47133957"/>
    <w:rsid w:val="471C605A"/>
    <w:rsid w:val="47277B61"/>
    <w:rsid w:val="47415F83"/>
    <w:rsid w:val="474D2516"/>
    <w:rsid w:val="474D5BB1"/>
    <w:rsid w:val="47A07E0C"/>
    <w:rsid w:val="47B4545A"/>
    <w:rsid w:val="47B857F0"/>
    <w:rsid w:val="47BE518C"/>
    <w:rsid w:val="47CE5C82"/>
    <w:rsid w:val="47E87060"/>
    <w:rsid w:val="47F10B39"/>
    <w:rsid w:val="482C0A84"/>
    <w:rsid w:val="4847319B"/>
    <w:rsid w:val="48630D44"/>
    <w:rsid w:val="4870272E"/>
    <w:rsid w:val="487C26BC"/>
    <w:rsid w:val="488131FF"/>
    <w:rsid w:val="488A2C4E"/>
    <w:rsid w:val="48961F11"/>
    <w:rsid w:val="48D1562A"/>
    <w:rsid w:val="48D3508C"/>
    <w:rsid w:val="48D56D30"/>
    <w:rsid w:val="48DA2DFE"/>
    <w:rsid w:val="48E51FD0"/>
    <w:rsid w:val="48E97621"/>
    <w:rsid w:val="490502D8"/>
    <w:rsid w:val="49136DB7"/>
    <w:rsid w:val="49141A47"/>
    <w:rsid w:val="49217C44"/>
    <w:rsid w:val="4952726E"/>
    <w:rsid w:val="49597F0E"/>
    <w:rsid w:val="495C1423"/>
    <w:rsid w:val="496120EC"/>
    <w:rsid w:val="4967303C"/>
    <w:rsid w:val="49766F63"/>
    <w:rsid w:val="49A560E6"/>
    <w:rsid w:val="49DC7715"/>
    <w:rsid w:val="4A01437B"/>
    <w:rsid w:val="4A023139"/>
    <w:rsid w:val="4A7B576F"/>
    <w:rsid w:val="4A827F32"/>
    <w:rsid w:val="4A8A3091"/>
    <w:rsid w:val="4AA179BF"/>
    <w:rsid w:val="4AF561A9"/>
    <w:rsid w:val="4B294DDA"/>
    <w:rsid w:val="4B3865D5"/>
    <w:rsid w:val="4B5A0B53"/>
    <w:rsid w:val="4B69379D"/>
    <w:rsid w:val="4B747575"/>
    <w:rsid w:val="4B8C361A"/>
    <w:rsid w:val="4BBB7ECB"/>
    <w:rsid w:val="4BC14F73"/>
    <w:rsid w:val="4BC86323"/>
    <w:rsid w:val="4BE15060"/>
    <w:rsid w:val="4BEF5C72"/>
    <w:rsid w:val="4C020F00"/>
    <w:rsid w:val="4C1865D2"/>
    <w:rsid w:val="4C3441A1"/>
    <w:rsid w:val="4C4A0649"/>
    <w:rsid w:val="4C7E5ECA"/>
    <w:rsid w:val="4C876AA5"/>
    <w:rsid w:val="4C9238B5"/>
    <w:rsid w:val="4C9743B6"/>
    <w:rsid w:val="4CA366E4"/>
    <w:rsid w:val="4CA42110"/>
    <w:rsid w:val="4CC73D9F"/>
    <w:rsid w:val="4CDF289F"/>
    <w:rsid w:val="4CEB1B0B"/>
    <w:rsid w:val="4D0E00FB"/>
    <w:rsid w:val="4D176606"/>
    <w:rsid w:val="4D7A27DF"/>
    <w:rsid w:val="4D7A7B6F"/>
    <w:rsid w:val="4D7F4451"/>
    <w:rsid w:val="4D907392"/>
    <w:rsid w:val="4D98130A"/>
    <w:rsid w:val="4DA4699A"/>
    <w:rsid w:val="4DA50D3D"/>
    <w:rsid w:val="4DA83D0F"/>
    <w:rsid w:val="4DB45A88"/>
    <w:rsid w:val="4DC31516"/>
    <w:rsid w:val="4DCB500F"/>
    <w:rsid w:val="4DCE6733"/>
    <w:rsid w:val="4DEC4FB0"/>
    <w:rsid w:val="4E075D8A"/>
    <w:rsid w:val="4E4C150B"/>
    <w:rsid w:val="4E5100A8"/>
    <w:rsid w:val="4E57137A"/>
    <w:rsid w:val="4E8F6D98"/>
    <w:rsid w:val="4E90394D"/>
    <w:rsid w:val="4E917553"/>
    <w:rsid w:val="4EC00FAD"/>
    <w:rsid w:val="4ED162B3"/>
    <w:rsid w:val="4EFA2E57"/>
    <w:rsid w:val="4F09107D"/>
    <w:rsid w:val="4F194E17"/>
    <w:rsid w:val="4F464D91"/>
    <w:rsid w:val="4F7871F7"/>
    <w:rsid w:val="4F7A379D"/>
    <w:rsid w:val="4F7F298C"/>
    <w:rsid w:val="4F9843DC"/>
    <w:rsid w:val="4FC62A8C"/>
    <w:rsid w:val="4FC9718F"/>
    <w:rsid w:val="4FE20F0D"/>
    <w:rsid w:val="4FE51552"/>
    <w:rsid w:val="4FED27B5"/>
    <w:rsid w:val="4FFA182C"/>
    <w:rsid w:val="4FFB7568"/>
    <w:rsid w:val="500465E9"/>
    <w:rsid w:val="50075DD0"/>
    <w:rsid w:val="50491780"/>
    <w:rsid w:val="50504648"/>
    <w:rsid w:val="50504C4B"/>
    <w:rsid w:val="509C0D7A"/>
    <w:rsid w:val="509C6E7C"/>
    <w:rsid w:val="50B1385B"/>
    <w:rsid w:val="50B33BB9"/>
    <w:rsid w:val="50BF7F0E"/>
    <w:rsid w:val="50D731F5"/>
    <w:rsid w:val="510C0BAC"/>
    <w:rsid w:val="5140308A"/>
    <w:rsid w:val="51496818"/>
    <w:rsid w:val="51611D91"/>
    <w:rsid w:val="5162104E"/>
    <w:rsid w:val="517B0A3E"/>
    <w:rsid w:val="51F37B44"/>
    <w:rsid w:val="520431F4"/>
    <w:rsid w:val="520B0CE4"/>
    <w:rsid w:val="520B2AC6"/>
    <w:rsid w:val="522C6DFE"/>
    <w:rsid w:val="5244507B"/>
    <w:rsid w:val="52635E6A"/>
    <w:rsid w:val="52665F1D"/>
    <w:rsid w:val="5278539C"/>
    <w:rsid w:val="528561A0"/>
    <w:rsid w:val="52B21F3C"/>
    <w:rsid w:val="52BD660C"/>
    <w:rsid w:val="52C41365"/>
    <w:rsid w:val="52CA5F13"/>
    <w:rsid w:val="52EA12F3"/>
    <w:rsid w:val="533C10E9"/>
    <w:rsid w:val="534C6499"/>
    <w:rsid w:val="539334EB"/>
    <w:rsid w:val="53A039CC"/>
    <w:rsid w:val="53A1505A"/>
    <w:rsid w:val="53C6152C"/>
    <w:rsid w:val="53EE7333"/>
    <w:rsid w:val="53FC5B12"/>
    <w:rsid w:val="54063E08"/>
    <w:rsid w:val="540E2C36"/>
    <w:rsid w:val="54247AA2"/>
    <w:rsid w:val="54296AA5"/>
    <w:rsid w:val="542C08F0"/>
    <w:rsid w:val="543437E8"/>
    <w:rsid w:val="5490251D"/>
    <w:rsid w:val="549E5CDA"/>
    <w:rsid w:val="54CA2EBB"/>
    <w:rsid w:val="54DA0C5D"/>
    <w:rsid w:val="54DA3497"/>
    <w:rsid w:val="54DF60AE"/>
    <w:rsid w:val="54F73313"/>
    <w:rsid w:val="54F80955"/>
    <w:rsid w:val="54FE4194"/>
    <w:rsid w:val="550146D2"/>
    <w:rsid w:val="55191A1B"/>
    <w:rsid w:val="55260388"/>
    <w:rsid w:val="553920BD"/>
    <w:rsid w:val="555170A7"/>
    <w:rsid w:val="555D77E7"/>
    <w:rsid w:val="555E65CA"/>
    <w:rsid w:val="5587536D"/>
    <w:rsid w:val="559B174B"/>
    <w:rsid w:val="55CE0CF4"/>
    <w:rsid w:val="55CF2F61"/>
    <w:rsid w:val="55E218DE"/>
    <w:rsid w:val="55E8347F"/>
    <w:rsid w:val="5617654C"/>
    <w:rsid w:val="561E39E7"/>
    <w:rsid w:val="5640006F"/>
    <w:rsid w:val="564350DD"/>
    <w:rsid w:val="56826786"/>
    <w:rsid w:val="56A6154E"/>
    <w:rsid w:val="56AD768C"/>
    <w:rsid w:val="56B22A9C"/>
    <w:rsid w:val="56F21982"/>
    <w:rsid w:val="56F24C1A"/>
    <w:rsid w:val="57274112"/>
    <w:rsid w:val="57307C90"/>
    <w:rsid w:val="57990D60"/>
    <w:rsid w:val="57B72A76"/>
    <w:rsid w:val="57C3426C"/>
    <w:rsid w:val="57CE112F"/>
    <w:rsid w:val="57CE1F93"/>
    <w:rsid w:val="58087FAB"/>
    <w:rsid w:val="580F3147"/>
    <w:rsid w:val="584C3ECE"/>
    <w:rsid w:val="58532FCD"/>
    <w:rsid w:val="58580AAD"/>
    <w:rsid w:val="587626FF"/>
    <w:rsid w:val="58840852"/>
    <w:rsid w:val="588743D1"/>
    <w:rsid w:val="5887701A"/>
    <w:rsid w:val="58C808AD"/>
    <w:rsid w:val="58D14FF9"/>
    <w:rsid w:val="59100D0A"/>
    <w:rsid w:val="59396B30"/>
    <w:rsid w:val="59440C82"/>
    <w:rsid w:val="59540890"/>
    <w:rsid w:val="59771E25"/>
    <w:rsid w:val="597D505A"/>
    <w:rsid w:val="59B10859"/>
    <w:rsid w:val="59C0439F"/>
    <w:rsid w:val="5A0C67B3"/>
    <w:rsid w:val="5A2A3AB9"/>
    <w:rsid w:val="5A326511"/>
    <w:rsid w:val="5A461F4E"/>
    <w:rsid w:val="5A690D4F"/>
    <w:rsid w:val="5A711E32"/>
    <w:rsid w:val="5A84202D"/>
    <w:rsid w:val="5AA83B07"/>
    <w:rsid w:val="5AB45702"/>
    <w:rsid w:val="5ABE2233"/>
    <w:rsid w:val="5ADA0C90"/>
    <w:rsid w:val="5ADD329B"/>
    <w:rsid w:val="5AEA06E7"/>
    <w:rsid w:val="5B060C94"/>
    <w:rsid w:val="5B44453D"/>
    <w:rsid w:val="5BB13935"/>
    <w:rsid w:val="5BB176A1"/>
    <w:rsid w:val="5BCB45A3"/>
    <w:rsid w:val="5BDF5D95"/>
    <w:rsid w:val="5BFE7528"/>
    <w:rsid w:val="5C0978F3"/>
    <w:rsid w:val="5C395892"/>
    <w:rsid w:val="5C5E1E06"/>
    <w:rsid w:val="5C8924EC"/>
    <w:rsid w:val="5CA47EBE"/>
    <w:rsid w:val="5CA90833"/>
    <w:rsid w:val="5CBD4E32"/>
    <w:rsid w:val="5CC05393"/>
    <w:rsid w:val="5CC40E2B"/>
    <w:rsid w:val="5CCA2275"/>
    <w:rsid w:val="5CCF4217"/>
    <w:rsid w:val="5CD061E4"/>
    <w:rsid w:val="5D16412F"/>
    <w:rsid w:val="5D1A6F72"/>
    <w:rsid w:val="5D2D495C"/>
    <w:rsid w:val="5D3D64C3"/>
    <w:rsid w:val="5D4C4CF3"/>
    <w:rsid w:val="5D774AA2"/>
    <w:rsid w:val="5D9E3EAC"/>
    <w:rsid w:val="5DA47E37"/>
    <w:rsid w:val="5DB60CC8"/>
    <w:rsid w:val="5DDF38FD"/>
    <w:rsid w:val="5DE2505B"/>
    <w:rsid w:val="5DE54393"/>
    <w:rsid w:val="5DF47CB1"/>
    <w:rsid w:val="5DF7505C"/>
    <w:rsid w:val="5E205114"/>
    <w:rsid w:val="5E2467F1"/>
    <w:rsid w:val="5E2B1E5B"/>
    <w:rsid w:val="5E3C52E2"/>
    <w:rsid w:val="5E4E36D7"/>
    <w:rsid w:val="5E6F3CB9"/>
    <w:rsid w:val="5E8E411F"/>
    <w:rsid w:val="5EB45606"/>
    <w:rsid w:val="5ED44D78"/>
    <w:rsid w:val="5EE72CC3"/>
    <w:rsid w:val="5EEA7F49"/>
    <w:rsid w:val="5EF25901"/>
    <w:rsid w:val="5F184A8E"/>
    <w:rsid w:val="5F1A2B43"/>
    <w:rsid w:val="5F3016DC"/>
    <w:rsid w:val="5F39526A"/>
    <w:rsid w:val="5F446C03"/>
    <w:rsid w:val="5F5C5FB8"/>
    <w:rsid w:val="5F6B72EB"/>
    <w:rsid w:val="5F791D99"/>
    <w:rsid w:val="5FA97E40"/>
    <w:rsid w:val="5FAA4AF1"/>
    <w:rsid w:val="5FB837BB"/>
    <w:rsid w:val="5FBC0F94"/>
    <w:rsid w:val="5FE62AC6"/>
    <w:rsid w:val="60042B7E"/>
    <w:rsid w:val="600D71E6"/>
    <w:rsid w:val="6031509E"/>
    <w:rsid w:val="604D4755"/>
    <w:rsid w:val="605C48C3"/>
    <w:rsid w:val="609215AD"/>
    <w:rsid w:val="60985D7A"/>
    <w:rsid w:val="60CC405A"/>
    <w:rsid w:val="60D657EB"/>
    <w:rsid w:val="60DF66DB"/>
    <w:rsid w:val="60F45801"/>
    <w:rsid w:val="61056A36"/>
    <w:rsid w:val="614154B0"/>
    <w:rsid w:val="61795839"/>
    <w:rsid w:val="619C2EE1"/>
    <w:rsid w:val="61B77E54"/>
    <w:rsid w:val="61C41276"/>
    <w:rsid w:val="61D66283"/>
    <w:rsid w:val="61E215D8"/>
    <w:rsid w:val="61E501D1"/>
    <w:rsid w:val="61E72CE3"/>
    <w:rsid w:val="62015D11"/>
    <w:rsid w:val="620F26F9"/>
    <w:rsid w:val="621B3775"/>
    <w:rsid w:val="621C4720"/>
    <w:rsid w:val="621D0E2A"/>
    <w:rsid w:val="6229523A"/>
    <w:rsid w:val="62364782"/>
    <w:rsid w:val="62486075"/>
    <w:rsid w:val="62803628"/>
    <w:rsid w:val="6283706E"/>
    <w:rsid w:val="62954A9B"/>
    <w:rsid w:val="62970A67"/>
    <w:rsid w:val="62A370BD"/>
    <w:rsid w:val="62A66906"/>
    <w:rsid w:val="62B22E95"/>
    <w:rsid w:val="62B773DD"/>
    <w:rsid w:val="62C1505B"/>
    <w:rsid w:val="62DE06C3"/>
    <w:rsid w:val="6311162E"/>
    <w:rsid w:val="63165CE4"/>
    <w:rsid w:val="631C4893"/>
    <w:rsid w:val="632E0D06"/>
    <w:rsid w:val="634B193A"/>
    <w:rsid w:val="63587A01"/>
    <w:rsid w:val="636F3653"/>
    <w:rsid w:val="63840AFC"/>
    <w:rsid w:val="6394356A"/>
    <w:rsid w:val="63B26EA9"/>
    <w:rsid w:val="63B5388E"/>
    <w:rsid w:val="63B84AF5"/>
    <w:rsid w:val="63BA6983"/>
    <w:rsid w:val="63C61B2C"/>
    <w:rsid w:val="63CC4579"/>
    <w:rsid w:val="63D40BE9"/>
    <w:rsid w:val="64102431"/>
    <w:rsid w:val="641A69A1"/>
    <w:rsid w:val="642C73BD"/>
    <w:rsid w:val="643363B3"/>
    <w:rsid w:val="6448044E"/>
    <w:rsid w:val="64775CEA"/>
    <w:rsid w:val="64777776"/>
    <w:rsid w:val="647B3721"/>
    <w:rsid w:val="647F336D"/>
    <w:rsid w:val="64A5243A"/>
    <w:rsid w:val="64B87C2F"/>
    <w:rsid w:val="64C719AC"/>
    <w:rsid w:val="64CF1141"/>
    <w:rsid w:val="64EE705D"/>
    <w:rsid w:val="64F531DE"/>
    <w:rsid w:val="65151063"/>
    <w:rsid w:val="65212FE8"/>
    <w:rsid w:val="65373578"/>
    <w:rsid w:val="65397815"/>
    <w:rsid w:val="656606C1"/>
    <w:rsid w:val="657E3701"/>
    <w:rsid w:val="65834F1A"/>
    <w:rsid w:val="658A42E1"/>
    <w:rsid w:val="65977C4C"/>
    <w:rsid w:val="65A80432"/>
    <w:rsid w:val="65AC2438"/>
    <w:rsid w:val="65C14EA6"/>
    <w:rsid w:val="65C85016"/>
    <w:rsid w:val="65D22F9D"/>
    <w:rsid w:val="65F31790"/>
    <w:rsid w:val="65F32B4E"/>
    <w:rsid w:val="65FF3C46"/>
    <w:rsid w:val="661B6392"/>
    <w:rsid w:val="666757F8"/>
    <w:rsid w:val="666B77CE"/>
    <w:rsid w:val="66AA34CF"/>
    <w:rsid w:val="66C07FD9"/>
    <w:rsid w:val="66CE1552"/>
    <w:rsid w:val="66CF1F06"/>
    <w:rsid w:val="6705040D"/>
    <w:rsid w:val="671F124A"/>
    <w:rsid w:val="674F64FA"/>
    <w:rsid w:val="67710209"/>
    <w:rsid w:val="677A33C6"/>
    <w:rsid w:val="677D0530"/>
    <w:rsid w:val="67897A66"/>
    <w:rsid w:val="67951F73"/>
    <w:rsid w:val="67C863FA"/>
    <w:rsid w:val="67D25872"/>
    <w:rsid w:val="67D36DAE"/>
    <w:rsid w:val="67F73EEC"/>
    <w:rsid w:val="68122841"/>
    <w:rsid w:val="681F6961"/>
    <w:rsid w:val="68610A2F"/>
    <w:rsid w:val="68805514"/>
    <w:rsid w:val="688E11B4"/>
    <w:rsid w:val="68A613ED"/>
    <w:rsid w:val="68B13922"/>
    <w:rsid w:val="68C30012"/>
    <w:rsid w:val="690C347A"/>
    <w:rsid w:val="69182133"/>
    <w:rsid w:val="692525C7"/>
    <w:rsid w:val="692E005D"/>
    <w:rsid w:val="69316E2F"/>
    <w:rsid w:val="693F6306"/>
    <w:rsid w:val="694E2071"/>
    <w:rsid w:val="69766163"/>
    <w:rsid w:val="697A3B33"/>
    <w:rsid w:val="697F52C6"/>
    <w:rsid w:val="6994010B"/>
    <w:rsid w:val="69A76E7A"/>
    <w:rsid w:val="69B67C0D"/>
    <w:rsid w:val="69D44760"/>
    <w:rsid w:val="69F70B22"/>
    <w:rsid w:val="6A107439"/>
    <w:rsid w:val="6A402023"/>
    <w:rsid w:val="6A4A22F9"/>
    <w:rsid w:val="6A520EC7"/>
    <w:rsid w:val="6A843DF5"/>
    <w:rsid w:val="6A8D4816"/>
    <w:rsid w:val="6A9264D1"/>
    <w:rsid w:val="6AD527E3"/>
    <w:rsid w:val="6AF0332D"/>
    <w:rsid w:val="6AF87E20"/>
    <w:rsid w:val="6B301415"/>
    <w:rsid w:val="6B322639"/>
    <w:rsid w:val="6B347404"/>
    <w:rsid w:val="6B5478A4"/>
    <w:rsid w:val="6B770D5D"/>
    <w:rsid w:val="6B8C5C37"/>
    <w:rsid w:val="6B9C29D5"/>
    <w:rsid w:val="6BB513B4"/>
    <w:rsid w:val="6BC32438"/>
    <w:rsid w:val="6BD91777"/>
    <w:rsid w:val="6BDC568F"/>
    <w:rsid w:val="6BFE60C9"/>
    <w:rsid w:val="6C13467F"/>
    <w:rsid w:val="6C1A6451"/>
    <w:rsid w:val="6C2363F6"/>
    <w:rsid w:val="6C3534B7"/>
    <w:rsid w:val="6C636C38"/>
    <w:rsid w:val="6C830727"/>
    <w:rsid w:val="6C8700EC"/>
    <w:rsid w:val="6CE10C19"/>
    <w:rsid w:val="6CE6131A"/>
    <w:rsid w:val="6CE75C2B"/>
    <w:rsid w:val="6D03040C"/>
    <w:rsid w:val="6D0715D4"/>
    <w:rsid w:val="6D1A242E"/>
    <w:rsid w:val="6D541E34"/>
    <w:rsid w:val="6D711C87"/>
    <w:rsid w:val="6DA321AC"/>
    <w:rsid w:val="6DB34098"/>
    <w:rsid w:val="6DB545B6"/>
    <w:rsid w:val="6DBB03FB"/>
    <w:rsid w:val="6DE02FB4"/>
    <w:rsid w:val="6DE74955"/>
    <w:rsid w:val="6DF14F07"/>
    <w:rsid w:val="6DF64569"/>
    <w:rsid w:val="6E4408FB"/>
    <w:rsid w:val="6E514CED"/>
    <w:rsid w:val="6E577E9C"/>
    <w:rsid w:val="6E616686"/>
    <w:rsid w:val="6E7902D7"/>
    <w:rsid w:val="6E9F6FDD"/>
    <w:rsid w:val="6EB563D5"/>
    <w:rsid w:val="6EB67897"/>
    <w:rsid w:val="6ED92677"/>
    <w:rsid w:val="6EE414D1"/>
    <w:rsid w:val="6EE5683D"/>
    <w:rsid w:val="6EF62872"/>
    <w:rsid w:val="6EFF5B4B"/>
    <w:rsid w:val="6F225983"/>
    <w:rsid w:val="6F4D6838"/>
    <w:rsid w:val="6F4F3F62"/>
    <w:rsid w:val="6F5967E1"/>
    <w:rsid w:val="6F614ECB"/>
    <w:rsid w:val="6F6913BC"/>
    <w:rsid w:val="6F7068C1"/>
    <w:rsid w:val="6FAB40E6"/>
    <w:rsid w:val="6FAF09BA"/>
    <w:rsid w:val="6FC104BF"/>
    <w:rsid w:val="6FC752EA"/>
    <w:rsid w:val="6FD94F65"/>
    <w:rsid w:val="6FE43E1F"/>
    <w:rsid w:val="6FFC5590"/>
    <w:rsid w:val="70080B5C"/>
    <w:rsid w:val="70087423"/>
    <w:rsid w:val="7013634B"/>
    <w:rsid w:val="70275397"/>
    <w:rsid w:val="702C7951"/>
    <w:rsid w:val="70383246"/>
    <w:rsid w:val="70384B09"/>
    <w:rsid w:val="70521DAD"/>
    <w:rsid w:val="706202C3"/>
    <w:rsid w:val="706D1DD0"/>
    <w:rsid w:val="70856B87"/>
    <w:rsid w:val="70AD5191"/>
    <w:rsid w:val="70D527EE"/>
    <w:rsid w:val="70E25765"/>
    <w:rsid w:val="70E80021"/>
    <w:rsid w:val="70F05017"/>
    <w:rsid w:val="70F52D97"/>
    <w:rsid w:val="71161F56"/>
    <w:rsid w:val="711E55B2"/>
    <w:rsid w:val="712437CA"/>
    <w:rsid w:val="715840B6"/>
    <w:rsid w:val="715B5300"/>
    <w:rsid w:val="71960119"/>
    <w:rsid w:val="719C3171"/>
    <w:rsid w:val="71AD1F10"/>
    <w:rsid w:val="71D27F8A"/>
    <w:rsid w:val="71D9015F"/>
    <w:rsid w:val="72131C23"/>
    <w:rsid w:val="721558D6"/>
    <w:rsid w:val="724570B2"/>
    <w:rsid w:val="724C51C6"/>
    <w:rsid w:val="72553024"/>
    <w:rsid w:val="72CD12E4"/>
    <w:rsid w:val="72D92404"/>
    <w:rsid w:val="72E30B3F"/>
    <w:rsid w:val="73122968"/>
    <w:rsid w:val="731331B8"/>
    <w:rsid w:val="731F5D5E"/>
    <w:rsid w:val="73303DC0"/>
    <w:rsid w:val="734D529E"/>
    <w:rsid w:val="734D7D5B"/>
    <w:rsid w:val="734F61C7"/>
    <w:rsid w:val="73550FA9"/>
    <w:rsid w:val="73933CE3"/>
    <w:rsid w:val="73A550BD"/>
    <w:rsid w:val="73AF13A4"/>
    <w:rsid w:val="73C51AD5"/>
    <w:rsid w:val="73E147BA"/>
    <w:rsid w:val="74034BE4"/>
    <w:rsid w:val="741E793C"/>
    <w:rsid w:val="74313A64"/>
    <w:rsid w:val="745E3944"/>
    <w:rsid w:val="746E1BCC"/>
    <w:rsid w:val="74942892"/>
    <w:rsid w:val="74AF6F4E"/>
    <w:rsid w:val="74B041F8"/>
    <w:rsid w:val="74BE07E5"/>
    <w:rsid w:val="74EA12B3"/>
    <w:rsid w:val="7500185C"/>
    <w:rsid w:val="752D7DD2"/>
    <w:rsid w:val="756D7F19"/>
    <w:rsid w:val="75720710"/>
    <w:rsid w:val="75935D10"/>
    <w:rsid w:val="75AE6414"/>
    <w:rsid w:val="75BA10C0"/>
    <w:rsid w:val="76024E92"/>
    <w:rsid w:val="7635099D"/>
    <w:rsid w:val="76391937"/>
    <w:rsid w:val="763A2DA9"/>
    <w:rsid w:val="763C3364"/>
    <w:rsid w:val="76472CAF"/>
    <w:rsid w:val="764F3ACF"/>
    <w:rsid w:val="76854AE4"/>
    <w:rsid w:val="768F1979"/>
    <w:rsid w:val="769A6D64"/>
    <w:rsid w:val="76A77424"/>
    <w:rsid w:val="76AA2651"/>
    <w:rsid w:val="76B15747"/>
    <w:rsid w:val="76B962D2"/>
    <w:rsid w:val="76CF6038"/>
    <w:rsid w:val="76D90BB3"/>
    <w:rsid w:val="76E62BDA"/>
    <w:rsid w:val="76EF01D5"/>
    <w:rsid w:val="76F21DDB"/>
    <w:rsid w:val="76FE093D"/>
    <w:rsid w:val="770972D5"/>
    <w:rsid w:val="770F7482"/>
    <w:rsid w:val="771C566F"/>
    <w:rsid w:val="775C676C"/>
    <w:rsid w:val="776928D0"/>
    <w:rsid w:val="77711C04"/>
    <w:rsid w:val="77762421"/>
    <w:rsid w:val="777D3FC8"/>
    <w:rsid w:val="77B56B1F"/>
    <w:rsid w:val="77BB1637"/>
    <w:rsid w:val="77C72443"/>
    <w:rsid w:val="77F21093"/>
    <w:rsid w:val="780F09F4"/>
    <w:rsid w:val="78511348"/>
    <w:rsid w:val="786D141B"/>
    <w:rsid w:val="78875AA9"/>
    <w:rsid w:val="78A90480"/>
    <w:rsid w:val="78A96B7D"/>
    <w:rsid w:val="78D34F09"/>
    <w:rsid w:val="78E05BA1"/>
    <w:rsid w:val="792242E1"/>
    <w:rsid w:val="79377E5C"/>
    <w:rsid w:val="794C74FB"/>
    <w:rsid w:val="7954169F"/>
    <w:rsid w:val="796374EC"/>
    <w:rsid w:val="797A06C3"/>
    <w:rsid w:val="798E3522"/>
    <w:rsid w:val="79B5529D"/>
    <w:rsid w:val="7A075301"/>
    <w:rsid w:val="7A364017"/>
    <w:rsid w:val="7A415E19"/>
    <w:rsid w:val="7A550850"/>
    <w:rsid w:val="7A560E98"/>
    <w:rsid w:val="7A605F6B"/>
    <w:rsid w:val="7A6730A5"/>
    <w:rsid w:val="7A8265E1"/>
    <w:rsid w:val="7A915723"/>
    <w:rsid w:val="7A942531"/>
    <w:rsid w:val="7A995229"/>
    <w:rsid w:val="7AAA73AD"/>
    <w:rsid w:val="7AAC310D"/>
    <w:rsid w:val="7AC968AA"/>
    <w:rsid w:val="7ACD6B60"/>
    <w:rsid w:val="7ACF5207"/>
    <w:rsid w:val="7AFF3C89"/>
    <w:rsid w:val="7B16338B"/>
    <w:rsid w:val="7B2E7431"/>
    <w:rsid w:val="7B422817"/>
    <w:rsid w:val="7B554315"/>
    <w:rsid w:val="7B686D42"/>
    <w:rsid w:val="7B6C638A"/>
    <w:rsid w:val="7B810A3B"/>
    <w:rsid w:val="7B841746"/>
    <w:rsid w:val="7B8C08E9"/>
    <w:rsid w:val="7B974000"/>
    <w:rsid w:val="7B9F0FBB"/>
    <w:rsid w:val="7BA22FE1"/>
    <w:rsid w:val="7BAF24BE"/>
    <w:rsid w:val="7BB83415"/>
    <w:rsid w:val="7BDD17B9"/>
    <w:rsid w:val="7BE01E2D"/>
    <w:rsid w:val="7BE55684"/>
    <w:rsid w:val="7BEE7682"/>
    <w:rsid w:val="7C082B4A"/>
    <w:rsid w:val="7C0E376A"/>
    <w:rsid w:val="7C210A2F"/>
    <w:rsid w:val="7C245DEF"/>
    <w:rsid w:val="7C2D6E68"/>
    <w:rsid w:val="7C2E4E83"/>
    <w:rsid w:val="7C455444"/>
    <w:rsid w:val="7C4A4921"/>
    <w:rsid w:val="7C555EFF"/>
    <w:rsid w:val="7C5E4A19"/>
    <w:rsid w:val="7C6C5AC7"/>
    <w:rsid w:val="7C961A20"/>
    <w:rsid w:val="7CB51FE7"/>
    <w:rsid w:val="7CC35DD0"/>
    <w:rsid w:val="7CC603FD"/>
    <w:rsid w:val="7CC6544B"/>
    <w:rsid w:val="7CD071D1"/>
    <w:rsid w:val="7D0239FF"/>
    <w:rsid w:val="7D161DFF"/>
    <w:rsid w:val="7D2E18C1"/>
    <w:rsid w:val="7D3A7A3D"/>
    <w:rsid w:val="7D3B5C5A"/>
    <w:rsid w:val="7D400CBC"/>
    <w:rsid w:val="7D5E40CD"/>
    <w:rsid w:val="7D5E522E"/>
    <w:rsid w:val="7D6E3C35"/>
    <w:rsid w:val="7D79252F"/>
    <w:rsid w:val="7D8C24DA"/>
    <w:rsid w:val="7D933E36"/>
    <w:rsid w:val="7D9D7383"/>
    <w:rsid w:val="7DBA0F25"/>
    <w:rsid w:val="7DCA6A8C"/>
    <w:rsid w:val="7DCD56F2"/>
    <w:rsid w:val="7DD261D8"/>
    <w:rsid w:val="7DE717B6"/>
    <w:rsid w:val="7E4F51C9"/>
    <w:rsid w:val="7EA75926"/>
    <w:rsid w:val="7EC331AE"/>
    <w:rsid w:val="7F001CE7"/>
    <w:rsid w:val="7F066F18"/>
    <w:rsid w:val="7F1B445E"/>
    <w:rsid w:val="7F302A84"/>
    <w:rsid w:val="7F420CAA"/>
    <w:rsid w:val="7F557224"/>
    <w:rsid w:val="7F9A0959"/>
    <w:rsid w:val="7FAC2850"/>
    <w:rsid w:val="7FBD72C3"/>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99"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1"/>
    <w:qFormat/>
    <w:locked/>
    <w:uiPriority w:val="99"/>
    <w:pPr>
      <w:keepNext/>
      <w:overflowPunct w:val="0"/>
      <w:snapToGrid w:val="0"/>
      <w:spacing w:before="120" w:after="160" w:line="259" w:lineRule="auto"/>
      <w:ind w:left="432" w:hanging="432"/>
      <w:jc w:val="left"/>
      <w:outlineLvl w:val="0"/>
    </w:pPr>
    <w:rPr>
      <w:rFonts w:eastAsia="黑体"/>
      <w:b/>
      <w:bCs/>
      <w:color w:val="000000"/>
      <w:kern w:val="44"/>
      <w:sz w:val="30"/>
      <w:szCs w:val="30"/>
    </w:rPr>
  </w:style>
  <w:style w:type="paragraph" w:styleId="3">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locked/>
    <w:uiPriority w:val="99"/>
    <w:pPr>
      <w:keepNext/>
      <w:keepLines/>
      <w:snapToGrid w:val="0"/>
      <w:spacing w:before="60" w:after="120" w:line="400" w:lineRule="exact"/>
      <w:jc w:val="left"/>
      <w:outlineLvl w:val="2"/>
    </w:pPr>
    <w:rPr>
      <w:rFonts w:eastAsia="黑体"/>
    </w:rPr>
  </w:style>
  <w:style w:type="paragraph" w:styleId="5">
    <w:name w:val="heading 4"/>
    <w:basedOn w:val="1"/>
    <w:next w:val="1"/>
    <w:qFormat/>
    <w:locked/>
    <w:uiPriority w:val="9"/>
    <w:pPr>
      <w:spacing w:line="360" w:lineRule="auto"/>
      <w:outlineLvl w:val="3"/>
    </w:pPr>
    <w:rPr>
      <w:rFonts w:cs="宋体"/>
      <w:b/>
      <w:bCs/>
      <w:sz w:val="24"/>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qFormat/>
    <w:locked/>
    <w:uiPriority w:val="0"/>
    <w:pPr>
      <w:spacing w:line="360" w:lineRule="auto"/>
      <w:ind w:firstLine="420"/>
    </w:pPr>
    <w:rPr>
      <w:rFonts w:ascii="仿宋_GB2312" w:hAnsi="Arial Black" w:eastAsia="仿宋_GB2312"/>
      <w:sz w:val="28"/>
      <w:szCs w:val="22"/>
    </w:rPr>
  </w:style>
  <w:style w:type="paragraph" w:styleId="7">
    <w:name w:val="annotation text"/>
    <w:basedOn w:val="1"/>
    <w:link w:val="36"/>
    <w:semiHidden/>
    <w:qFormat/>
    <w:uiPriority w:val="0"/>
    <w:pPr>
      <w:jc w:val="left"/>
    </w:pPr>
    <w:rPr>
      <w:kern w:val="0"/>
      <w:sz w:val="24"/>
      <w:szCs w:val="20"/>
    </w:rPr>
  </w:style>
  <w:style w:type="paragraph" w:styleId="8">
    <w:name w:val="Body Text"/>
    <w:basedOn w:val="1"/>
    <w:next w:val="9"/>
    <w:link w:val="37"/>
    <w:qFormat/>
    <w:uiPriority w:val="0"/>
    <w:pPr>
      <w:widowControl/>
      <w:snapToGrid w:val="0"/>
      <w:spacing w:before="60" w:after="160" w:line="259" w:lineRule="auto"/>
      <w:ind w:right="113"/>
    </w:pPr>
    <w:rPr>
      <w:kern w:val="0"/>
      <w:sz w:val="18"/>
      <w:szCs w:val="20"/>
    </w:rPr>
  </w:style>
  <w:style w:type="paragraph" w:styleId="9">
    <w:name w:val="List Bullet 5"/>
    <w:basedOn w:val="1"/>
    <w:qFormat/>
    <w:locked/>
    <w:uiPriority w:val="0"/>
    <w:pPr>
      <w:numPr>
        <w:ilvl w:val="0"/>
        <w:numId w:val="1"/>
      </w:numPr>
    </w:pPr>
  </w:style>
  <w:style w:type="paragraph" w:styleId="10">
    <w:name w:val="Body Text Indent"/>
    <w:basedOn w:val="1"/>
    <w:next w:val="11"/>
    <w:link w:val="38"/>
    <w:qFormat/>
    <w:uiPriority w:val="0"/>
    <w:pPr>
      <w:spacing w:after="120"/>
      <w:ind w:left="420" w:leftChars="200"/>
    </w:pPr>
    <w:rPr>
      <w:kern w:val="0"/>
      <w:sz w:val="24"/>
      <w:szCs w:val="20"/>
    </w:rPr>
  </w:style>
  <w:style w:type="paragraph" w:styleId="11">
    <w:name w:val="Body Text Indent 2"/>
    <w:basedOn w:val="1"/>
    <w:next w:val="12"/>
    <w:unhideWhenUsed/>
    <w:qFormat/>
    <w:locked/>
    <w:uiPriority w:val="99"/>
    <w:pPr>
      <w:spacing w:after="120" w:line="480" w:lineRule="auto"/>
      <w:ind w:left="420" w:leftChars="200"/>
    </w:pPr>
  </w:style>
  <w:style w:type="paragraph" w:styleId="12">
    <w:name w:val="Body Text First Indent 2"/>
    <w:basedOn w:val="1"/>
    <w:next w:val="1"/>
    <w:qFormat/>
    <w:locked/>
    <w:uiPriority w:val="0"/>
    <w:pPr>
      <w:ind w:firstLine="420"/>
    </w:pPr>
  </w:style>
  <w:style w:type="paragraph" w:styleId="13">
    <w:name w:val="Plain Text"/>
    <w:basedOn w:val="1"/>
    <w:qFormat/>
    <w:locked/>
    <w:uiPriority w:val="0"/>
    <w:pPr>
      <w:spacing w:line="360" w:lineRule="auto"/>
      <w:ind w:firstLine="1440" w:firstLineChars="200"/>
    </w:pPr>
    <w:rPr>
      <w:rFonts w:ascii="Times New Roman" w:hAnsi="Times New Roman"/>
      <w:szCs w:val="21"/>
    </w:rPr>
  </w:style>
  <w:style w:type="paragraph" w:styleId="14">
    <w:name w:val="Date"/>
    <w:basedOn w:val="1"/>
    <w:next w:val="1"/>
    <w:link w:val="39"/>
    <w:qFormat/>
    <w:uiPriority w:val="0"/>
    <w:pPr>
      <w:ind w:left="100" w:leftChars="2500"/>
    </w:pPr>
    <w:rPr>
      <w:kern w:val="0"/>
      <w:sz w:val="24"/>
      <w:szCs w:val="20"/>
    </w:rPr>
  </w:style>
  <w:style w:type="paragraph" w:styleId="15">
    <w:name w:val="Balloon Text"/>
    <w:basedOn w:val="1"/>
    <w:link w:val="40"/>
    <w:semiHidden/>
    <w:qFormat/>
    <w:uiPriority w:val="0"/>
    <w:rPr>
      <w:kern w:val="0"/>
      <w:sz w:val="18"/>
      <w:szCs w:val="20"/>
    </w:rPr>
  </w:style>
  <w:style w:type="paragraph" w:styleId="16">
    <w:name w:val="footer"/>
    <w:basedOn w:val="1"/>
    <w:link w:val="41"/>
    <w:qFormat/>
    <w:uiPriority w:val="99"/>
    <w:pPr>
      <w:tabs>
        <w:tab w:val="center" w:pos="4153"/>
        <w:tab w:val="right" w:pos="8306"/>
      </w:tabs>
      <w:snapToGrid w:val="0"/>
      <w:jc w:val="left"/>
    </w:pPr>
    <w:rPr>
      <w:kern w:val="0"/>
      <w:sz w:val="18"/>
      <w:szCs w:val="20"/>
    </w:rPr>
  </w:style>
  <w:style w:type="paragraph" w:styleId="17">
    <w:name w:val="header"/>
    <w:basedOn w:val="1"/>
    <w:next w:val="8"/>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qFormat/>
    <w:locked/>
    <w:uiPriority w:val="39"/>
    <w:pPr>
      <w:spacing w:before="120" w:after="120"/>
      <w:jc w:val="left"/>
    </w:pPr>
    <w:rPr>
      <w:b/>
      <w:bCs/>
      <w:caps/>
      <w:sz w:val="20"/>
    </w:rPr>
  </w:style>
  <w:style w:type="paragraph" w:styleId="19">
    <w:name w:val="table of figures"/>
    <w:basedOn w:val="1"/>
    <w:next w:val="1"/>
    <w:semiHidden/>
    <w:qFormat/>
    <w:locked/>
    <w:uiPriority w:val="0"/>
    <w:pPr>
      <w:spacing w:after="120" w:line="500" w:lineRule="exact"/>
      <w:jc w:val="center"/>
    </w:pPr>
    <w:rPr>
      <w:rFonts w:ascii="仿宋_GB2312" w:eastAsia="仿宋_GB2312"/>
      <w:sz w:val="28"/>
    </w:rPr>
  </w:style>
  <w:style w:type="paragraph" w:styleId="20">
    <w:name w:val="Body Text 2"/>
    <w:basedOn w:val="1"/>
    <w:unhideWhenUsed/>
    <w:qFormat/>
    <w:locked/>
    <w:uiPriority w:val="99"/>
    <w:pPr>
      <w:spacing w:after="120" w:line="480" w:lineRule="auto"/>
    </w:pPr>
    <w:rPr>
      <w:rFonts w:ascii="宋体" w:hAnsi="宋体"/>
    </w:rPr>
  </w:style>
  <w:style w:type="paragraph" w:styleId="21">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7"/>
    <w:next w:val="7"/>
    <w:link w:val="44"/>
    <w:semiHidden/>
    <w:qFormat/>
    <w:uiPriority w:val="0"/>
    <w:rPr>
      <w:b/>
      <w:sz w:val="24"/>
      <w:szCs w:val="20"/>
    </w:rPr>
  </w:style>
  <w:style w:type="paragraph" w:styleId="23">
    <w:name w:val="Body Text First Indent"/>
    <w:basedOn w:val="8"/>
    <w:next w:val="19"/>
    <w:qFormat/>
    <w:locked/>
    <w:uiPriority w:val="99"/>
    <w:pPr>
      <w:widowControl w:val="0"/>
      <w:spacing w:after="120"/>
      <w:ind w:firstLine="420" w:firstLineChars="100"/>
    </w:pPr>
    <w:rPr>
      <w:kern w:val="2"/>
      <w:sz w:val="21"/>
      <w:szCs w:val="21"/>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locked/>
    <w:uiPriority w:val="0"/>
    <w:rPr>
      <w:b/>
    </w:rPr>
  </w:style>
  <w:style w:type="character" w:styleId="28">
    <w:name w:val="page number"/>
    <w:basedOn w:val="26"/>
    <w:qFormat/>
    <w:locked/>
    <w:uiPriority w:val="0"/>
  </w:style>
  <w:style w:type="character" w:styleId="29">
    <w:name w:val="Hyperlink"/>
    <w:basedOn w:val="26"/>
    <w:qFormat/>
    <w:locked/>
    <w:uiPriority w:val="99"/>
    <w:rPr>
      <w:color w:val="auto"/>
      <w:u w:val="none"/>
    </w:rPr>
  </w:style>
  <w:style w:type="character" w:styleId="30">
    <w:name w:val="annotation reference"/>
    <w:semiHidden/>
    <w:qFormat/>
    <w:uiPriority w:val="0"/>
    <w:rPr>
      <w:sz w:val="21"/>
    </w:rPr>
  </w:style>
  <w:style w:type="character" w:customStyle="1" w:styleId="31">
    <w:name w:val="标题 1 Char"/>
    <w:link w:val="2"/>
    <w:qFormat/>
    <w:uiPriority w:val="99"/>
    <w:rPr>
      <w:rFonts w:eastAsia="黑体"/>
      <w:b/>
      <w:bCs/>
      <w:color w:val="000000"/>
      <w:kern w:val="44"/>
      <w:sz w:val="30"/>
      <w:szCs w:val="30"/>
    </w:rPr>
  </w:style>
  <w:style w:type="paragraph" w:customStyle="1" w:styleId="32">
    <w:name w:val="正文 首行缩进:  2 字符"/>
    <w:basedOn w:val="1"/>
    <w:qFormat/>
    <w:uiPriority w:val="99"/>
    <w:pPr>
      <w:ind w:firstLine="579"/>
    </w:pPr>
    <w:rPr>
      <w:rFonts w:cs="宋体"/>
      <w:szCs w:val="20"/>
    </w:rPr>
  </w:style>
  <w:style w:type="paragraph" w:customStyle="1" w:styleId="33">
    <w:name w:val="T正文"/>
    <w:autoRedefine/>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sz w:val="28"/>
      <w:szCs w:val="28"/>
      <w:lang w:val="en-US" w:eastAsia="zh-CN" w:bidi="ar-SA"/>
    </w:rPr>
  </w:style>
  <w:style w:type="paragraph" w:customStyle="1" w:styleId="34">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kern w:val="0"/>
      <w:sz w:val="16"/>
      <w:szCs w:val="16"/>
      <w:lang w:eastAsia="zh-TW"/>
    </w:rPr>
  </w:style>
  <w:style w:type="paragraph" w:customStyle="1" w:styleId="35">
    <w:name w:val="A正文"/>
    <w:basedOn w:val="1"/>
    <w:next w:val="8"/>
    <w:qFormat/>
    <w:uiPriority w:val="0"/>
    <w:pPr>
      <w:widowControl/>
      <w:overflowPunct w:val="0"/>
      <w:autoSpaceDE w:val="0"/>
      <w:autoSpaceDN w:val="0"/>
      <w:jc w:val="left"/>
      <w:textAlignment w:val="baseline"/>
    </w:pPr>
  </w:style>
  <w:style w:type="character" w:customStyle="1" w:styleId="36">
    <w:name w:val="批注文字 Char"/>
    <w:link w:val="7"/>
    <w:qFormat/>
    <w:locked/>
    <w:uiPriority w:val="0"/>
    <w:rPr>
      <w:rFonts w:ascii="Times New Roman" w:hAnsi="Times New Roman" w:eastAsia="宋体"/>
      <w:sz w:val="24"/>
    </w:rPr>
  </w:style>
  <w:style w:type="character" w:customStyle="1" w:styleId="37">
    <w:name w:val="正文文本 Char"/>
    <w:link w:val="8"/>
    <w:qFormat/>
    <w:locked/>
    <w:uiPriority w:val="0"/>
    <w:rPr>
      <w:sz w:val="18"/>
    </w:rPr>
  </w:style>
  <w:style w:type="character" w:customStyle="1" w:styleId="38">
    <w:name w:val="正文文本缩进 Char"/>
    <w:link w:val="10"/>
    <w:semiHidden/>
    <w:qFormat/>
    <w:locked/>
    <w:uiPriority w:val="0"/>
    <w:rPr>
      <w:rFonts w:ascii="Times New Roman" w:hAnsi="Times New Roman" w:eastAsia="宋体"/>
      <w:sz w:val="24"/>
    </w:rPr>
  </w:style>
  <w:style w:type="character" w:customStyle="1" w:styleId="39">
    <w:name w:val="日期 Char"/>
    <w:link w:val="14"/>
    <w:qFormat/>
    <w:locked/>
    <w:uiPriority w:val="0"/>
    <w:rPr>
      <w:rFonts w:ascii="Times New Roman" w:hAnsi="Times New Roman" w:eastAsia="宋体"/>
      <w:sz w:val="24"/>
    </w:rPr>
  </w:style>
  <w:style w:type="character" w:customStyle="1" w:styleId="40">
    <w:name w:val="批注框文本 Char"/>
    <w:link w:val="15"/>
    <w:semiHidden/>
    <w:qFormat/>
    <w:locked/>
    <w:uiPriority w:val="0"/>
    <w:rPr>
      <w:rFonts w:ascii="Times New Roman" w:hAnsi="Times New Roman" w:eastAsia="宋体"/>
      <w:sz w:val="18"/>
    </w:rPr>
  </w:style>
  <w:style w:type="character" w:customStyle="1" w:styleId="41">
    <w:name w:val="页脚 Char"/>
    <w:link w:val="16"/>
    <w:qFormat/>
    <w:locked/>
    <w:uiPriority w:val="99"/>
    <w:rPr>
      <w:sz w:val="18"/>
    </w:rPr>
  </w:style>
  <w:style w:type="character" w:customStyle="1" w:styleId="42">
    <w:name w:val="页眉 Char"/>
    <w:link w:val="17"/>
    <w:qFormat/>
    <w:locked/>
    <w:uiPriority w:val="0"/>
    <w:rPr>
      <w:sz w:val="18"/>
    </w:rPr>
  </w:style>
  <w:style w:type="character" w:customStyle="1" w:styleId="43">
    <w:name w:val="普通(网站) Char"/>
    <w:link w:val="21"/>
    <w:qFormat/>
    <w:locked/>
    <w:uiPriority w:val="0"/>
    <w:rPr>
      <w:rFonts w:ascii="宋体" w:hAnsi="宋体" w:eastAsia="宋体"/>
      <w:sz w:val="24"/>
    </w:rPr>
  </w:style>
  <w:style w:type="character" w:customStyle="1" w:styleId="44">
    <w:name w:val="批注主题 Char"/>
    <w:link w:val="22"/>
    <w:semiHidden/>
    <w:qFormat/>
    <w:locked/>
    <w:uiPriority w:val="0"/>
    <w:rPr>
      <w:rFonts w:ascii="Times New Roman" w:hAnsi="Times New Roman" w:eastAsia="宋体"/>
      <w:b/>
      <w:kern w:val="2"/>
      <w:sz w:val="24"/>
    </w:rPr>
  </w:style>
  <w:style w:type="character" w:customStyle="1" w:styleId="45">
    <w:name w:val="页脚 字符"/>
    <w:basedOn w:val="26"/>
    <w:qFormat/>
    <w:uiPriority w:val="99"/>
  </w:style>
  <w:style w:type="character" w:customStyle="1" w:styleId="46">
    <w:name w:val="正文文本 字符1"/>
    <w:semiHidden/>
    <w:qFormat/>
    <w:uiPriority w:val="0"/>
    <w:rPr>
      <w:rFonts w:ascii="Times New Roman" w:hAnsi="Times New Roman" w:eastAsia="宋体"/>
      <w:sz w:val="24"/>
    </w:rPr>
  </w:style>
  <w:style w:type="character" w:customStyle="1" w:styleId="47">
    <w:name w:val="表格 Char"/>
    <w:link w:val="48"/>
    <w:qFormat/>
    <w:locked/>
    <w:uiPriority w:val="0"/>
    <w:rPr>
      <w:rFonts w:ascii="宋体"/>
      <w:sz w:val="21"/>
    </w:rPr>
  </w:style>
  <w:style w:type="paragraph" w:customStyle="1" w:styleId="48">
    <w:name w:val="表格"/>
    <w:basedOn w:val="6"/>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3">
    <w:name w:val="表格内容"/>
    <w:basedOn w:val="54"/>
    <w:next w:val="1"/>
    <w:qFormat/>
    <w:uiPriority w:val="0"/>
    <w:pPr>
      <w:spacing w:line="240" w:lineRule="atLeast"/>
    </w:pPr>
    <w:rPr>
      <w:rFonts w:eastAsia="宋体"/>
      <w:szCs w:val="20"/>
    </w:rPr>
  </w:style>
  <w:style w:type="paragraph" w:customStyle="1" w:styleId="54">
    <w:name w:val="表格标题"/>
    <w:basedOn w:val="8"/>
    <w:next w:val="53"/>
    <w:qFormat/>
    <w:uiPriority w:val="0"/>
    <w:pPr>
      <w:spacing w:line="360" w:lineRule="auto"/>
      <w:jc w:val="center"/>
    </w:pPr>
    <w:rPr>
      <w:rFonts w:eastAsia="黑体"/>
      <w:sz w:val="24"/>
      <w:szCs w:val="24"/>
    </w:rPr>
  </w:style>
  <w:style w:type="table" w:customStyle="1" w:styleId="55">
    <w:name w:val="Table Normal"/>
    <w:semiHidden/>
    <w:unhideWhenUsed/>
    <w:qFormat/>
    <w:uiPriority w:val="0"/>
    <w:tblPr>
      <w:tblCellMar>
        <w:top w:w="0" w:type="dxa"/>
        <w:left w:w="0" w:type="dxa"/>
        <w:bottom w:w="0" w:type="dxa"/>
        <w:right w:w="0" w:type="dxa"/>
      </w:tblCellMar>
    </w:tblPr>
  </w:style>
  <w:style w:type="character" w:customStyle="1" w:styleId="56">
    <w:name w:val="font51"/>
    <w:basedOn w:val="26"/>
    <w:qFormat/>
    <w:uiPriority w:val="0"/>
    <w:rPr>
      <w:rFonts w:ascii="宋体" w:hAnsi="宋体" w:eastAsia="宋体" w:cs="宋体"/>
      <w:b/>
      <w:bCs/>
      <w:color w:val="000000"/>
      <w:sz w:val="22"/>
      <w:szCs w:val="22"/>
      <w:u w:val="none"/>
    </w:rPr>
  </w:style>
  <w:style w:type="character" w:customStyle="1" w:styleId="57">
    <w:name w:val="font61"/>
    <w:basedOn w:val="26"/>
    <w:qFormat/>
    <w:uiPriority w:val="0"/>
    <w:rPr>
      <w:rFonts w:ascii="宋体" w:hAnsi="宋体" w:eastAsia="宋体" w:cs="宋体"/>
      <w:color w:val="000000"/>
      <w:sz w:val="22"/>
      <w:szCs w:val="22"/>
      <w:u w:val="none"/>
    </w:rPr>
  </w:style>
  <w:style w:type="character" w:customStyle="1" w:styleId="58">
    <w:name w:val="font71"/>
    <w:basedOn w:val="26"/>
    <w:qFormat/>
    <w:uiPriority w:val="0"/>
    <w:rPr>
      <w:rFonts w:hint="default" w:ascii="Times New Roman" w:hAnsi="Times New Roman" w:cs="Times New Roman"/>
      <w:color w:val="000000"/>
      <w:sz w:val="22"/>
      <w:szCs w:val="22"/>
      <w:u w:val="none"/>
    </w:rPr>
  </w:style>
  <w:style w:type="character" w:customStyle="1" w:styleId="59">
    <w:name w:val="font21"/>
    <w:basedOn w:val="26"/>
    <w:qFormat/>
    <w:uiPriority w:val="0"/>
    <w:rPr>
      <w:rFonts w:ascii="宋体" w:hAnsi="宋体" w:eastAsia="宋体" w:cs="宋体"/>
      <w:b/>
      <w:bCs/>
      <w:color w:val="000000"/>
      <w:sz w:val="22"/>
      <w:szCs w:val="22"/>
      <w:u w:val="none"/>
    </w:rPr>
  </w:style>
  <w:style w:type="character" w:customStyle="1" w:styleId="60">
    <w:name w:val="font11"/>
    <w:basedOn w:val="26"/>
    <w:qFormat/>
    <w:uiPriority w:val="0"/>
    <w:rPr>
      <w:rFonts w:hint="eastAsia" w:ascii="宋体" w:hAnsi="宋体" w:eastAsia="宋体" w:cs="宋体"/>
      <w:b/>
      <w:bCs/>
      <w:color w:val="000000"/>
      <w:sz w:val="24"/>
      <w:szCs w:val="24"/>
      <w:u w:val="none"/>
    </w:rPr>
  </w:style>
  <w:style w:type="character" w:customStyle="1" w:styleId="61">
    <w:name w:val="font41"/>
    <w:basedOn w:val="26"/>
    <w:qFormat/>
    <w:uiPriority w:val="0"/>
    <w:rPr>
      <w:rFonts w:hint="default" w:ascii="Times New Roman" w:hAnsi="Times New Roman" w:cs="Times New Roman"/>
      <w:b/>
      <w:bCs/>
      <w:color w:val="000000"/>
      <w:sz w:val="24"/>
      <w:szCs w:val="24"/>
      <w:u w:val="none"/>
    </w:rPr>
  </w:style>
  <w:style w:type="paragraph" w:customStyle="1" w:styleId="62">
    <w:name w:val="表头"/>
    <w:next w:val="1"/>
    <w:qFormat/>
    <w:uiPriority w:val="0"/>
    <w:pPr>
      <w:spacing w:line="480" w:lineRule="exact"/>
      <w:ind w:left="0" w:firstLine="0" w:firstLineChars="0"/>
      <w:jc w:val="center"/>
    </w:pPr>
    <w:rPr>
      <w:rFonts w:ascii="Times New Roman" w:hAnsi="Times New Roman" w:eastAsia="宋体" w:cs="Times New Roman"/>
      <w:b/>
      <w:bCs/>
      <w:sz w:val="21"/>
      <w:szCs w:val="24"/>
      <w:lang w:val="zh-CN"/>
    </w:rPr>
  </w:style>
  <w:style w:type="paragraph" w:customStyle="1" w:styleId="63">
    <w:name w:val="图、表标题"/>
    <w:basedOn w:val="1"/>
    <w:qFormat/>
    <w:uiPriority w:val="0"/>
    <w:pPr>
      <w:adjustRightInd w:val="0"/>
      <w:snapToGrid w:val="0"/>
      <w:spacing w:line="360" w:lineRule="auto"/>
      <w:jc w:val="center"/>
    </w:pPr>
    <w:rPr>
      <w:rFonts w:ascii="Times New Roman" w:hAnsi="Times New Roman"/>
      <w:b/>
      <w:sz w:val="24"/>
    </w:rPr>
  </w:style>
  <w:style w:type="paragraph" w:customStyle="1" w:styleId="64">
    <w:name w:val="表格12"/>
    <w:basedOn w:val="1"/>
    <w:qFormat/>
    <w:uiPriority w:val="0"/>
    <w:pPr>
      <w:spacing w:line="240" w:lineRule="auto"/>
      <w:ind w:firstLine="0" w:firstLineChars="0"/>
      <w:jc w:val="center"/>
    </w:pPr>
    <w:rPr>
      <w:sz w:val="21"/>
    </w:rPr>
  </w:style>
  <w:style w:type="paragraph" w:customStyle="1" w:styleId="65">
    <w:name w:val="表标题"/>
    <w:basedOn w:val="23"/>
    <w:autoRedefine/>
    <w:qFormat/>
    <w:uiPriority w:val="99"/>
    <w:pPr>
      <w:adjustRightInd w:val="0"/>
      <w:spacing w:after="60" w:line="500" w:lineRule="exact"/>
      <w:ind w:firstLine="0" w:firstLineChars="0"/>
      <w:jc w:val="center"/>
    </w:pPr>
    <w:rPr>
      <w:rFonts w:ascii="Calibri" w:hAnsi="Calibri" w:cs="Calibri"/>
      <w:b/>
      <w:bCs/>
      <w:kern w:val="2"/>
    </w:rPr>
  </w:style>
  <w:style w:type="paragraph" w:customStyle="1" w:styleId="66">
    <w:name w:val="1统一表头图底样式"/>
    <w:basedOn w:val="67"/>
    <w:next w:val="1"/>
    <w:autoRedefine/>
    <w:qFormat/>
    <w:uiPriority w:val="99"/>
    <w:rPr>
      <w:rFonts w:ascii="Times New Roman" w:hAnsi="Times New Roman" w:cs="Times New Roman"/>
      <w:sz w:val="21"/>
      <w:szCs w:val="21"/>
    </w:rPr>
  </w:style>
  <w:style w:type="paragraph" w:customStyle="1" w:styleId="67">
    <w:name w:val="11111111111"/>
    <w:basedOn w:val="1"/>
    <w:autoRedefine/>
    <w:qFormat/>
    <w:uiPriority w:val="99"/>
    <w:pPr>
      <w:jc w:val="center"/>
    </w:pPr>
    <w:rPr>
      <w:rFonts w:ascii="Calibri" w:hAnsi="Calibri" w:cs="Calibri"/>
      <w:b/>
      <w:bCs/>
      <w:kern w:val="0"/>
      <w:sz w:val="20"/>
      <w:szCs w:val="20"/>
    </w:rPr>
  </w:style>
  <w:style w:type="paragraph" w:customStyle="1" w:styleId="68">
    <w:name w:val="1统一表样式"/>
    <w:basedOn w:val="1"/>
    <w:autoRedefine/>
    <w:qFormat/>
    <w:uiPriority w:val="99"/>
    <w:pPr>
      <w:jc w:val="center"/>
    </w:pPr>
  </w:style>
  <w:style w:type="paragraph" w:customStyle="1" w:styleId="69">
    <w:name w:val="1统一正文样式"/>
    <w:basedOn w:val="1"/>
    <w:autoRedefine/>
    <w:qFormat/>
    <w:uiPriority w:val="99"/>
    <w:pPr>
      <w:spacing w:line="360" w:lineRule="auto"/>
      <w:ind w:firstLine="200" w:firstLineChars="200"/>
      <w:jc w:val="left"/>
    </w:pPr>
  </w:style>
  <w:style w:type="character" w:customStyle="1" w:styleId="70">
    <w:name w:val="标题 2 Char Char"/>
    <w:qFormat/>
    <w:uiPriority w:val="0"/>
    <w:rPr>
      <w:rFonts w:eastAsia="宋体"/>
      <w:b/>
      <w:sz w:val="24"/>
      <w:lang w:val="en-US" w:eastAsia="zh-CN" w:bidi="ar-SA"/>
    </w:rPr>
  </w:style>
  <w:style w:type="paragraph" w:customStyle="1" w:styleId="71">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72">
    <w:name w:val="Table Text"/>
    <w:basedOn w:val="1"/>
    <w:semiHidden/>
    <w:qFormat/>
    <w:uiPriority w:val="0"/>
    <w:rPr>
      <w:rFonts w:ascii="宋体" w:hAnsi="宋体" w:eastAsia="宋体" w:cs="宋体"/>
      <w:sz w:val="27"/>
      <w:szCs w:val="27"/>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wmf"/><Relationship Id="rId25" Type="http://schemas.openxmlformats.org/officeDocument/2006/relationships/oleObject" Target="embeddings/oleObject1.bin"/><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105</Pages>
  <Words>21423</Words>
  <Characters>22682</Characters>
  <Lines>13</Lines>
  <Paragraphs>3</Paragraphs>
  <TotalTime>23</TotalTime>
  <ScaleCrop>false</ScaleCrop>
  <LinksUpToDate>false</LinksUpToDate>
  <CharactersWithSpaces>22865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鄭梓敬</cp:lastModifiedBy>
  <cp:lastPrinted>2026-03-11T08:59:00Z</cp:lastPrinted>
  <dcterms:modified xsi:type="dcterms:W3CDTF">2026-04-01T01:53:39Z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BB4D74BF3FF84882BE47402C8DC6FDC0_13</vt:lpwstr>
  </property>
  <property fmtid="{D5CDD505-2E9C-101B-9397-08002B2CF9AE}" pid="4" name="KSOTemplateDocerSaveRecord">
    <vt:lpwstr>eyJoZGlkIjoiYTQ2ODVmYzhlYTMyNTgyMDgwMzQ3MWZiZDJjMzc2ZGIiLCJ1c2VySWQiOiIxMTUzNjkxMDkzIn0=</vt:lpwstr>
  </property>
</Properties>
</file>