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杜集区2025年计划执行情况与2026年计划草案报告解读</w:t>
      </w:r>
      <w:bookmarkStart w:id="0" w:name="_GoBack"/>
      <w:bookmarkEnd w:id="0"/>
    </w:p>
    <w:p w14:paraId="3966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B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2026年1月12日开幕的杜集区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第十一届人民代表大会第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，印发了《关于杜集区2025年国民经济和社会发展计划执行情况与2026年国民经济和社会发展计划草案的报告（书面）》，提请代表们审议，并请政协委员和其他列席人员提出意见。</w:t>
      </w:r>
    </w:p>
    <w:p w14:paraId="0E33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一、2025年取得成效</w:t>
      </w:r>
    </w:p>
    <w:p w14:paraId="31DF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2025年作为杜集区彻底告别煤炭资源依赖的转型首年，全区上下攻坚克难，在化解传统产业下滑压力、破解生态治理等历史难题的同时，实现了经济社会平稳发展。初步统计，地区生产总值达162亿元、增长5.5%。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8BE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成效一：产业升级步伐稳健</w:t>
      </w:r>
    </w:p>
    <w:p w14:paraId="250B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一是制造业综合实力持续提升。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全年新增规模以上工业企业18家。合众机械牵头制定多项国际行标，智能环保输送装备远销海外；伊特纳二期、鹏程新能源建成投产，坤泰变速器、天一汽车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财发二期、华企新材料建成投产，巨杰铝业顺利推进，新材料产业产值比重占规上工业产值比重达60%。</w:t>
      </w:r>
    </w:p>
    <w:p w14:paraId="16E8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二是商贸服务业发展提质扩容。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组织商户参与以旧换新活动，发放补贴资金1007万元。同时策划系列主题促销活动，构建 “政策引导+精准投放” 机制并发放241万元消费券，带动限额以上消费品零售额增长12.2%。朔西湖水云间·轻奢小筑入选2025年度“皖美”金牌民宿20强。</w:t>
      </w:r>
    </w:p>
    <w:p w14:paraId="5408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三是现代农业发展稳中有进。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农产品供给保障有效，规模以上农产品加工企业达13家，创建省级长三角绿色农产品生产加工基地3个，培育省级数字农业工厂3家，2025年高标准农田建设规模1.1万亩，已全面实施。</w:t>
      </w:r>
    </w:p>
    <w:p w14:paraId="5283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成效二：创新能力不断增强</w:t>
      </w:r>
    </w:p>
    <w:p w14:paraId="1308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一是创新主体持续增加。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加快企业数字化改造步伐，打造基础级智能工厂12家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规上工业企业数字化转型覆盖率达100%。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高新技术企业达</w:t>
      </w:r>
      <w:r>
        <w:rPr>
          <w:rFonts w:hint="eastAsia" w:ascii="仿宋_GB2312" w:hAnsi="仿宋_GB2312" w:eastAsia="仿宋_GB2312" w:cs="仿宋_GB2312"/>
          <w:sz w:val="32"/>
          <w:szCs w:val="32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家，省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专精特新企业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达37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。合众机械入选为专精特新重点“小巨人”企业，为淮北市唯一入选企业。</w:t>
      </w:r>
    </w:p>
    <w:p w14:paraId="2749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二是创新平台加快建设。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中冶淮海、路特威机械2家企业获批省级企业研发中心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市级企业研发中心等科技创新平台已达16家。</w:t>
      </w:r>
    </w:p>
    <w:p w14:paraId="27A9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三是产业创新能力持续提升。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实施莫来精铸砂粉厂改造项目、年产2万吨锆英砂粉生产线等技术改造项目18个。推动水泥、建材企业开展绿色化改造，新增省级绿色工厂4家，新增省级新产品14个、“三首”产品2个。</w:t>
      </w:r>
    </w:p>
    <w:p w14:paraId="397F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三：</w:t>
      </w:r>
      <w:r>
        <w:rPr>
          <w:rFonts w:hint="eastAsia" w:ascii="黑体" w:hAnsi="黑体" w:eastAsia="黑体" w:cs="黑体"/>
          <w:sz w:val="32"/>
          <w:szCs w:val="32"/>
        </w:rPr>
        <w:t>改革攻坚落地见效</w:t>
      </w:r>
    </w:p>
    <w:p w14:paraId="6C11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一是营商环境持续优化。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推进24 件“高效办成一件事”，企业和群众办事平均跑动次数减少94%，办理总时限压缩68%，提交材料减少58%。今年以来，免罚案件50件，免罚金额610余万元，解决企业诉求40个。</w:t>
      </w:r>
    </w:p>
    <w:p w14:paraId="143B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二是财税金融改革深化。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组织开展全区政银企担对接会、“商会贷”融资服务座谈会等银企对接活动，盛典担保新增政银担业务100户、金额6.17亿元，天汇小贷今年以来发放贷款105笔、金额3.92亿元。</w:t>
      </w:r>
    </w:p>
    <w:p w14:paraId="2B55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三是国企改革成效显著。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推动国企向市场化、实体化转型。东昱建投承建工程项目26个，总投资77.87亿元。天昱工投设立基金6支，累计完成基金投资5.3亿元，储备高端装备制造、新能源、新材料等优势主导产业项目8个。</w:t>
      </w:r>
    </w:p>
    <w:p w14:paraId="3ED8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成效四：</w:t>
      </w:r>
      <w:r>
        <w:rPr>
          <w:rFonts w:hint="eastAsia" w:ascii="黑体" w:hAnsi="黑体" w:eastAsia="黑体" w:cs="黑体"/>
          <w:sz w:val="32"/>
          <w:szCs w:val="32"/>
        </w:rPr>
        <w:t>重大项目加快推进</w:t>
      </w:r>
    </w:p>
    <w:p w14:paraId="2C426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一是项目建设再提速。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开展重大项目提升年活动，亿元以上项目开工38个，竣工26个。卫家健康、合众机械、巨杰铝业、伊特纳新能源、坤泰变速器等10余家企业纷纷上马二期、三期项目，企业再投资力度进一步加大。</w:t>
      </w:r>
    </w:p>
    <w:p w14:paraId="49A8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二是项目储备再优化。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中央预算内投资、政府专项债和“两重”“两新”超长期特别国债重点支持领域和方向，共谋划向上争取资金储备项目69个，其中5个项目已获批中央预算内资金1.4亿元。朔里镇以工代赈项目为全市第一个获批该专项支持项目。</w:t>
      </w:r>
    </w:p>
    <w:p w14:paraId="5FD9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三是招商引资再提质。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落实县级干部全员招商制度，全区新签约亿元以上招商引资项目31个。</w:t>
      </w:r>
    </w:p>
    <w:p w14:paraId="1B4F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成效五：</w:t>
      </w:r>
      <w:r>
        <w:rPr>
          <w:rFonts w:hint="eastAsia" w:ascii="黑体" w:hAnsi="黑体" w:eastAsia="黑体" w:cs="黑体"/>
          <w:sz w:val="32"/>
          <w:szCs w:val="32"/>
        </w:rPr>
        <w:t>持续推动对外开放</w:t>
      </w:r>
    </w:p>
    <w:p w14:paraId="1D7E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一是长三角一体化发展强劲势。加强与沪苏浙高校开展技术合作企业的对接服务，技术合同认定登记成交额达45.7亿元；沪苏浙在杜投资亿元以上纳统项目达19个，到位资金37.52亿元，带动全区产业升级。  </w:t>
      </w:r>
    </w:p>
    <w:p w14:paraId="2535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二是融徐发展迅速强新质。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与徐州市铜山区相关部门签订《淮北市杜集区生态环境分局与徐州市铜山区生态环境局合作协议》等多项合作协议。共同开展跨界水体环境治理、大气污染联防联控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重点领域协同社会治理。皖北首家省际毗邻地区法务中心——段园省际毗邻地区新型功能区法务中心正式运营。</w:t>
      </w:r>
    </w:p>
    <w:p w14:paraId="207F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三是园区提档升级强承载。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“一区多园”机制成效显著，2025年杜集经开区经营收入增长42.9%，规上工业总产值增长14.2%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成立天昱工投，积极参与园区建设运营、基金招商及企业融资等工作。S238南侧雨污管网提升、北区排涝、南区引流等18个园区基础设施改造工程全面竣工。</w:t>
      </w:r>
    </w:p>
    <w:p w14:paraId="3007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成效六：</w:t>
      </w:r>
      <w:r>
        <w:rPr>
          <w:rFonts w:hint="eastAsia" w:ascii="黑体" w:hAnsi="黑体" w:eastAsia="黑体" w:cs="黑体"/>
          <w:sz w:val="32"/>
          <w:szCs w:val="32"/>
        </w:rPr>
        <w:t>新型城镇加快建设</w:t>
      </w:r>
    </w:p>
    <w:p w14:paraId="0C75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一是城乡空间布局优化。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累计批复8个成片开发方案，正在编制单元规划5个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推行“标准地 + 弹性出让”供应模式，已完成9宗、824.59亩工业用地20年弹性年期出让，高效适配企业发展需求。</w:t>
      </w:r>
    </w:p>
    <w:p w14:paraId="0C04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二是城市功能不断完善。</w:t>
      </w:r>
      <w:r>
        <w:rPr>
          <w:rFonts w:hint="eastAsia" w:ascii="仿宋_GB2312" w:hAnsi="仿宋_GB2312" w:eastAsia="仿宋_GB2312" w:cs="仿宋_GB2312"/>
          <w:sz w:val="32"/>
          <w:szCs w:val="32"/>
        </w:rPr>
        <w:t>S238杜集段改建项目已竣工通车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完成公路养护提升33公里，养护大中修10公里。实施3个片区老旧小区改造，新建改建停车泊位200个。</w:t>
      </w:r>
    </w:p>
    <w:p w14:paraId="5163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三是农村现代化品质提升。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创建美丽宜居自然村庄12个，完成农村改厕399户。群众喝上引调水工程完工并投入运行。</w:t>
      </w:r>
    </w:p>
    <w:p w14:paraId="5D1B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成效七：</w:t>
      </w:r>
      <w:r>
        <w:rPr>
          <w:rFonts w:hint="eastAsia" w:ascii="黑体" w:hAnsi="黑体" w:eastAsia="黑体" w:cs="黑体"/>
          <w:sz w:val="32"/>
          <w:szCs w:val="32"/>
        </w:rPr>
        <w:t>聚焦公共服务提质</w:t>
      </w:r>
    </w:p>
    <w:p w14:paraId="6971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一是聚力推进稳就业促增收。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新增城镇就业4610人，新开发公益性岗位10个，安置就业困难人员119名。城乡居民基本养老保险参保15.14万人。</w:t>
      </w:r>
    </w:p>
    <w:p w14:paraId="5449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二是聚力提升公共服务质效。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龙湖九年一贯制学校建成投入使用，八中教学楼与食堂改造工程竣工。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淮北矿工总医院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成立城市紧密型医疗集团。完成省级示范嵌入式石台镇、段园镇社区养老综合服务中心建设。</w:t>
      </w:r>
    </w:p>
    <w:p w14:paraId="7A468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三是聚力坚守除险保安底线。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持续开展安全生产治本攻坚三年行动，抓细抓实城镇燃气、建筑工地、危险化学品等重点行业领域安全防范治理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石台派出所获评全省“枫桥式公安派出所” 。全力推进综治中心规范化建设，6个综治中心建成投入使用。</w:t>
      </w:r>
    </w:p>
    <w:p w14:paraId="2CDB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</w:t>
      </w:r>
      <w:r>
        <w:rPr>
          <w:rFonts w:hint="eastAsia" w:ascii="黑体" w:hAnsi="黑体" w:eastAsia="黑体" w:cs="黑体"/>
          <w:sz w:val="32"/>
          <w:szCs w:val="32"/>
        </w:rPr>
        <w:t>工作</w:t>
      </w:r>
    </w:p>
    <w:p w14:paraId="708C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2026年是“十五五”开局之年，也是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杜集</w:t>
      </w:r>
      <w:r>
        <w:rPr>
          <w:rFonts w:hint="eastAsia" w:ascii="仿宋_GB2312" w:hAnsi="仿宋_GB2312" w:eastAsia="仿宋_GB2312" w:cs="仿宋_GB2312"/>
          <w:sz w:val="32"/>
          <w:szCs w:val="32"/>
        </w:rPr>
        <w:t>区加快产业转型升级、推进区域协调发展的重要窗口期，我们将聚焦高质量发展首要任务，努力打造产业转型样板区、省际合作实验区、矿区蝶变示范区，谱写产业兴、生态美、百姓富的现代化美好杜集新篇章。报告提出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抓好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方面工作：</w:t>
      </w:r>
    </w:p>
    <w:p w14:paraId="79EF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加快推动产业转型升级，构建现代化产业体系</w:t>
      </w:r>
    </w:p>
    <w:p w14:paraId="1865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一是积极培育新质生产力。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合众机械、财发铝业等骨干企业实现产值营收再上新台阶。以高岭土产业为基础，延伸产业链条，不断提升产业集聚度和竞争力。积极布局新能源、生物医药、人工智能等新兴未来产业，加速形成新的经济增长点。</w:t>
      </w:r>
    </w:p>
    <w:p w14:paraId="4193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二是提升制造业发展能级。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全力推动博汇世通、华企铝业等项目达产达效，同时新谋划并推进专精特新产业园、新能源汽车零部件产业园等一批投资体量大、带动能力强的标志性重大项目落地开工，为制造业发展积蓄后劲。</w:t>
      </w:r>
    </w:p>
    <w:p w14:paraId="1163C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三是促进商贸服务业提质扩量。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强做优东湖商圈核心极，推动商业载体业态创新升级。持续拓展汽车、家电、家装等领域“以旧换新”覆盖。全力推进理工学院配套工程、高岳农贸市集、望湖新城商业街等重点商业项目建设，同步启动业态招引。</w:t>
      </w:r>
    </w:p>
    <w:p w14:paraId="1DAB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提升改革开放水平，服务融入新发展格局</w:t>
      </w:r>
    </w:p>
    <w:p w14:paraId="71941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一是打造一流营商环境。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深化“高效办成一件事”改革，实现“一次告知、一表申请、一套材料、一窗（端）受理”。做好优化营商环境项目攻坚专项行动，扩大“拿地即开工”改革成果应用。全面贯彻市场准入负面清单制度。</w:t>
      </w:r>
    </w:p>
    <w:p w14:paraId="2894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二是扩大对外开放合作。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加快建设徐淮产业合作园区。推动与中国矿大、合肥工业大学等高校共建科技成果转移转化中心。深化与徐州在教育、医疗、文化等领域合作，实现资源共享、优势互补，积极融入徐州发展辐射圈。</w:t>
      </w:r>
    </w:p>
    <w:p w14:paraId="7675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三是提升园区承载能级。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持续完善交通路网体系，完成地表水厂二期扩建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提升园区防洪排涝能力。聚焦产业发展需求，推进人才公寓及配套商业设施建设，盘活闲置厂房和低效用地，提高土地集约利用效率。</w:t>
      </w:r>
    </w:p>
    <w:p w14:paraId="4543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强化创新平台支撑，培育高质量发展新动能</w:t>
      </w:r>
    </w:p>
    <w:p w14:paraId="7FAD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一是完善科研平台体系。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强化统筹规划布局，重点建设以基础研究、应用基础研究为重点的省实验室体系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充分发挥行业领军企业、创业投资机构等主力军作用，建设一批低成本、便利化、全要素、开放式的科技企业孵化器。</w:t>
      </w:r>
    </w:p>
    <w:p w14:paraId="7C3D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二是提升市场主体创新能力。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力争培育一批拥有核心技术、知识产权清晰、科研实力强、人才资源优势明显的高新技术企业集群。设立高企培育库，组建申报梯队。加大科技型中小企业培育力度，在政策、项目、服务上进行支持。</w:t>
      </w:r>
    </w:p>
    <w:p w14:paraId="0F0B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三是加强产学研合作工作。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围绕主导产业产业转型升级和培育新兴产业，做好与中国科学技术大学、中国矿业大学、合肥工业大学、安徽理工大学等高校院所的产学研合作。</w:t>
      </w:r>
    </w:p>
    <w:p w14:paraId="5B96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四、统筹城乡协调发展，环境品质不断改善</w:t>
      </w:r>
    </w:p>
    <w:p w14:paraId="5A40A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一是城镇品质持续提升。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加快启动杜集区排涝设施提升改造工程。扎实完成7个老旧小区项目改造，养护升级城市路网34公里。</w:t>
      </w:r>
    </w:p>
    <w:p w14:paraId="3296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二是乡村振兴持续推进。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新建高标准农田1万亩。建成和美乡村3个精品示范村，4个省级中心村，1个市级中心村。</w:t>
      </w:r>
    </w:p>
    <w:p w14:paraId="76A47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三是绿色转型实现突破。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高标准打好蓝天保卫战，全方位推进净土保卫战，扎实推进环保服务企业“十百千”行动，建立“点对点”帮扶、“一对一”体检机制，推动服务企业各项工作落实。</w:t>
      </w:r>
    </w:p>
    <w:p w14:paraId="7979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增强民生保障，大力增进民生福祉</w:t>
      </w:r>
    </w:p>
    <w:p w14:paraId="2515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一是完善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医疗体系。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实施开渠中学原教学楼、宿舍楼及运动场地等维修改造，改造袁庄实验学校等7所城镇规划保留学校校舍及附属设施，新增学位300个以上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深化区人民医院与徐州市第一人民医院医联体建设，提高与徐州医科大学附属医院、徐州中心医院等合作水平。</w:t>
      </w:r>
    </w:p>
    <w:p w14:paraId="31D6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是促进就业和社会保障。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落实就业困难人员灵活就业社保补贴等政策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常态化开展“春风行动”“就业援助月”等专场招聘活动。持续推动2025年社会保险参保扩面提质增效年行动。</w:t>
      </w:r>
    </w:p>
    <w:p w14:paraId="4F46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是推进文旅产业融合发展。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开展“四季村晚”、“非遗年货节”等群众喜闻乐见的主题文化活动，依托“龙脊天路”杜集段建旅游服务驿站推动“农产品”变“旅游商品”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规划“夜经济”，用朔西湖、百莲百荷谋划夜游项目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加快梧桐民宿、朔西湖月亮湾建设。</w:t>
      </w:r>
    </w:p>
    <w:p w14:paraId="5DBD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提升平安水平，构建平安和谐社会格局</w:t>
      </w:r>
    </w:p>
    <w:p w14:paraId="65B9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一是提升应急处灾能力。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加快龙岱河、新汴河上游生态治理等项目建设，谋划东部山区防洪、开发区园区排涝、段园片区排涝等重点基础设施项目。</w:t>
      </w:r>
    </w:p>
    <w:p w14:paraId="7349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二是铸牢安全生产防线。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深化重大事故隐患专项排查，坚决遏制重特大事故发生。</w:t>
      </w:r>
    </w:p>
    <w:p w14:paraId="3287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三是提高社会治理效能。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夯实治安基础管控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积极推进信访工作法治化，不断提高信访工作水平，严格落实“7×24小时”舆情导控机制，确保舆情持续平稳。提高物业管理覆盖面和服务水平，创新基层网格治理模式。</w:t>
      </w:r>
    </w:p>
    <w:p w14:paraId="0CAF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AB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0149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0149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DF6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267E"/>
    <w:rsid w:val="11C53DFC"/>
    <w:rsid w:val="2AE205B7"/>
    <w:rsid w:val="2C7D32FB"/>
    <w:rsid w:val="434E3CE0"/>
    <w:rsid w:val="44807B93"/>
    <w:rsid w:val="44FA64FD"/>
    <w:rsid w:val="4DE77B3D"/>
    <w:rsid w:val="4EB94362"/>
    <w:rsid w:val="4F2D639A"/>
    <w:rsid w:val="5C96601C"/>
    <w:rsid w:val="60164F7F"/>
    <w:rsid w:val="6D0D3A90"/>
    <w:rsid w:val="713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 w:val="0"/>
      <w:ind w:firstLine="18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  <w:style w:type="paragraph" w:customStyle="1" w:styleId="1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4289</Words>
  <Characters>4446</Characters>
  <Lines>0</Lines>
  <Paragraphs>0</Paragraphs>
  <TotalTime>8</TotalTime>
  <ScaleCrop>false</ScaleCrop>
  <LinksUpToDate>false</LinksUpToDate>
  <CharactersWithSpaces>4461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2026-04-09T00:34:00Z</dcterms:created>
  <dc:creator>与孩子一起看风景</dc:creator>
  <cp:lastModifiedBy>与孩子一起看风景</cp:lastModifiedBy>
  <dcterms:modified xsi:type="dcterms:W3CDTF">2026-04-10T04:11:44Z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CC791ACD81E64F11BA913032419C672E_11</vt:lpwstr>
  </property>
  <property fmtid="{D5CDD505-2E9C-101B-9397-08002B2CF9AE}" pid="4" name="KSOTemplateDocerSaveRecord">
    <vt:lpwstr>eyJoZGlkIjoiZWE0ODA2YWY1ZDRhYzZjODc5ZWQ0NGNmYWFkMzY4ZTYiLCJ1c2VySWQiOiIzNDA4MDc4NjkifQ==</vt:lpwstr>
  </property>
</Properties>
</file>