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CDE2D6">
      <w:pPr>
        <w:rPr>
          <w:rFonts w:hint="eastAsia" w:ascii="仿宋_GB2312" w:hAnsi="仿宋_GB2312" w:eastAsia="仿宋_GB2312" w:cs="仿宋_GB2312"/>
          <w:sz w:val="36"/>
          <w:szCs w:val="36"/>
        </w:rPr>
      </w:pPr>
    </w:p>
    <w:p w14:paraId="4F98350C">
      <w:pPr>
        <w:adjustRightInd w:val="0"/>
        <w:snapToGrid w:val="0"/>
        <w:ind w:firstLine="0" w:firstLineChars="0"/>
        <w:outlineLvl w:val="0"/>
        <w:rPr>
          <w:rFonts w:hint="eastAsia" w:ascii="方正小标宋_GBK" w:eastAsia="方正小标宋_GBK"/>
          <w:bCs/>
          <w:color w:val="auto"/>
          <w:sz w:val="72"/>
          <w:szCs w:val="72"/>
        </w:rPr>
      </w:pPr>
    </w:p>
    <w:p w14:paraId="253DF2CF">
      <w:pPr>
        <w:adjustRightInd w:val="0"/>
        <w:snapToGrid w:val="0"/>
        <w:ind w:firstLine="0" w:firstLineChars="0"/>
        <w:jc w:val="center"/>
        <w:outlineLvl w:val="0"/>
        <w:rPr>
          <w:rFonts w:hint="eastAsia"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14:paraId="4B992B94">
      <w:pPr>
        <w:adjustRightInd w:val="0"/>
        <w:snapToGrid w:val="0"/>
        <w:spacing w:before="249" w:beforeLines="80"/>
        <w:ind w:firstLine="0" w:firstLineChars="0"/>
        <w:jc w:val="center"/>
        <w:rPr>
          <w:rFonts w:hint="eastAsia" w:ascii="楷体_GB2312" w:eastAsia="楷体_GB2312"/>
          <w:bCs/>
          <w:color w:val="auto"/>
          <w:sz w:val="48"/>
          <w:szCs w:val="48"/>
        </w:rPr>
      </w:pPr>
      <w:r>
        <w:rPr>
          <w:rFonts w:hint="eastAsia" w:ascii="楷体_GB2312" w:eastAsia="楷体_GB2312"/>
          <w:bCs/>
          <w:color w:val="auto"/>
          <w:sz w:val="48"/>
          <w:szCs w:val="48"/>
        </w:rPr>
        <w:t>（污染影响类）</w:t>
      </w:r>
    </w:p>
    <w:p w14:paraId="1458195F">
      <w:pPr>
        <w:ind w:firstLine="0" w:firstLineChars="0"/>
        <w:rPr>
          <w:rFonts w:eastAsia="仿宋"/>
          <w:color w:val="auto"/>
          <w:sz w:val="52"/>
          <w:szCs w:val="52"/>
        </w:rPr>
      </w:pPr>
    </w:p>
    <w:p w14:paraId="68610350">
      <w:pPr>
        <w:ind w:firstLine="0" w:firstLineChars="0"/>
        <w:rPr>
          <w:rFonts w:eastAsia="仿宋"/>
          <w:color w:val="auto"/>
          <w:sz w:val="44"/>
          <w:szCs w:val="44"/>
        </w:rPr>
      </w:pPr>
    </w:p>
    <w:p w14:paraId="10496AA6">
      <w:pPr>
        <w:ind w:firstLine="880"/>
        <w:rPr>
          <w:rFonts w:eastAsia="仿宋"/>
          <w:color w:val="auto"/>
          <w:sz w:val="44"/>
          <w:szCs w:val="44"/>
        </w:rPr>
      </w:pPr>
    </w:p>
    <w:p w14:paraId="30CA0CD5">
      <w:pPr>
        <w:adjustRightInd w:val="0"/>
        <w:snapToGrid w:val="0"/>
        <w:spacing w:line="288" w:lineRule="auto"/>
        <w:ind w:left="820" w:leftChars="342" w:firstLine="0" w:firstLineChars="0"/>
        <w:rPr>
          <w:rFonts w:hint="eastAsia" w:ascii="仿宋_GB2312" w:eastAsia="仿宋_GB2312"/>
          <w:color w:val="auto"/>
          <w:sz w:val="36"/>
          <w:szCs w:val="36"/>
          <w:u w:val="single"/>
        </w:rPr>
      </w:pPr>
      <w:r>
        <w:rPr>
          <w:rFonts w:hint="eastAsia" w:ascii="仿宋_GB2312" w:eastAsia="仿宋_GB2312"/>
          <w:color w:val="auto"/>
          <w:sz w:val="36"/>
          <w:szCs w:val="36"/>
        </w:rPr>
        <w:t>项目名称：</w:t>
      </w:r>
      <w:r>
        <w:rPr>
          <w:rFonts w:hint="eastAsia" w:ascii="仿宋_GB2312" w:eastAsia="仿宋_GB2312"/>
          <w:color w:val="auto"/>
          <w:sz w:val="36"/>
          <w:szCs w:val="36"/>
          <w:u w:val="single"/>
          <w:lang w:val="en-US" w:eastAsia="zh-CN"/>
        </w:rPr>
        <w:t xml:space="preserve">    </w:t>
      </w:r>
      <w:bookmarkStart w:id="0" w:name="OLE_LINK1"/>
      <w:r>
        <w:rPr>
          <w:rFonts w:hint="eastAsia" w:ascii="仿宋_GB2312" w:eastAsia="仿宋_GB2312"/>
          <w:color w:val="auto"/>
          <w:sz w:val="36"/>
          <w:szCs w:val="36"/>
          <w:u w:val="single"/>
        </w:rPr>
        <w:t>年产4万吨道路桥梁支座项目</w:t>
      </w:r>
      <w:bookmarkEnd w:id="0"/>
      <w:r>
        <w:rPr>
          <w:rFonts w:hint="eastAsia" w:ascii="仿宋_GB2312" w:eastAsia="仿宋_GB2312"/>
          <w:color w:val="auto"/>
          <w:sz w:val="36"/>
          <w:szCs w:val="36"/>
          <w:u w:val="single"/>
          <w:lang w:val="en-US" w:eastAsia="zh-CN"/>
        </w:rPr>
        <w:t xml:space="preserve">     </w:t>
      </w:r>
    </w:p>
    <w:p w14:paraId="4FA09239">
      <w:pPr>
        <w:adjustRightInd w:val="0"/>
        <w:snapToGrid w:val="0"/>
        <w:spacing w:line="288" w:lineRule="auto"/>
        <w:ind w:firstLine="720" w:firstLineChars="200"/>
        <w:rPr>
          <w:rFonts w:ascii="仿宋_GB2312" w:eastAsia="仿宋_GB2312"/>
          <w:color w:val="auto"/>
          <w:sz w:val="36"/>
          <w:szCs w:val="36"/>
          <w:u w:val="single"/>
        </w:rPr>
      </w:pPr>
      <w:r>
        <w:rPr>
          <w:rFonts w:hint="eastAsia" w:ascii="仿宋_GB2312" w:eastAsia="仿宋_GB2312"/>
          <w:color w:val="auto"/>
          <w:sz w:val="36"/>
          <w:szCs w:val="36"/>
        </w:rPr>
        <w:t>建设单位（盖章）：</w:t>
      </w:r>
      <w:r>
        <w:rPr>
          <w:rFonts w:hint="eastAsia" w:ascii="仿宋_GB2312" w:eastAsia="仿宋_GB2312"/>
          <w:color w:val="auto"/>
          <w:sz w:val="36"/>
          <w:szCs w:val="36"/>
          <w:u w:val="single"/>
        </w:rPr>
        <w:t xml:space="preserve">  淮北路宝橡塑制品有限公司 </w:t>
      </w:r>
    </w:p>
    <w:p w14:paraId="349A11AA">
      <w:pPr>
        <w:adjustRightInd w:val="0"/>
        <w:snapToGrid w:val="0"/>
        <w:spacing w:line="288" w:lineRule="auto"/>
        <w:ind w:firstLine="720" w:firstLineChars="200"/>
        <w:rPr>
          <w:rFonts w:hint="eastAsia" w:ascii="仿宋_GB2312" w:eastAsia="仿宋_GB2312"/>
          <w:color w:val="auto"/>
          <w:sz w:val="36"/>
          <w:szCs w:val="36"/>
          <w:u w:val="single"/>
        </w:rPr>
      </w:pPr>
      <w:r>
        <w:rPr>
          <w:rFonts w:hint="eastAsia" w:ascii="仿宋_GB2312" w:eastAsia="仿宋_GB2312"/>
          <w:color w:val="auto"/>
          <w:sz w:val="36"/>
          <w:szCs w:val="36"/>
        </w:rPr>
        <w:t>编制日期：</w:t>
      </w:r>
      <w:r>
        <w:rPr>
          <w:rFonts w:hint="eastAsia" w:ascii="仿宋_GB2312" w:eastAsia="仿宋_GB2312"/>
          <w:color w:val="auto"/>
          <w:sz w:val="36"/>
          <w:szCs w:val="36"/>
          <w:u w:val="single"/>
        </w:rPr>
        <w:t xml:space="preserve"> </w:t>
      </w:r>
      <w:r>
        <w:rPr>
          <w:rFonts w:ascii="仿宋_GB2312" w:eastAsia="仿宋_GB2312"/>
          <w:color w:val="auto"/>
          <w:sz w:val="36"/>
          <w:szCs w:val="36"/>
          <w:u w:val="single"/>
        </w:rPr>
        <w:t xml:space="preserve">         </w:t>
      </w:r>
      <w:r>
        <w:rPr>
          <w:rFonts w:hint="eastAsia" w:ascii="仿宋_GB2312" w:eastAsia="仿宋_GB2312"/>
          <w:color w:val="auto"/>
          <w:sz w:val="36"/>
          <w:szCs w:val="36"/>
          <w:u w:val="single"/>
        </w:rPr>
        <w:t>二零二</w:t>
      </w:r>
      <w:r>
        <w:rPr>
          <w:rFonts w:hint="eastAsia" w:ascii="仿宋_GB2312" w:eastAsia="仿宋_GB2312"/>
          <w:color w:val="auto"/>
          <w:sz w:val="36"/>
          <w:szCs w:val="36"/>
          <w:u w:val="single"/>
          <w:lang w:val="en-US" w:eastAsia="zh-CN"/>
        </w:rPr>
        <w:t>六</w:t>
      </w:r>
      <w:r>
        <w:rPr>
          <w:rFonts w:hint="eastAsia" w:ascii="仿宋_GB2312" w:eastAsia="仿宋_GB2312"/>
          <w:color w:val="auto"/>
          <w:sz w:val="36"/>
          <w:szCs w:val="36"/>
          <w:u w:val="single"/>
        </w:rPr>
        <w:t>年</w:t>
      </w:r>
      <w:r>
        <w:rPr>
          <w:rFonts w:hint="eastAsia" w:ascii="仿宋_GB2312" w:eastAsia="仿宋_GB2312"/>
          <w:color w:val="auto"/>
          <w:sz w:val="36"/>
          <w:szCs w:val="36"/>
          <w:u w:val="single"/>
          <w:lang w:val="en-US" w:eastAsia="zh-CN"/>
        </w:rPr>
        <w:t>四</w:t>
      </w:r>
      <w:r>
        <w:rPr>
          <w:rFonts w:hint="eastAsia" w:ascii="仿宋_GB2312" w:eastAsia="仿宋_GB2312"/>
          <w:color w:val="auto"/>
          <w:sz w:val="36"/>
          <w:szCs w:val="36"/>
          <w:u w:val="single"/>
        </w:rPr>
        <w:t>月</w:t>
      </w:r>
      <w:r>
        <w:rPr>
          <w:rFonts w:ascii="仿宋_GB2312" w:eastAsia="仿宋_GB2312"/>
          <w:color w:val="auto"/>
          <w:sz w:val="36"/>
          <w:szCs w:val="36"/>
          <w:u w:val="single"/>
        </w:rPr>
        <w:t xml:space="preserve">           </w:t>
      </w:r>
    </w:p>
    <w:p w14:paraId="14D79842">
      <w:pPr>
        <w:adjustRightInd w:val="0"/>
        <w:snapToGrid w:val="0"/>
        <w:spacing w:line="288" w:lineRule="auto"/>
        <w:rPr>
          <w:rFonts w:ascii="仿宋_GB2312" w:eastAsia="仿宋_GB2312"/>
          <w:color w:val="auto"/>
          <w:sz w:val="36"/>
          <w:szCs w:val="36"/>
          <w:u w:val="single"/>
        </w:rPr>
      </w:pPr>
      <w:bookmarkStart w:id="1" w:name="_Hlk57884087"/>
    </w:p>
    <w:p w14:paraId="6D192849">
      <w:pPr>
        <w:adjustRightInd w:val="0"/>
        <w:snapToGrid w:val="0"/>
        <w:spacing w:line="288" w:lineRule="auto"/>
        <w:rPr>
          <w:rFonts w:ascii="仿宋_GB2312" w:eastAsia="仿宋_GB2312"/>
          <w:color w:val="auto"/>
          <w:sz w:val="36"/>
          <w:szCs w:val="36"/>
        </w:rPr>
      </w:pPr>
    </w:p>
    <w:p w14:paraId="5FC3DF36">
      <w:pPr>
        <w:adjustRightInd w:val="0"/>
        <w:snapToGrid w:val="0"/>
        <w:spacing w:line="288" w:lineRule="auto"/>
        <w:ind w:firstLine="0" w:firstLineChars="0"/>
        <w:rPr>
          <w:rFonts w:hint="eastAsia" w:ascii="仿宋_GB2312" w:eastAsia="仿宋_GB2312"/>
          <w:color w:val="auto"/>
          <w:sz w:val="36"/>
          <w:szCs w:val="36"/>
        </w:rPr>
      </w:pPr>
    </w:p>
    <w:p w14:paraId="33E3D70D">
      <w:pPr>
        <w:adjustRightInd w:val="0"/>
        <w:snapToGrid w:val="0"/>
        <w:spacing w:line="288" w:lineRule="auto"/>
        <w:rPr>
          <w:rFonts w:hint="eastAsia" w:ascii="仿宋_GB2312" w:eastAsia="仿宋_GB2312"/>
          <w:color w:val="auto"/>
          <w:sz w:val="36"/>
          <w:szCs w:val="36"/>
        </w:rPr>
      </w:pPr>
    </w:p>
    <w:bookmarkEnd w:id="1"/>
    <w:p w14:paraId="2DD6C4C6">
      <w:pPr>
        <w:adjustRightInd w:val="0"/>
        <w:snapToGrid w:val="0"/>
        <w:spacing w:line="288" w:lineRule="auto"/>
        <w:jc w:val="center"/>
        <w:rPr>
          <w:rFonts w:hint="eastAsia" w:ascii="楷体_GB2312" w:eastAsia="楷体_GB2312"/>
          <w:color w:val="auto"/>
          <w:sz w:val="36"/>
          <w:szCs w:val="36"/>
        </w:rPr>
      </w:pPr>
      <w:r>
        <w:rPr>
          <w:rFonts w:hint="eastAsia" w:ascii="楷体_GB2312" w:eastAsia="楷体_GB2312"/>
          <w:color w:val="auto"/>
          <w:sz w:val="36"/>
          <w:szCs w:val="36"/>
        </w:rPr>
        <w:t>中华人民共和国生态环境部制</w:t>
      </w:r>
    </w:p>
    <w:p w14:paraId="4B0E4094">
      <w:pPr>
        <w:adjustRightInd w:val="0"/>
        <w:snapToGrid w:val="0"/>
        <w:spacing w:line="288" w:lineRule="auto"/>
        <w:rPr>
          <w:rFonts w:ascii="仿宋_GB2312" w:eastAsia="仿宋_GB2312"/>
          <w:color w:val="auto"/>
          <w:sz w:val="36"/>
          <w:szCs w:val="36"/>
        </w:rPr>
        <w:sectPr>
          <w:footerReference r:id="rId5" w:type="default"/>
          <w:footerReference r:id="rId6" w:type="even"/>
          <w:pgSz w:w="11905" w:h="16838"/>
          <w:pgMar w:top="1701" w:right="1531" w:bottom="1701" w:left="1531" w:header="851" w:footer="850" w:gutter="0"/>
          <w:pgNumType w:start="3"/>
          <w:cols w:space="720" w:num="1"/>
          <w:docGrid w:type="linesAndChars" w:linePitch="312" w:charSpace="0"/>
        </w:sectPr>
      </w:pPr>
    </w:p>
    <w:p w14:paraId="4CC746EE">
      <w:pPr>
        <w:pStyle w:val="20"/>
        <w:ind w:firstLine="600"/>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95"/>
        <w:gridCol w:w="1287"/>
        <w:gridCol w:w="1637"/>
        <w:gridCol w:w="2212"/>
        <w:gridCol w:w="2639"/>
      </w:tblGrid>
      <w:tr w14:paraId="1738CA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14:paraId="03C2C140">
            <w:pPr>
              <w:spacing w:line="240" w:lineRule="auto"/>
              <w:ind w:firstLine="0" w:firstLineChars="0"/>
              <w:jc w:val="center"/>
              <w:rPr>
                <w:color w:val="auto"/>
              </w:rPr>
            </w:pPr>
            <w:r>
              <w:rPr>
                <w:color w:val="auto"/>
              </w:rPr>
              <w:t>建设项目名称</w:t>
            </w:r>
          </w:p>
        </w:tc>
        <w:tc>
          <w:tcPr>
            <w:tcW w:w="6488" w:type="dxa"/>
            <w:gridSpan w:val="3"/>
            <w:noWrap w:val="0"/>
            <w:vAlign w:val="center"/>
          </w:tcPr>
          <w:p w14:paraId="20980372">
            <w:pPr>
              <w:spacing w:line="240" w:lineRule="auto"/>
              <w:ind w:firstLine="0" w:firstLineChars="0"/>
              <w:jc w:val="center"/>
              <w:rPr>
                <w:color w:val="auto"/>
              </w:rPr>
            </w:pPr>
            <w:r>
              <w:rPr>
                <w:rFonts w:hint="eastAsia"/>
                <w:color w:val="auto"/>
              </w:rPr>
              <w:t>年产4万吨道路桥梁支座项目</w:t>
            </w:r>
          </w:p>
        </w:tc>
      </w:tr>
      <w:tr w14:paraId="171AAB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14:paraId="3CC29EDD">
            <w:pPr>
              <w:spacing w:line="240" w:lineRule="auto"/>
              <w:ind w:firstLine="0" w:firstLineChars="0"/>
              <w:jc w:val="center"/>
              <w:rPr>
                <w:color w:val="auto"/>
              </w:rPr>
            </w:pPr>
            <w:r>
              <w:rPr>
                <w:color w:val="auto"/>
              </w:rPr>
              <w:t>项目代码</w:t>
            </w:r>
          </w:p>
        </w:tc>
        <w:tc>
          <w:tcPr>
            <w:tcW w:w="6488" w:type="dxa"/>
            <w:gridSpan w:val="3"/>
            <w:noWrap w:val="0"/>
            <w:vAlign w:val="center"/>
          </w:tcPr>
          <w:p w14:paraId="56D7C96D">
            <w:pPr>
              <w:spacing w:line="240" w:lineRule="auto"/>
              <w:ind w:firstLine="0" w:firstLineChars="0"/>
              <w:jc w:val="center"/>
              <w:rPr>
                <w:rFonts w:hint="default" w:eastAsia="宋体"/>
                <w:color w:val="auto"/>
                <w:lang w:val="en-US" w:eastAsia="zh-CN"/>
              </w:rPr>
            </w:pPr>
            <w:r>
              <w:rPr>
                <w:rFonts w:hint="eastAsia"/>
                <w:color w:val="auto"/>
                <w:lang w:val="en-US" w:eastAsia="zh-CN"/>
              </w:rPr>
              <w:t>2602-340602-04-05-843744</w:t>
            </w:r>
          </w:p>
        </w:tc>
      </w:tr>
      <w:tr w14:paraId="0E3716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14:paraId="2781ADD2">
            <w:pPr>
              <w:spacing w:line="240" w:lineRule="auto"/>
              <w:ind w:firstLine="0" w:firstLineChars="0"/>
              <w:jc w:val="center"/>
              <w:rPr>
                <w:color w:val="auto"/>
              </w:rPr>
            </w:pPr>
            <w:r>
              <w:rPr>
                <w:color w:val="auto"/>
              </w:rPr>
              <w:t>建设单位联系人</w:t>
            </w:r>
          </w:p>
        </w:tc>
        <w:tc>
          <w:tcPr>
            <w:tcW w:w="1637" w:type="dxa"/>
            <w:noWrap w:val="0"/>
            <w:vAlign w:val="center"/>
          </w:tcPr>
          <w:p w14:paraId="17828BD9">
            <w:pPr>
              <w:spacing w:line="240" w:lineRule="auto"/>
              <w:ind w:firstLine="0" w:firstLineChars="0"/>
              <w:jc w:val="center"/>
              <w:rPr>
                <w:rFonts w:hint="eastAsia" w:eastAsia="宋体"/>
                <w:color w:val="auto"/>
                <w:lang w:eastAsia="zh-CN"/>
              </w:rPr>
            </w:pPr>
            <w:r>
              <w:rPr>
                <w:rFonts w:hint="eastAsia"/>
                <w:color w:val="auto"/>
                <w:lang w:val="en-US" w:eastAsia="zh-CN"/>
              </w:rPr>
              <w:t>王防洪</w:t>
            </w:r>
          </w:p>
        </w:tc>
        <w:tc>
          <w:tcPr>
            <w:tcW w:w="2212" w:type="dxa"/>
            <w:noWrap w:val="0"/>
            <w:vAlign w:val="center"/>
          </w:tcPr>
          <w:p w14:paraId="10589602">
            <w:pPr>
              <w:spacing w:line="240" w:lineRule="auto"/>
              <w:ind w:firstLine="0" w:firstLineChars="0"/>
              <w:jc w:val="center"/>
              <w:rPr>
                <w:color w:val="auto"/>
              </w:rPr>
            </w:pPr>
            <w:r>
              <w:rPr>
                <w:color w:val="auto"/>
              </w:rPr>
              <w:t>联系方式</w:t>
            </w:r>
          </w:p>
        </w:tc>
        <w:tc>
          <w:tcPr>
            <w:tcW w:w="2639" w:type="dxa"/>
            <w:noWrap w:val="0"/>
            <w:vAlign w:val="center"/>
          </w:tcPr>
          <w:p w14:paraId="6ADF966E">
            <w:pPr>
              <w:spacing w:line="240" w:lineRule="auto"/>
              <w:ind w:firstLine="0" w:firstLineChars="0"/>
              <w:jc w:val="center"/>
              <w:rPr>
                <w:color w:val="auto"/>
              </w:rPr>
            </w:pPr>
            <w:r>
              <w:rPr>
                <w:rFonts w:hint="eastAsia"/>
                <w:color w:val="auto"/>
              </w:rPr>
              <w:t>15303182978</w:t>
            </w:r>
          </w:p>
        </w:tc>
      </w:tr>
      <w:tr w14:paraId="66F9BF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14:paraId="37345A86">
            <w:pPr>
              <w:spacing w:line="240" w:lineRule="auto"/>
              <w:ind w:firstLine="0" w:firstLineChars="0"/>
              <w:jc w:val="center"/>
              <w:rPr>
                <w:color w:val="auto"/>
              </w:rPr>
            </w:pPr>
            <w:r>
              <w:rPr>
                <w:color w:val="auto"/>
              </w:rPr>
              <w:t>建设地点</w:t>
            </w:r>
          </w:p>
        </w:tc>
        <w:tc>
          <w:tcPr>
            <w:tcW w:w="6488" w:type="dxa"/>
            <w:gridSpan w:val="3"/>
            <w:noWrap w:val="0"/>
            <w:vAlign w:val="center"/>
          </w:tcPr>
          <w:p w14:paraId="6055181D">
            <w:pPr>
              <w:spacing w:line="240" w:lineRule="auto"/>
              <w:ind w:firstLine="0" w:firstLineChars="0"/>
              <w:jc w:val="center"/>
              <w:rPr>
                <w:color w:val="auto"/>
              </w:rPr>
            </w:pPr>
            <w:r>
              <w:rPr>
                <w:rFonts w:hint="eastAsia"/>
                <w:color w:val="auto"/>
                <w:lang w:val="en-US" w:eastAsia="zh-CN"/>
              </w:rPr>
              <w:t>安徽省</w:t>
            </w:r>
            <w:r>
              <w:rPr>
                <w:rFonts w:hint="eastAsia"/>
                <w:color w:val="auto"/>
              </w:rPr>
              <w:t>淮北市杜集区石台镇乡村振兴厂房</w:t>
            </w:r>
          </w:p>
        </w:tc>
      </w:tr>
      <w:tr w14:paraId="1AB90F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14:paraId="5424E28D">
            <w:pPr>
              <w:spacing w:line="240" w:lineRule="auto"/>
              <w:ind w:firstLine="0" w:firstLineChars="0"/>
              <w:jc w:val="center"/>
              <w:rPr>
                <w:color w:val="auto"/>
              </w:rPr>
            </w:pPr>
            <w:r>
              <w:rPr>
                <w:color w:val="auto"/>
              </w:rPr>
              <w:t>地理坐标</w:t>
            </w:r>
          </w:p>
        </w:tc>
        <w:tc>
          <w:tcPr>
            <w:tcW w:w="6488" w:type="dxa"/>
            <w:gridSpan w:val="3"/>
            <w:noWrap w:val="0"/>
            <w:vAlign w:val="center"/>
          </w:tcPr>
          <w:p w14:paraId="3B067E70">
            <w:pPr>
              <w:spacing w:line="240" w:lineRule="auto"/>
              <w:ind w:firstLine="0" w:firstLineChars="0"/>
              <w:jc w:val="center"/>
              <w:rPr>
                <w:color w:val="auto"/>
              </w:rPr>
            </w:pPr>
            <w:r>
              <w:rPr>
                <w:color w:val="auto"/>
              </w:rPr>
              <w:t>经度：</w:t>
            </w:r>
            <w:r>
              <w:rPr>
                <w:rFonts w:hint="eastAsia"/>
                <w:color w:val="auto"/>
              </w:rPr>
              <w:t>116°55′03.222″</w:t>
            </w:r>
            <w:r>
              <w:rPr>
                <w:color w:val="auto"/>
              </w:rPr>
              <w:t>，纬度：</w:t>
            </w:r>
            <w:r>
              <w:rPr>
                <w:rFonts w:hint="eastAsia"/>
                <w:color w:val="auto"/>
              </w:rPr>
              <w:t>34°02′37.60</w:t>
            </w:r>
            <w:r>
              <w:rPr>
                <w:rFonts w:hint="eastAsia"/>
                <w:color w:val="auto"/>
                <w:lang w:val="en-US" w:eastAsia="zh-CN"/>
              </w:rPr>
              <w:t>4</w:t>
            </w:r>
            <w:r>
              <w:rPr>
                <w:rFonts w:hint="eastAsia"/>
                <w:color w:val="auto"/>
              </w:rPr>
              <w:t>″</w:t>
            </w:r>
          </w:p>
        </w:tc>
      </w:tr>
      <w:tr w14:paraId="76A334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382" w:type="dxa"/>
            <w:gridSpan w:val="2"/>
            <w:noWrap w:val="0"/>
            <w:tcMar>
              <w:top w:w="16" w:type="dxa"/>
              <w:left w:w="16" w:type="dxa"/>
              <w:right w:w="16" w:type="dxa"/>
            </w:tcMar>
            <w:vAlign w:val="center"/>
          </w:tcPr>
          <w:p w14:paraId="6AFCC75A">
            <w:pPr>
              <w:spacing w:line="240" w:lineRule="auto"/>
              <w:ind w:firstLine="0" w:firstLineChars="0"/>
              <w:jc w:val="center"/>
              <w:rPr>
                <w:color w:val="auto"/>
              </w:rPr>
            </w:pPr>
            <w:r>
              <w:rPr>
                <w:color w:val="auto"/>
              </w:rPr>
              <w:t>国民经济</w:t>
            </w:r>
          </w:p>
          <w:p w14:paraId="5CAFD8A0">
            <w:pPr>
              <w:spacing w:line="240" w:lineRule="auto"/>
              <w:ind w:firstLine="0" w:firstLineChars="0"/>
              <w:jc w:val="center"/>
              <w:rPr>
                <w:color w:val="auto"/>
              </w:rPr>
            </w:pPr>
            <w:r>
              <w:rPr>
                <w:color w:val="auto"/>
              </w:rPr>
              <w:t>行业类别</w:t>
            </w:r>
          </w:p>
        </w:tc>
        <w:tc>
          <w:tcPr>
            <w:tcW w:w="1637" w:type="dxa"/>
            <w:noWrap w:val="0"/>
            <w:vAlign w:val="center"/>
          </w:tcPr>
          <w:p w14:paraId="60DAEFCA">
            <w:pPr>
              <w:spacing w:line="240" w:lineRule="auto"/>
              <w:ind w:firstLine="0" w:firstLineChars="0"/>
              <w:jc w:val="center"/>
              <w:rPr>
                <w:rFonts w:hint="default" w:eastAsia="宋体"/>
                <w:color w:val="auto"/>
                <w:lang w:val="en-US" w:eastAsia="zh-CN"/>
              </w:rPr>
            </w:pPr>
            <w:r>
              <w:rPr>
                <w:rFonts w:hint="eastAsia"/>
                <w:color w:val="auto"/>
                <w:lang w:val="en-US" w:eastAsia="zh-CN"/>
              </w:rPr>
              <w:t>C</w:t>
            </w:r>
            <w:r>
              <w:rPr>
                <w:rFonts w:hint="default" w:eastAsia="宋体"/>
                <w:color w:val="auto"/>
                <w:lang w:val="en-US" w:eastAsia="zh-CN"/>
              </w:rPr>
              <w:t>2919</w:t>
            </w:r>
          </w:p>
          <w:p w14:paraId="410E10C1">
            <w:pPr>
              <w:spacing w:line="240" w:lineRule="auto"/>
              <w:ind w:firstLine="0" w:firstLineChars="0"/>
              <w:jc w:val="center"/>
              <w:rPr>
                <w:rFonts w:hint="default" w:eastAsia="宋体"/>
                <w:color w:val="auto"/>
                <w:lang w:val="en-US" w:eastAsia="zh-CN"/>
              </w:rPr>
            </w:pPr>
            <w:r>
              <w:rPr>
                <w:rFonts w:hint="default" w:eastAsia="宋体"/>
                <w:color w:val="auto"/>
                <w:lang w:val="en-US" w:eastAsia="zh-CN"/>
              </w:rPr>
              <w:t>其他橡胶制品制造</w:t>
            </w:r>
          </w:p>
        </w:tc>
        <w:tc>
          <w:tcPr>
            <w:tcW w:w="2212" w:type="dxa"/>
            <w:noWrap w:val="0"/>
            <w:vAlign w:val="center"/>
          </w:tcPr>
          <w:p w14:paraId="41E26DB8">
            <w:pPr>
              <w:spacing w:line="240" w:lineRule="auto"/>
              <w:ind w:firstLine="0" w:firstLineChars="0"/>
              <w:jc w:val="center"/>
              <w:rPr>
                <w:color w:val="auto"/>
              </w:rPr>
            </w:pPr>
            <w:bookmarkStart w:id="2" w:name="_Hlk49843745"/>
            <w:r>
              <w:rPr>
                <w:color w:val="auto"/>
              </w:rPr>
              <w:t>建设项目</w:t>
            </w:r>
          </w:p>
          <w:p w14:paraId="25103B2B">
            <w:pPr>
              <w:spacing w:line="240" w:lineRule="auto"/>
              <w:ind w:firstLine="0" w:firstLineChars="0"/>
              <w:jc w:val="center"/>
              <w:rPr>
                <w:color w:val="auto"/>
              </w:rPr>
            </w:pPr>
            <w:r>
              <w:rPr>
                <w:color w:val="auto"/>
              </w:rPr>
              <w:t>行业类别</w:t>
            </w:r>
            <w:bookmarkEnd w:id="2"/>
          </w:p>
        </w:tc>
        <w:tc>
          <w:tcPr>
            <w:tcW w:w="2639" w:type="dxa"/>
            <w:noWrap w:val="0"/>
            <w:vAlign w:val="center"/>
          </w:tcPr>
          <w:p w14:paraId="18842C46">
            <w:pPr>
              <w:spacing w:line="240" w:lineRule="auto"/>
              <w:ind w:firstLine="0" w:firstLineChars="0"/>
              <w:jc w:val="center"/>
              <w:rPr>
                <w:rFonts w:hint="eastAsia" w:eastAsia="宋体"/>
                <w:color w:val="auto"/>
                <w:lang w:eastAsia="zh-CN"/>
              </w:rPr>
            </w:pPr>
            <w:r>
              <w:rPr>
                <w:rFonts w:hint="eastAsia"/>
                <w:color w:val="auto"/>
              </w:rPr>
              <w:t>二十六、橡胶和塑料制品业29—</w:t>
            </w:r>
            <w:r>
              <w:rPr>
                <w:rFonts w:hint="eastAsia"/>
                <w:color w:val="auto"/>
                <w:lang w:val="en-US" w:eastAsia="zh-CN"/>
              </w:rPr>
              <w:t>52</w:t>
            </w:r>
            <w:r>
              <w:rPr>
                <w:rFonts w:hint="eastAsia"/>
                <w:color w:val="auto"/>
              </w:rPr>
              <w:t>、</w:t>
            </w:r>
            <w:r>
              <w:rPr>
                <w:rFonts w:hint="eastAsia"/>
                <w:color w:val="auto"/>
                <w:lang w:val="en-US" w:eastAsia="zh-CN"/>
              </w:rPr>
              <w:t>橡胶制品业 291</w:t>
            </w:r>
            <w:r>
              <w:rPr>
                <w:rFonts w:hint="eastAsia"/>
                <w:color w:val="auto"/>
              </w:rPr>
              <w:t>—其他</w:t>
            </w:r>
          </w:p>
        </w:tc>
      </w:tr>
      <w:tr w14:paraId="59206D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382" w:type="dxa"/>
            <w:gridSpan w:val="2"/>
            <w:noWrap w:val="0"/>
            <w:tcMar>
              <w:top w:w="16" w:type="dxa"/>
              <w:left w:w="16" w:type="dxa"/>
              <w:right w:w="16" w:type="dxa"/>
            </w:tcMar>
            <w:vAlign w:val="center"/>
          </w:tcPr>
          <w:p w14:paraId="7F130C4A">
            <w:pPr>
              <w:spacing w:line="240" w:lineRule="auto"/>
              <w:ind w:firstLine="0" w:firstLineChars="0"/>
              <w:jc w:val="center"/>
              <w:rPr>
                <w:color w:val="auto"/>
              </w:rPr>
            </w:pPr>
            <w:r>
              <w:rPr>
                <w:color w:val="auto"/>
              </w:rPr>
              <w:t>建设性质</w:t>
            </w:r>
          </w:p>
        </w:tc>
        <w:tc>
          <w:tcPr>
            <w:tcW w:w="1637" w:type="dxa"/>
            <w:noWrap w:val="0"/>
            <w:vAlign w:val="center"/>
          </w:tcPr>
          <w:p w14:paraId="302943F9">
            <w:pPr>
              <w:spacing w:line="240" w:lineRule="auto"/>
              <w:ind w:firstLine="0" w:firstLineChars="0"/>
              <w:jc w:val="left"/>
              <w:rPr>
                <w:color w:val="auto"/>
              </w:rPr>
            </w:pPr>
            <w:r>
              <w:rPr>
                <w:color w:val="auto"/>
              </w:rPr>
              <w:sym w:font="Wingdings 2" w:char="0052"/>
            </w:r>
            <w:r>
              <w:rPr>
                <w:color w:val="auto"/>
              </w:rPr>
              <w:t>新建（迁建）</w:t>
            </w:r>
          </w:p>
          <w:p w14:paraId="6C98919B">
            <w:pPr>
              <w:spacing w:line="240" w:lineRule="auto"/>
              <w:ind w:firstLine="0" w:firstLineChars="0"/>
              <w:jc w:val="left"/>
              <w:rPr>
                <w:color w:val="auto"/>
              </w:rPr>
            </w:pPr>
            <w:r>
              <w:rPr>
                <w:color w:val="auto"/>
              </w:rPr>
              <w:sym w:font="Wingdings 2" w:char="00A3"/>
            </w:r>
            <w:r>
              <w:rPr>
                <w:color w:val="auto"/>
              </w:rPr>
              <w:t>改建</w:t>
            </w:r>
          </w:p>
          <w:p w14:paraId="7B527621">
            <w:pPr>
              <w:spacing w:line="240" w:lineRule="auto"/>
              <w:ind w:firstLine="0" w:firstLineChars="0"/>
              <w:jc w:val="left"/>
              <w:rPr>
                <w:color w:val="auto"/>
              </w:rPr>
            </w:pPr>
            <w:r>
              <w:rPr>
                <w:color w:val="auto"/>
              </w:rPr>
              <w:sym w:font="Wingdings 2" w:char="00A3"/>
            </w:r>
            <w:r>
              <w:rPr>
                <w:color w:val="auto"/>
              </w:rPr>
              <w:t>扩建</w:t>
            </w:r>
          </w:p>
          <w:p w14:paraId="733597A5">
            <w:pPr>
              <w:spacing w:line="240" w:lineRule="auto"/>
              <w:ind w:firstLine="0" w:firstLineChars="0"/>
              <w:jc w:val="left"/>
              <w:rPr>
                <w:color w:val="auto"/>
              </w:rPr>
            </w:pPr>
            <w:r>
              <w:rPr>
                <w:color w:val="auto"/>
              </w:rPr>
              <w:sym w:font="Wingdings 2" w:char="00A3"/>
            </w:r>
            <w:r>
              <w:rPr>
                <w:color w:val="auto"/>
              </w:rPr>
              <w:t>技术改造</w:t>
            </w:r>
          </w:p>
        </w:tc>
        <w:tc>
          <w:tcPr>
            <w:tcW w:w="2212" w:type="dxa"/>
            <w:noWrap w:val="0"/>
            <w:vAlign w:val="center"/>
          </w:tcPr>
          <w:p w14:paraId="1C8322AA">
            <w:pPr>
              <w:spacing w:line="240" w:lineRule="auto"/>
              <w:ind w:firstLine="0" w:firstLineChars="0"/>
              <w:jc w:val="center"/>
              <w:rPr>
                <w:color w:val="auto"/>
              </w:rPr>
            </w:pPr>
            <w:r>
              <w:rPr>
                <w:color w:val="auto"/>
              </w:rPr>
              <w:t>建设项目</w:t>
            </w:r>
          </w:p>
          <w:p w14:paraId="30CD9678">
            <w:pPr>
              <w:spacing w:line="240" w:lineRule="auto"/>
              <w:ind w:firstLine="0" w:firstLineChars="0"/>
              <w:jc w:val="center"/>
              <w:rPr>
                <w:color w:val="auto"/>
              </w:rPr>
            </w:pPr>
            <w:r>
              <w:rPr>
                <w:color w:val="auto"/>
              </w:rPr>
              <w:t>申报情形</w:t>
            </w:r>
          </w:p>
        </w:tc>
        <w:tc>
          <w:tcPr>
            <w:tcW w:w="2639" w:type="dxa"/>
            <w:noWrap w:val="0"/>
            <w:vAlign w:val="center"/>
          </w:tcPr>
          <w:p w14:paraId="16CE3129">
            <w:pPr>
              <w:spacing w:line="240" w:lineRule="auto"/>
              <w:ind w:firstLine="0" w:firstLineChars="0"/>
              <w:jc w:val="left"/>
              <w:rPr>
                <w:color w:val="auto"/>
              </w:rPr>
            </w:pPr>
            <w:r>
              <w:rPr>
                <w:color w:val="auto"/>
              </w:rPr>
              <w:sym w:font="Wingdings 2" w:char="0052"/>
            </w:r>
            <w:r>
              <w:rPr>
                <w:color w:val="auto"/>
              </w:rPr>
              <w:t xml:space="preserve">首次申报项目             </w:t>
            </w:r>
          </w:p>
          <w:p w14:paraId="45748C85">
            <w:pPr>
              <w:spacing w:line="240" w:lineRule="auto"/>
              <w:ind w:firstLine="0" w:firstLineChars="0"/>
              <w:jc w:val="left"/>
              <w:rPr>
                <w:color w:val="auto"/>
              </w:rPr>
            </w:pPr>
            <w:r>
              <w:rPr>
                <w:color w:val="auto"/>
              </w:rPr>
              <w:sym w:font="Wingdings 2" w:char="00A3"/>
            </w:r>
            <w:r>
              <w:rPr>
                <w:color w:val="auto"/>
              </w:rPr>
              <w:t>不予批准后再次申报项目</w:t>
            </w:r>
          </w:p>
          <w:p w14:paraId="4ECB646A">
            <w:pPr>
              <w:spacing w:line="240" w:lineRule="auto"/>
              <w:ind w:firstLine="0" w:firstLineChars="0"/>
              <w:jc w:val="left"/>
              <w:rPr>
                <w:color w:val="auto"/>
              </w:rPr>
            </w:pPr>
            <w:r>
              <w:rPr>
                <w:color w:val="auto"/>
              </w:rPr>
              <w:sym w:font="Wingdings 2" w:char="00A3"/>
            </w:r>
            <w:r>
              <w:rPr>
                <w:color w:val="auto"/>
              </w:rPr>
              <w:t xml:space="preserve">超五年重新审核项目     </w:t>
            </w:r>
          </w:p>
          <w:p w14:paraId="04AAC725">
            <w:pPr>
              <w:spacing w:line="240" w:lineRule="auto"/>
              <w:ind w:firstLine="0" w:firstLineChars="0"/>
              <w:jc w:val="left"/>
              <w:rPr>
                <w:color w:val="auto"/>
              </w:rPr>
            </w:pPr>
            <w:r>
              <w:rPr>
                <w:color w:val="auto"/>
              </w:rPr>
              <w:sym w:font="Wingdings 2" w:char="00A3"/>
            </w:r>
            <w:r>
              <w:rPr>
                <w:color w:val="auto"/>
              </w:rPr>
              <w:t>重大变动重新报批项目</w:t>
            </w:r>
          </w:p>
        </w:tc>
      </w:tr>
      <w:tr w14:paraId="1F9ED9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382" w:type="dxa"/>
            <w:gridSpan w:val="2"/>
            <w:noWrap w:val="0"/>
            <w:tcMar>
              <w:top w:w="16" w:type="dxa"/>
              <w:left w:w="16" w:type="dxa"/>
              <w:right w:w="16" w:type="dxa"/>
            </w:tcMar>
            <w:vAlign w:val="center"/>
          </w:tcPr>
          <w:p w14:paraId="6E5B44B7">
            <w:pPr>
              <w:spacing w:line="240" w:lineRule="auto"/>
              <w:ind w:firstLine="0" w:firstLineChars="0"/>
              <w:jc w:val="center"/>
              <w:rPr>
                <w:color w:val="auto"/>
              </w:rPr>
            </w:pPr>
            <w:r>
              <w:rPr>
                <w:color w:val="auto"/>
              </w:rPr>
              <w:t>项目审批（核准/</w:t>
            </w:r>
          </w:p>
          <w:p w14:paraId="37A529C5">
            <w:pPr>
              <w:spacing w:line="240" w:lineRule="auto"/>
              <w:ind w:firstLine="0" w:firstLineChars="0"/>
              <w:jc w:val="center"/>
              <w:rPr>
                <w:color w:val="auto"/>
              </w:rPr>
            </w:pPr>
            <w:r>
              <w:rPr>
                <w:color w:val="auto"/>
              </w:rPr>
              <w:t>备案）部门（选填）</w:t>
            </w:r>
          </w:p>
        </w:tc>
        <w:tc>
          <w:tcPr>
            <w:tcW w:w="1637" w:type="dxa"/>
            <w:noWrap w:val="0"/>
            <w:vAlign w:val="center"/>
          </w:tcPr>
          <w:p w14:paraId="122EE744">
            <w:pPr>
              <w:spacing w:line="240" w:lineRule="auto"/>
              <w:ind w:firstLine="0" w:firstLineChars="0"/>
              <w:jc w:val="center"/>
              <w:rPr>
                <w:rFonts w:hint="eastAsia"/>
                <w:color w:val="auto"/>
              </w:rPr>
            </w:pPr>
            <w:r>
              <w:rPr>
                <w:rFonts w:hint="eastAsia"/>
                <w:color w:val="auto"/>
              </w:rPr>
              <w:t>淮北市杜集区发展和改革委员会</w:t>
            </w:r>
          </w:p>
        </w:tc>
        <w:tc>
          <w:tcPr>
            <w:tcW w:w="2212" w:type="dxa"/>
            <w:noWrap w:val="0"/>
            <w:vAlign w:val="center"/>
          </w:tcPr>
          <w:p w14:paraId="6FB95B95">
            <w:pPr>
              <w:spacing w:line="240" w:lineRule="auto"/>
              <w:ind w:firstLine="0" w:firstLineChars="0"/>
              <w:jc w:val="center"/>
              <w:rPr>
                <w:color w:val="auto"/>
              </w:rPr>
            </w:pPr>
            <w:r>
              <w:rPr>
                <w:color w:val="auto"/>
              </w:rPr>
              <w:t>项目审批（核准/</w:t>
            </w:r>
          </w:p>
          <w:p w14:paraId="280B26A9">
            <w:pPr>
              <w:spacing w:line="240" w:lineRule="auto"/>
              <w:ind w:firstLine="0" w:firstLineChars="0"/>
              <w:jc w:val="center"/>
              <w:rPr>
                <w:color w:val="auto"/>
              </w:rPr>
            </w:pPr>
            <w:r>
              <w:rPr>
                <w:color w:val="auto"/>
              </w:rPr>
              <w:t>备案）文号（选填）</w:t>
            </w:r>
          </w:p>
        </w:tc>
        <w:tc>
          <w:tcPr>
            <w:tcW w:w="2639" w:type="dxa"/>
            <w:noWrap w:val="0"/>
            <w:vAlign w:val="center"/>
          </w:tcPr>
          <w:p w14:paraId="3607587F">
            <w:pPr>
              <w:spacing w:line="240" w:lineRule="auto"/>
              <w:ind w:firstLine="0" w:firstLineChars="0"/>
              <w:jc w:val="center"/>
              <w:rPr>
                <w:rFonts w:hint="eastAsia"/>
                <w:color w:val="auto"/>
              </w:rPr>
            </w:pPr>
            <w:r>
              <w:rPr>
                <w:rFonts w:hint="eastAsia"/>
                <w:color w:val="auto"/>
              </w:rPr>
              <w:t>杜发改备</w:t>
            </w:r>
            <w:r>
              <w:rPr>
                <w:rFonts w:hint="eastAsia"/>
                <w:color w:val="auto"/>
                <w:lang w:eastAsia="zh-CN"/>
              </w:rPr>
              <w:t>【</w:t>
            </w:r>
            <w:r>
              <w:rPr>
                <w:rFonts w:hint="eastAsia"/>
                <w:color w:val="auto"/>
              </w:rPr>
              <w:t>2026</w:t>
            </w:r>
            <w:r>
              <w:rPr>
                <w:rFonts w:hint="eastAsia"/>
                <w:color w:val="auto"/>
                <w:lang w:eastAsia="zh-CN"/>
              </w:rPr>
              <w:t>】</w:t>
            </w:r>
            <w:r>
              <w:rPr>
                <w:rFonts w:hint="eastAsia"/>
                <w:color w:val="auto"/>
              </w:rPr>
              <w:t>10号</w:t>
            </w:r>
          </w:p>
        </w:tc>
      </w:tr>
      <w:tr w14:paraId="03E860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382" w:type="dxa"/>
            <w:gridSpan w:val="2"/>
            <w:noWrap w:val="0"/>
            <w:tcMar>
              <w:top w:w="16" w:type="dxa"/>
              <w:left w:w="16" w:type="dxa"/>
              <w:right w:w="16" w:type="dxa"/>
            </w:tcMar>
            <w:vAlign w:val="center"/>
          </w:tcPr>
          <w:p w14:paraId="3E541EF8">
            <w:pPr>
              <w:spacing w:line="240" w:lineRule="auto"/>
              <w:ind w:firstLine="0" w:firstLineChars="0"/>
              <w:jc w:val="center"/>
              <w:rPr>
                <w:color w:val="auto"/>
              </w:rPr>
            </w:pPr>
            <w:r>
              <w:rPr>
                <w:color w:val="auto"/>
              </w:rPr>
              <w:t>总投资（万元）</w:t>
            </w:r>
          </w:p>
        </w:tc>
        <w:tc>
          <w:tcPr>
            <w:tcW w:w="1637" w:type="dxa"/>
            <w:noWrap w:val="0"/>
            <w:vAlign w:val="center"/>
          </w:tcPr>
          <w:p w14:paraId="53723F63">
            <w:pPr>
              <w:spacing w:line="240" w:lineRule="auto"/>
              <w:ind w:firstLine="0" w:firstLineChars="0"/>
              <w:jc w:val="center"/>
              <w:rPr>
                <w:rFonts w:hint="default" w:eastAsia="宋体"/>
                <w:color w:val="auto"/>
                <w:lang w:val="en-US" w:eastAsia="zh-CN"/>
              </w:rPr>
            </w:pPr>
            <w:r>
              <w:rPr>
                <w:rFonts w:hint="eastAsia"/>
                <w:color w:val="auto"/>
                <w:lang w:val="en-US" w:eastAsia="zh-CN"/>
              </w:rPr>
              <w:t>10000</w:t>
            </w:r>
          </w:p>
        </w:tc>
        <w:tc>
          <w:tcPr>
            <w:tcW w:w="2212" w:type="dxa"/>
            <w:noWrap w:val="0"/>
            <w:tcMar>
              <w:top w:w="16" w:type="dxa"/>
              <w:left w:w="16" w:type="dxa"/>
              <w:right w:w="16" w:type="dxa"/>
            </w:tcMar>
            <w:vAlign w:val="center"/>
          </w:tcPr>
          <w:p w14:paraId="7BC6D047">
            <w:pPr>
              <w:spacing w:line="240" w:lineRule="auto"/>
              <w:ind w:firstLine="0" w:firstLineChars="0"/>
              <w:jc w:val="center"/>
              <w:rPr>
                <w:color w:val="auto"/>
              </w:rPr>
            </w:pPr>
            <w:r>
              <w:rPr>
                <w:color w:val="auto"/>
              </w:rPr>
              <w:t>环保投资（万元）</w:t>
            </w:r>
          </w:p>
        </w:tc>
        <w:tc>
          <w:tcPr>
            <w:tcW w:w="2639" w:type="dxa"/>
            <w:noWrap w:val="0"/>
            <w:vAlign w:val="center"/>
          </w:tcPr>
          <w:p w14:paraId="463BCA3C">
            <w:pPr>
              <w:spacing w:line="240" w:lineRule="auto"/>
              <w:ind w:firstLine="0" w:firstLineChars="0"/>
              <w:jc w:val="center"/>
              <w:rPr>
                <w:rFonts w:hint="default" w:eastAsia="宋体"/>
                <w:color w:val="auto"/>
                <w:lang w:val="en-US" w:eastAsia="zh-CN"/>
              </w:rPr>
            </w:pPr>
            <w:r>
              <w:rPr>
                <w:rFonts w:hint="eastAsia"/>
                <w:color w:val="auto"/>
                <w:lang w:val="en-US" w:eastAsia="zh-CN"/>
              </w:rPr>
              <w:t>100</w:t>
            </w:r>
          </w:p>
        </w:tc>
      </w:tr>
      <w:tr w14:paraId="0F5FD8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14:paraId="53849D98">
            <w:pPr>
              <w:spacing w:line="240" w:lineRule="auto"/>
              <w:ind w:firstLine="0" w:firstLineChars="0"/>
              <w:jc w:val="center"/>
              <w:rPr>
                <w:color w:val="auto"/>
              </w:rPr>
            </w:pPr>
            <w:r>
              <w:rPr>
                <w:color w:val="auto"/>
              </w:rPr>
              <w:t>环保投资占比（%）</w:t>
            </w:r>
          </w:p>
        </w:tc>
        <w:tc>
          <w:tcPr>
            <w:tcW w:w="1637" w:type="dxa"/>
            <w:noWrap w:val="0"/>
            <w:vAlign w:val="center"/>
          </w:tcPr>
          <w:p w14:paraId="47162A29">
            <w:pPr>
              <w:spacing w:line="240" w:lineRule="auto"/>
              <w:ind w:firstLine="0" w:firstLineChars="0"/>
              <w:jc w:val="center"/>
              <w:rPr>
                <w:rFonts w:hint="default" w:eastAsia="宋体"/>
                <w:color w:val="auto"/>
                <w:lang w:val="en-US" w:eastAsia="zh-CN"/>
              </w:rPr>
            </w:pPr>
            <w:r>
              <w:rPr>
                <w:rFonts w:hint="eastAsia"/>
                <w:color w:val="auto"/>
                <w:lang w:val="en-US" w:eastAsia="zh-CN"/>
              </w:rPr>
              <w:t>1.0</w:t>
            </w:r>
          </w:p>
        </w:tc>
        <w:tc>
          <w:tcPr>
            <w:tcW w:w="2212" w:type="dxa"/>
            <w:noWrap w:val="0"/>
            <w:tcMar>
              <w:top w:w="16" w:type="dxa"/>
              <w:left w:w="16" w:type="dxa"/>
              <w:right w:w="16" w:type="dxa"/>
            </w:tcMar>
            <w:vAlign w:val="center"/>
          </w:tcPr>
          <w:p w14:paraId="153E708D">
            <w:pPr>
              <w:spacing w:line="240" w:lineRule="auto"/>
              <w:ind w:firstLine="0" w:firstLineChars="0"/>
              <w:jc w:val="center"/>
              <w:rPr>
                <w:color w:val="auto"/>
              </w:rPr>
            </w:pPr>
            <w:r>
              <w:rPr>
                <w:color w:val="auto"/>
              </w:rPr>
              <w:t>施工工期</w:t>
            </w:r>
          </w:p>
        </w:tc>
        <w:tc>
          <w:tcPr>
            <w:tcW w:w="2639" w:type="dxa"/>
            <w:noWrap w:val="0"/>
            <w:vAlign w:val="center"/>
          </w:tcPr>
          <w:p w14:paraId="0D6FFE85">
            <w:pPr>
              <w:spacing w:line="240" w:lineRule="auto"/>
              <w:ind w:firstLine="0" w:firstLineChars="0"/>
              <w:jc w:val="center"/>
              <w:rPr>
                <w:rFonts w:hint="default"/>
                <w:color w:val="auto"/>
                <w:lang w:val="en-US" w:eastAsia="zh-CN"/>
              </w:rPr>
            </w:pPr>
            <w:r>
              <w:rPr>
                <w:rFonts w:hint="eastAsia"/>
                <w:color w:val="auto"/>
                <w:lang w:val="en-US" w:eastAsia="zh-CN"/>
              </w:rPr>
              <w:t>3个月</w:t>
            </w:r>
          </w:p>
        </w:tc>
      </w:tr>
      <w:tr w14:paraId="02723D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14:paraId="4E4D07BE">
            <w:pPr>
              <w:spacing w:line="240" w:lineRule="auto"/>
              <w:ind w:firstLine="0" w:firstLineChars="0"/>
              <w:jc w:val="center"/>
              <w:rPr>
                <w:color w:val="auto"/>
              </w:rPr>
            </w:pPr>
            <w:r>
              <w:rPr>
                <w:color w:val="auto"/>
              </w:rPr>
              <w:t>是否开工建设</w:t>
            </w:r>
          </w:p>
        </w:tc>
        <w:tc>
          <w:tcPr>
            <w:tcW w:w="1637" w:type="dxa"/>
            <w:noWrap w:val="0"/>
            <w:vAlign w:val="center"/>
          </w:tcPr>
          <w:p w14:paraId="5B98EFF8">
            <w:pPr>
              <w:spacing w:line="240" w:lineRule="auto"/>
              <w:ind w:firstLine="0" w:firstLineChars="0"/>
              <w:rPr>
                <w:color w:val="auto"/>
              </w:rPr>
            </w:pPr>
            <w:r>
              <w:rPr>
                <w:color w:val="auto"/>
              </w:rPr>
              <w:sym w:font="Wingdings 2" w:char="0052"/>
            </w:r>
            <w:r>
              <w:rPr>
                <w:color w:val="auto"/>
              </w:rPr>
              <w:t>否</w:t>
            </w:r>
          </w:p>
          <w:p w14:paraId="17620B89">
            <w:pPr>
              <w:spacing w:line="240" w:lineRule="auto"/>
              <w:ind w:firstLine="0" w:firstLineChars="0"/>
              <w:rPr>
                <w:color w:val="auto"/>
              </w:rPr>
            </w:pPr>
            <w:r>
              <w:rPr>
                <w:color w:val="auto"/>
              </w:rPr>
              <w:sym w:font="Wingdings 2" w:char="00A3"/>
            </w:r>
            <w:r>
              <w:rPr>
                <w:color w:val="auto"/>
              </w:rPr>
              <w:t>是：</w:t>
            </w:r>
            <w:r>
              <w:rPr>
                <w:color w:val="auto"/>
                <w:u w:val="single"/>
              </w:rPr>
              <w:t xml:space="preserve">             </w:t>
            </w:r>
          </w:p>
        </w:tc>
        <w:tc>
          <w:tcPr>
            <w:tcW w:w="2212" w:type="dxa"/>
            <w:noWrap w:val="0"/>
            <w:tcMar>
              <w:top w:w="16" w:type="dxa"/>
              <w:left w:w="16" w:type="dxa"/>
              <w:right w:w="16" w:type="dxa"/>
            </w:tcMar>
            <w:vAlign w:val="center"/>
          </w:tcPr>
          <w:p w14:paraId="79A8CDF2">
            <w:pPr>
              <w:spacing w:line="240" w:lineRule="auto"/>
              <w:ind w:firstLine="0" w:firstLineChars="0"/>
              <w:jc w:val="center"/>
              <w:rPr>
                <w:color w:val="auto"/>
              </w:rPr>
            </w:pPr>
            <w:r>
              <w:rPr>
                <w:color w:val="auto"/>
                <w:spacing w:val="-6"/>
              </w:rPr>
              <w:t>用地面积（m</w:t>
            </w:r>
            <w:r>
              <w:rPr>
                <w:color w:val="auto"/>
                <w:spacing w:val="-6"/>
                <w:vertAlign w:val="superscript"/>
              </w:rPr>
              <w:t>2</w:t>
            </w:r>
            <w:r>
              <w:rPr>
                <w:color w:val="auto"/>
                <w:spacing w:val="-6"/>
              </w:rPr>
              <w:t>）</w:t>
            </w:r>
          </w:p>
        </w:tc>
        <w:tc>
          <w:tcPr>
            <w:tcW w:w="2639" w:type="dxa"/>
            <w:noWrap w:val="0"/>
            <w:vAlign w:val="center"/>
          </w:tcPr>
          <w:p w14:paraId="4AD025EC">
            <w:pPr>
              <w:spacing w:line="240" w:lineRule="auto"/>
              <w:ind w:firstLine="0" w:firstLineChars="0"/>
              <w:jc w:val="center"/>
              <w:rPr>
                <w:rFonts w:hint="default" w:eastAsia="宋体"/>
                <w:color w:val="auto"/>
                <w:lang w:val="en-US" w:eastAsia="zh-CN"/>
              </w:rPr>
            </w:pPr>
            <w:r>
              <w:rPr>
                <w:rFonts w:hint="eastAsia"/>
                <w:color w:val="auto"/>
                <w:lang w:val="en-US" w:eastAsia="zh-CN"/>
              </w:rPr>
              <w:t>9500</w:t>
            </w:r>
          </w:p>
        </w:tc>
      </w:tr>
      <w:tr w14:paraId="556E4A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382" w:type="dxa"/>
            <w:gridSpan w:val="2"/>
            <w:noWrap w:val="0"/>
            <w:vAlign w:val="center"/>
          </w:tcPr>
          <w:p w14:paraId="594C86AB">
            <w:pPr>
              <w:autoSpaceDE w:val="0"/>
              <w:autoSpaceDN w:val="0"/>
              <w:spacing w:line="240" w:lineRule="auto"/>
              <w:ind w:firstLine="0" w:firstLineChars="0"/>
              <w:jc w:val="center"/>
              <w:rPr>
                <w:color w:val="auto"/>
                <w:kern w:val="0"/>
              </w:rPr>
            </w:pPr>
            <w:r>
              <w:rPr>
                <w:color w:val="auto"/>
                <w:kern w:val="0"/>
              </w:rPr>
              <w:t>专项评价设置情况</w:t>
            </w:r>
          </w:p>
        </w:tc>
        <w:tc>
          <w:tcPr>
            <w:tcW w:w="6488" w:type="dxa"/>
            <w:gridSpan w:val="3"/>
            <w:noWrap w:val="0"/>
            <w:vAlign w:val="center"/>
          </w:tcPr>
          <w:p w14:paraId="6B641B38">
            <w:pPr>
              <w:autoSpaceDE w:val="0"/>
              <w:autoSpaceDN w:val="0"/>
              <w:ind w:firstLine="0" w:firstLineChars="0"/>
              <w:jc w:val="center"/>
              <w:rPr>
                <w:rFonts w:hint="eastAsia"/>
                <w:color w:val="auto"/>
                <w:kern w:val="0"/>
                <w:szCs w:val="21"/>
              </w:rPr>
            </w:pPr>
            <w:r>
              <w:rPr>
                <w:rFonts w:hint="eastAsia"/>
                <w:color w:val="auto"/>
                <w:kern w:val="0"/>
                <w:szCs w:val="21"/>
              </w:rPr>
              <w:t>无</w:t>
            </w:r>
          </w:p>
        </w:tc>
      </w:tr>
      <w:tr w14:paraId="7D9DCC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95" w:type="dxa"/>
            <w:noWrap w:val="0"/>
            <w:vAlign w:val="center"/>
          </w:tcPr>
          <w:p w14:paraId="7C9DB740">
            <w:pPr>
              <w:autoSpaceDE w:val="0"/>
              <w:autoSpaceDN w:val="0"/>
              <w:spacing w:line="240" w:lineRule="auto"/>
              <w:ind w:firstLine="0" w:firstLineChars="0"/>
              <w:jc w:val="center"/>
              <w:rPr>
                <w:color w:val="auto"/>
                <w:kern w:val="0"/>
              </w:rPr>
            </w:pPr>
            <w:r>
              <w:rPr>
                <w:color w:val="auto"/>
              </w:rPr>
              <w:t>规划情况</w:t>
            </w:r>
          </w:p>
        </w:tc>
        <w:tc>
          <w:tcPr>
            <w:tcW w:w="7775" w:type="dxa"/>
            <w:gridSpan w:val="4"/>
            <w:noWrap w:val="0"/>
            <w:vAlign w:val="center"/>
          </w:tcPr>
          <w:p w14:paraId="35C49BAD">
            <w:pPr>
              <w:autoSpaceDE w:val="0"/>
              <w:autoSpaceDN w:val="0"/>
              <w:jc w:val="center"/>
              <w:rPr>
                <w:color w:val="auto"/>
                <w:kern w:val="0"/>
              </w:rPr>
            </w:pPr>
            <w:r>
              <w:rPr>
                <w:rFonts w:hint="eastAsia"/>
                <w:color w:val="auto"/>
                <w:kern w:val="0"/>
                <w:szCs w:val="21"/>
              </w:rPr>
              <w:t>无</w:t>
            </w:r>
          </w:p>
        </w:tc>
      </w:tr>
      <w:tr w14:paraId="3132B0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95" w:type="dxa"/>
            <w:noWrap w:val="0"/>
            <w:vAlign w:val="center"/>
          </w:tcPr>
          <w:p w14:paraId="08505CDF">
            <w:pPr>
              <w:spacing w:line="240" w:lineRule="auto"/>
              <w:ind w:firstLine="0" w:firstLineChars="0"/>
              <w:jc w:val="center"/>
              <w:rPr>
                <w:color w:val="auto"/>
              </w:rPr>
            </w:pPr>
            <w:r>
              <w:rPr>
                <w:color w:val="auto"/>
              </w:rPr>
              <w:t>规划环境影响</w:t>
            </w:r>
          </w:p>
          <w:p w14:paraId="67FE0F6D">
            <w:pPr>
              <w:spacing w:line="240" w:lineRule="auto"/>
              <w:ind w:firstLine="0" w:firstLineChars="0"/>
              <w:jc w:val="center"/>
              <w:rPr>
                <w:color w:val="auto"/>
                <w:kern w:val="0"/>
              </w:rPr>
            </w:pPr>
            <w:r>
              <w:rPr>
                <w:color w:val="auto"/>
              </w:rPr>
              <w:t>评价情况</w:t>
            </w:r>
          </w:p>
        </w:tc>
        <w:tc>
          <w:tcPr>
            <w:tcW w:w="7775" w:type="dxa"/>
            <w:gridSpan w:val="4"/>
            <w:noWrap w:val="0"/>
            <w:vAlign w:val="center"/>
          </w:tcPr>
          <w:p w14:paraId="57551AC0">
            <w:pPr>
              <w:autoSpaceDE w:val="0"/>
              <w:autoSpaceDN w:val="0"/>
              <w:jc w:val="center"/>
              <w:rPr>
                <w:color w:val="auto"/>
                <w:kern w:val="0"/>
              </w:rPr>
            </w:pPr>
            <w:r>
              <w:rPr>
                <w:rFonts w:hint="eastAsia"/>
                <w:color w:val="auto"/>
                <w:kern w:val="0"/>
                <w:szCs w:val="21"/>
              </w:rPr>
              <w:t>无</w:t>
            </w:r>
          </w:p>
        </w:tc>
      </w:tr>
      <w:tr w14:paraId="6FE0A1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95" w:type="dxa"/>
            <w:noWrap w:val="0"/>
            <w:vAlign w:val="center"/>
          </w:tcPr>
          <w:p w14:paraId="2CF2A122">
            <w:pPr>
              <w:autoSpaceDE w:val="0"/>
              <w:autoSpaceDN w:val="0"/>
              <w:spacing w:line="240" w:lineRule="auto"/>
              <w:ind w:firstLine="0" w:firstLineChars="0"/>
              <w:jc w:val="center"/>
              <w:rPr>
                <w:color w:val="auto"/>
                <w:kern w:val="0"/>
              </w:rPr>
            </w:pPr>
            <w:r>
              <w:rPr>
                <w:color w:val="auto"/>
                <w:kern w:val="0"/>
              </w:rPr>
              <w:t>规划及规划环境影响评价符合性分析</w:t>
            </w:r>
          </w:p>
        </w:tc>
        <w:tc>
          <w:tcPr>
            <w:tcW w:w="7775" w:type="dxa"/>
            <w:gridSpan w:val="4"/>
            <w:noWrap w:val="0"/>
            <w:vAlign w:val="center"/>
          </w:tcPr>
          <w:p w14:paraId="740BEBDD">
            <w:pPr>
              <w:autoSpaceDE w:val="0"/>
              <w:autoSpaceDN w:val="0"/>
              <w:jc w:val="center"/>
              <w:rPr>
                <w:b/>
                <w:bCs/>
                <w:color w:val="auto"/>
              </w:rPr>
            </w:pPr>
            <w:r>
              <w:rPr>
                <w:rFonts w:hint="eastAsia"/>
                <w:color w:val="auto"/>
                <w:kern w:val="0"/>
                <w:szCs w:val="21"/>
              </w:rPr>
              <w:t>无</w:t>
            </w:r>
          </w:p>
        </w:tc>
      </w:tr>
      <w:tr w14:paraId="699861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47" w:hRule="atLeast"/>
          <w:jc w:val="center"/>
        </w:trPr>
        <w:tc>
          <w:tcPr>
            <w:tcW w:w="1095" w:type="dxa"/>
            <w:noWrap w:val="0"/>
            <w:vAlign w:val="center"/>
          </w:tcPr>
          <w:p w14:paraId="2557EAAD">
            <w:pPr>
              <w:autoSpaceDE w:val="0"/>
              <w:autoSpaceDN w:val="0"/>
              <w:spacing w:line="240" w:lineRule="auto"/>
              <w:ind w:firstLine="0" w:firstLineChars="0"/>
              <w:jc w:val="center"/>
              <w:rPr>
                <w:rFonts w:hint="eastAsia" w:ascii="宋体" w:hAnsi="宋体" w:cs="宋体"/>
                <w:color w:val="auto"/>
                <w:kern w:val="0"/>
              </w:rPr>
            </w:pPr>
            <w:r>
              <w:rPr>
                <w:rFonts w:hint="eastAsia" w:ascii="宋体" w:hAnsi="宋体" w:cs="宋体"/>
                <w:color w:val="auto"/>
                <w:kern w:val="0"/>
              </w:rPr>
              <w:t>其他符合性分析</w:t>
            </w:r>
          </w:p>
        </w:tc>
        <w:tc>
          <w:tcPr>
            <w:tcW w:w="7775" w:type="dxa"/>
            <w:gridSpan w:val="4"/>
            <w:noWrap w:val="0"/>
            <w:vAlign w:val="top"/>
          </w:tcPr>
          <w:p w14:paraId="5FBA2CA2">
            <w:pPr>
              <w:numPr>
                <w:ilvl w:val="0"/>
                <w:numId w:val="0"/>
              </w:numPr>
              <w:autoSpaceDE w:val="0"/>
              <w:autoSpaceDN w:val="0"/>
              <w:ind w:firstLine="0" w:firstLineChars="0"/>
              <w:jc w:val="left"/>
              <w:rPr>
                <w:b/>
                <w:bCs/>
                <w:color w:val="auto"/>
              </w:rPr>
            </w:pPr>
            <w:r>
              <w:rPr>
                <w:rFonts w:hint="default" w:ascii="Times New Roman" w:hAnsi="Times New Roman" w:eastAsia="宋体" w:cs="Times New Roman"/>
                <w:b/>
                <w:bCs/>
                <w:color w:val="auto"/>
                <w:kern w:val="2"/>
                <w:sz w:val="24"/>
                <w:szCs w:val="24"/>
                <w:lang w:val="en-US" w:eastAsia="zh-CN" w:bidi="ar-SA"/>
              </w:rPr>
              <w:t>1、</w:t>
            </w:r>
            <w:r>
              <w:rPr>
                <w:b/>
                <w:bCs/>
                <w:color w:val="auto"/>
              </w:rPr>
              <w:t>产业政策符合性分析</w:t>
            </w:r>
          </w:p>
          <w:p w14:paraId="13C22584">
            <w:pPr>
              <w:autoSpaceDE w:val="0"/>
              <w:autoSpaceDN w:val="0"/>
              <w:ind w:firstLine="480"/>
              <w:jc w:val="both"/>
              <w:rPr>
                <w:color w:val="auto"/>
              </w:rPr>
            </w:pPr>
            <w:r>
              <w:rPr>
                <w:color w:val="auto"/>
                <w:sz w:val="24"/>
                <w:highlight w:val="none"/>
              </w:rPr>
              <w:t>本项目</w:t>
            </w:r>
            <w:r>
              <w:rPr>
                <w:rFonts w:hint="eastAsia"/>
                <w:color w:val="auto"/>
                <w:sz w:val="24"/>
                <w:highlight w:val="none"/>
              </w:rPr>
              <w:t>国民经济行业类别</w:t>
            </w:r>
            <w:r>
              <w:rPr>
                <w:color w:val="auto"/>
                <w:sz w:val="24"/>
                <w:highlight w:val="none"/>
              </w:rPr>
              <w:t>属于</w:t>
            </w:r>
            <w:r>
              <w:rPr>
                <w:rFonts w:hint="eastAsia"/>
                <w:color w:val="auto"/>
                <w:sz w:val="24"/>
                <w:highlight w:val="none"/>
                <w:lang w:val="en-US" w:eastAsia="zh-CN"/>
              </w:rPr>
              <w:t>C</w:t>
            </w:r>
            <w:r>
              <w:rPr>
                <w:rFonts w:hint="default"/>
                <w:color w:val="auto"/>
                <w:sz w:val="24"/>
                <w:highlight w:val="none"/>
                <w:lang w:val="en-US" w:eastAsia="zh-CN"/>
              </w:rPr>
              <w:t>2919</w:t>
            </w:r>
            <w:r>
              <w:rPr>
                <w:rFonts w:hint="eastAsia"/>
                <w:color w:val="auto"/>
                <w:sz w:val="24"/>
                <w:highlight w:val="none"/>
                <w:lang w:val="en-US" w:eastAsia="zh-CN"/>
              </w:rPr>
              <w:t xml:space="preserve"> </w:t>
            </w:r>
            <w:r>
              <w:rPr>
                <w:rFonts w:hint="default"/>
                <w:color w:val="auto"/>
                <w:sz w:val="24"/>
                <w:highlight w:val="none"/>
                <w:lang w:val="en-US" w:eastAsia="zh-CN"/>
              </w:rPr>
              <w:t>其他橡胶制品制造</w:t>
            </w:r>
            <w:r>
              <w:rPr>
                <w:color w:val="auto"/>
                <w:sz w:val="24"/>
                <w:highlight w:val="none"/>
              </w:rPr>
              <w:t>，根据《产业结构调整指导目录》</w:t>
            </w:r>
            <w:r>
              <w:rPr>
                <w:bCs/>
                <w:snapToGrid w:val="0"/>
                <w:color w:val="auto"/>
                <w:kern w:val="24"/>
                <w:sz w:val="24"/>
                <w:highlight w:val="none"/>
              </w:rPr>
              <w:t>（</w:t>
            </w:r>
            <w:r>
              <w:rPr>
                <w:rFonts w:hint="eastAsia"/>
                <w:bCs/>
                <w:snapToGrid w:val="0"/>
                <w:color w:val="auto"/>
                <w:kern w:val="24"/>
                <w:sz w:val="24"/>
                <w:highlight w:val="none"/>
              </w:rPr>
              <w:t>20</w:t>
            </w:r>
            <w:r>
              <w:rPr>
                <w:rFonts w:hint="eastAsia"/>
                <w:bCs/>
                <w:snapToGrid w:val="0"/>
                <w:color w:val="auto"/>
                <w:kern w:val="24"/>
                <w:sz w:val="24"/>
                <w:highlight w:val="none"/>
                <w:lang w:val="en-US" w:eastAsia="zh-CN"/>
              </w:rPr>
              <w:t>24</w:t>
            </w:r>
            <w:r>
              <w:rPr>
                <w:rFonts w:hint="eastAsia"/>
                <w:bCs/>
                <w:snapToGrid w:val="0"/>
                <w:color w:val="auto"/>
                <w:kern w:val="24"/>
                <w:sz w:val="24"/>
                <w:highlight w:val="none"/>
              </w:rPr>
              <w:t>年</w:t>
            </w:r>
            <w:r>
              <w:rPr>
                <w:rFonts w:hint="eastAsia"/>
                <w:bCs/>
                <w:snapToGrid w:val="0"/>
                <w:color w:val="auto"/>
                <w:kern w:val="24"/>
                <w:sz w:val="24"/>
                <w:highlight w:val="none"/>
                <w:lang w:eastAsia="zh-CN"/>
              </w:rPr>
              <w:t>本</w:t>
            </w:r>
            <w:r>
              <w:rPr>
                <w:bCs/>
                <w:snapToGrid w:val="0"/>
                <w:color w:val="auto"/>
                <w:kern w:val="24"/>
                <w:sz w:val="24"/>
                <w:highlight w:val="none"/>
              </w:rPr>
              <w:t>）</w:t>
            </w:r>
            <w:r>
              <w:rPr>
                <w:color w:val="auto"/>
                <w:sz w:val="24"/>
                <w:highlight w:val="none"/>
              </w:rPr>
              <w:t>，本项目</w:t>
            </w:r>
            <w:r>
              <w:rPr>
                <w:rFonts w:hint="eastAsia"/>
                <w:color w:val="auto"/>
                <w:sz w:val="24"/>
                <w:szCs w:val="24"/>
                <w:highlight w:val="none"/>
                <w:lang w:val="en-US" w:eastAsia="zh-CN"/>
              </w:rPr>
              <w:t>不属于其中鼓励类、限制类及淘汰类产业</w:t>
            </w:r>
            <w:r>
              <w:rPr>
                <w:rFonts w:hint="eastAsia"/>
                <w:color w:val="auto"/>
                <w:sz w:val="24"/>
                <w:szCs w:val="24"/>
                <w:highlight w:val="none"/>
              </w:rPr>
              <w:t>，</w:t>
            </w:r>
            <w:r>
              <w:rPr>
                <w:rFonts w:hint="eastAsia"/>
                <w:color w:val="auto"/>
                <w:sz w:val="24"/>
                <w:szCs w:val="24"/>
                <w:highlight w:val="none"/>
                <w:lang w:val="en-US" w:eastAsia="zh-CN"/>
              </w:rPr>
              <w:t>视为允许类，</w:t>
            </w:r>
            <w:r>
              <w:rPr>
                <w:rFonts w:hint="eastAsia"/>
                <w:color w:val="auto"/>
                <w:sz w:val="24"/>
                <w:szCs w:val="24"/>
                <w:highlight w:val="none"/>
              </w:rPr>
              <w:t>且</w:t>
            </w:r>
            <w:r>
              <w:rPr>
                <w:color w:val="auto"/>
                <w:sz w:val="24"/>
                <w:szCs w:val="24"/>
                <w:highlight w:val="none"/>
              </w:rPr>
              <w:t>项目于202</w:t>
            </w:r>
            <w:r>
              <w:rPr>
                <w:rFonts w:hint="eastAsia"/>
                <w:color w:val="auto"/>
                <w:sz w:val="24"/>
                <w:szCs w:val="24"/>
                <w:highlight w:val="none"/>
                <w:lang w:val="en-US" w:eastAsia="zh-CN"/>
              </w:rPr>
              <w:t>6</w:t>
            </w:r>
            <w:r>
              <w:rPr>
                <w:color w:val="auto"/>
                <w:sz w:val="24"/>
                <w:szCs w:val="24"/>
                <w:highlight w:val="none"/>
              </w:rPr>
              <w:t>年</w:t>
            </w:r>
            <w:r>
              <w:rPr>
                <w:rFonts w:hint="eastAsia"/>
                <w:color w:val="auto"/>
                <w:sz w:val="24"/>
                <w:szCs w:val="24"/>
                <w:highlight w:val="none"/>
                <w:lang w:val="en-US" w:eastAsia="zh-CN"/>
              </w:rPr>
              <w:t>2</w:t>
            </w:r>
            <w:r>
              <w:rPr>
                <w:color w:val="auto"/>
                <w:sz w:val="24"/>
                <w:szCs w:val="24"/>
                <w:highlight w:val="none"/>
              </w:rPr>
              <w:t>月</w:t>
            </w:r>
            <w:r>
              <w:rPr>
                <w:rFonts w:hint="eastAsia"/>
                <w:color w:val="auto"/>
                <w:sz w:val="24"/>
                <w:szCs w:val="24"/>
                <w:highlight w:val="none"/>
                <w:lang w:val="en-US" w:eastAsia="zh-CN"/>
              </w:rPr>
              <w:t>3</w:t>
            </w:r>
            <w:r>
              <w:rPr>
                <w:color w:val="auto"/>
                <w:sz w:val="24"/>
                <w:szCs w:val="24"/>
                <w:highlight w:val="none"/>
              </w:rPr>
              <w:t>日</w:t>
            </w:r>
            <w:r>
              <w:rPr>
                <w:rFonts w:hint="eastAsia"/>
                <w:color w:val="auto"/>
                <w:sz w:val="24"/>
                <w:szCs w:val="24"/>
                <w:highlight w:val="none"/>
              </w:rPr>
              <w:t>经</w:t>
            </w:r>
            <w:r>
              <w:rPr>
                <w:rFonts w:hint="eastAsia"/>
                <w:color w:val="auto"/>
              </w:rPr>
              <w:t>北市杜集区发展和改革委员会</w:t>
            </w:r>
            <w:r>
              <w:rPr>
                <w:rFonts w:hint="eastAsia"/>
                <w:color w:val="auto"/>
                <w:sz w:val="24"/>
                <w:szCs w:val="24"/>
                <w:highlight w:val="none"/>
              </w:rPr>
              <w:t>备案，</w:t>
            </w:r>
            <w:r>
              <w:rPr>
                <w:color w:val="auto"/>
                <w:sz w:val="24"/>
                <w:szCs w:val="24"/>
                <w:highlight w:val="none"/>
              </w:rPr>
              <w:t>项目代码</w:t>
            </w:r>
            <w:r>
              <w:rPr>
                <w:rFonts w:hint="eastAsia"/>
                <w:color w:val="auto"/>
                <w:sz w:val="24"/>
                <w:szCs w:val="24"/>
                <w:highlight w:val="none"/>
              </w:rPr>
              <w:t>为</w:t>
            </w:r>
            <w:r>
              <w:rPr>
                <w:rFonts w:hint="eastAsia"/>
                <w:color w:val="auto"/>
                <w:lang w:val="en-US" w:eastAsia="zh-CN"/>
              </w:rPr>
              <w:t>2602-340602-04-05-843744</w:t>
            </w:r>
            <w:r>
              <w:rPr>
                <w:color w:val="auto"/>
                <w:sz w:val="24"/>
                <w:szCs w:val="24"/>
                <w:highlight w:val="none"/>
              </w:rPr>
              <w:t>。因此</w:t>
            </w:r>
            <w:r>
              <w:rPr>
                <w:rFonts w:hint="eastAsia"/>
                <w:color w:val="auto"/>
                <w:sz w:val="24"/>
                <w:szCs w:val="24"/>
                <w:highlight w:val="none"/>
              </w:rPr>
              <w:t>，本</w:t>
            </w:r>
            <w:r>
              <w:rPr>
                <w:color w:val="auto"/>
                <w:sz w:val="24"/>
                <w:szCs w:val="24"/>
                <w:highlight w:val="none"/>
              </w:rPr>
              <w:t>项目</w:t>
            </w:r>
            <w:r>
              <w:rPr>
                <w:rFonts w:hint="eastAsia"/>
                <w:color w:val="auto"/>
                <w:sz w:val="24"/>
                <w:szCs w:val="24"/>
                <w:highlight w:val="none"/>
              </w:rPr>
              <w:t>建设</w:t>
            </w:r>
            <w:r>
              <w:rPr>
                <w:color w:val="auto"/>
                <w:sz w:val="24"/>
                <w:szCs w:val="24"/>
                <w:highlight w:val="none"/>
              </w:rPr>
              <w:t>符合国家</w:t>
            </w:r>
            <w:r>
              <w:rPr>
                <w:rFonts w:hint="eastAsia"/>
                <w:color w:val="auto"/>
                <w:sz w:val="24"/>
                <w:szCs w:val="24"/>
                <w:highlight w:val="none"/>
              </w:rPr>
              <w:t>和地方</w:t>
            </w:r>
            <w:r>
              <w:rPr>
                <w:color w:val="auto"/>
                <w:sz w:val="24"/>
                <w:szCs w:val="24"/>
                <w:highlight w:val="none"/>
              </w:rPr>
              <w:t>产业政策的要求。</w:t>
            </w:r>
          </w:p>
          <w:p w14:paraId="3A051C2B">
            <w:pPr>
              <w:numPr>
                <w:ilvl w:val="0"/>
                <w:numId w:val="0"/>
              </w:numPr>
              <w:autoSpaceDE w:val="0"/>
              <w:autoSpaceDN w:val="0"/>
              <w:jc w:val="left"/>
              <w:rPr>
                <w:rFonts w:hint="eastAsia"/>
                <w:b/>
                <w:bCs/>
                <w:color w:val="auto"/>
                <w:kern w:val="0"/>
              </w:rPr>
            </w:pPr>
            <w:r>
              <w:rPr>
                <w:rFonts w:hint="eastAsia" w:ascii="Times New Roman" w:hAnsi="Times New Roman" w:eastAsia="宋体" w:cs="Times New Roman"/>
                <w:b/>
                <w:bCs/>
                <w:color w:val="auto"/>
                <w:kern w:val="0"/>
                <w:sz w:val="24"/>
                <w:szCs w:val="24"/>
                <w:lang w:val="en-US" w:eastAsia="zh-CN" w:bidi="ar-SA"/>
              </w:rPr>
              <w:t>2、</w:t>
            </w:r>
            <w:r>
              <w:rPr>
                <w:rFonts w:hint="eastAsia"/>
                <w:b/>
                <w:bCs/>
                <w:color w:val="auto"/>
                <w:kern w:val="0"/>
              </w:rPr>
              <w:t>用地性质符合性分析</w:t>
            </w:r>
          </w:p>
          <w:p w14:paraId="6BDDC08B">
            <w:pPr>
              <w:numPr>
                <w:ilvl w:val="0"/>
                <w:numId w:val="0"/>
              </w:numPr>
              <w:autoSpaceDE w:val="0"/>
              <w:autoSpaceDN w:val="0"/>
              <w:ind w:firstLine="480" w:firstLineChars="200"/>
              <w:jc w:val="both"/>
              <w:rPr>
                <w:rFonts w:hint="eastAsia" w:cs="Times New Roman"/>
                <w:b/>
                <w:bCs/>
                <w:color w:val="auto"/>
                <w:kern w:val="2"/>
                <w:sz w:val="24"/>
                <w:szCs w:val="24"/>
                <w:lang w:val="en-US" w:eastAsia="zh-CN" w:bidi="ar-SA"/>
              </w:rPr>
            </w:pPr>
            <w:r>
              <w:rPr>
                <w:rFonts w:hint="eastAsia"/>
                <w:color w:val="auto"/>
                <w:kern w:val="0"/>
              </w:rPr>
              <w:t>本项目位于</w:t>
            </w:r>
            <w:r>
              <w:rPr>
                <w:rFonts w:hint="eastAsia"/>
                <w:color w:val="auto"/>
                <w:lang w:val="en-US" w:eastAsia="zh-CN"/>
              </w:rPr>
              <w:t>安徽省</w:t>
            </w:r>
            <w:r>
              <w:rPr>
                <w:rFonts w:hint="eastAsia"/>
                <w:color w:val="auto"/>
              </w:rPr>
              <w:t>淮北市杜集区石台镇乡村振兴厂房</w:t>
            </w:r>
            <w:r>
              <w:rPr>
                <w:rFonts w:hint="eastAsia"/>
                <w:color w:val="auto"/>
                <w:kern w:val="0"/>
              </w:rPr>
              <w:t>，</w:t>
            </w:r>
            <w:r>
              <w:rPr>
                <w:rFonts w:hint="eastAsia"/>
                <w:color w:val="auto"/>
                <w:sz w:val="24"/>
              </w:rPr>
              <w:t>对照《淮北市</w:t>
            </w:r>
            <w:r>
              <w:rPr>
                <w:rFonts w:hint="eastAsia"/>
                <w:color w:val="auto"/>
                <w:sz w:val="24"/>
                <w:lang w:val="en-US" w:eastAsia="zh-CN"/>
              </w:rPr>
              <w:t>杜集区石台镇国土空间总体规划（2021-2035年）-镇域国土空间总体规划</w:t>
            </w:r>
            <w:r>
              <w:rPr>
                <w:rFonts w:hint="eastAsia"/>
                <w:color w:val="auto"/>
                <w:sz w:val="24"/>
              </w:rPr>
              <w:t>图》可知本项目位于城镇</w:t>
            </w:r>
            <w:r>
              <w:rPr>
                <w:rFonts w:hint="eastAsia"/>
                <w:color w:val="auto"/>
                <w:sz w:val="24"/>
                <w:lang w:val="en-US" w:eastAsia="zh-CN"/>
              </w:rPr>
              <w:t>开发边界内，用地性质为工业用地</w:t>
            </w:r>
            <w:r>
              <w:rPr>
                <w:rFonts w:hint="eastAsia"/>
                <w:color w:val="auto"/>
                <w:sz w:val="24"/>
              </w:rPr>
              <w:t>。</w:t>
            </w:r>
            <w:r>
              <w:rPr>
                <w:color w:val="auto"/>
                <w:sz w:val="24"/>
              </w:rPr>
              <w:t>因此，本项目</w:t>
            </w:r>
            <w:r>
              <w:rPr>
                <w:rFonts w:hint="eastAsia"/>
                <w:color w:val="auto"/>
                <w:sz w:val="24"/>
                <w:lang w:val="en-US" w:eastAsia="zh-CN"/>
              </w:rPr>
              <w:t>的</w:t>
            </w:r>
            <w:r>
              <w:rPr>
                <w:color w:val="auto"/>
                <w:sz w:val="24"/>
              </w:rPr>
              <w:t>建设与《</w:t>
            </w:r>
            <w:r>
              <w:rPr>
                <w:rFonts w:hint="eastAsia"/>
                <w:color w:val="auto"/>
                <w:sz w:val="24"/>
              </w:rPr>
              <w:t>淮北市</w:t>
            </w:r>
            <w:r>
              <w:rPr>
                <w:rFonts w:hint="eastAsia"/>
                <w:color w:val="auto"/>
                <w:sz w:val="24"/>
                <w:lang w:val="en-US" w:eastAsia="zh-CN"/>
              </w:rPr>
              <w:t>杜集区石台镇国土空间总体规划</w:t>
            </w:r>
            <w:r>
              <w:rPr>
                <w:color w:val="auto"/>
                <w:sz w:val="24"/>
              </w:rPr>
              <w:t>（20</w:t>
            </w:r>
            <w:r>
              <w:rPr>
                <w:rFonts w:hint="eastAsia"/>
                <w:color w:val="auto"/>
                <w:sz w:val="24"/>
                <w:lang w:val="en-US" w:eastAsia="zh-CN"/>
              </w:rPr>
              <w:t>21</w:t>
            </w:r>
            <w:r>
              <w:rPr>
                <w:color w:val="auto"/>
                <w:sz w:val="24"/>
              </w:rPr>
              <w:t>-20</w:t>
            </w:r>
            <w:r>
              <w:rPr>
                <w:rFonts w:hint="eastAsia"/>
                <w:color w:val="auto"/>
                <w:sz w:val="24"/>
                <w:lang w:val="en-US" w:eastAsia="zh-CN"/>
              </w:rPr>
              <w:t>35</w:t>
            </w:r>
            <w:r>
              <w:rPr>
                <w:color w:val="auto"/>
                <w:sz w:val="24"/>
              </w:rPr>
              <w:t>年）》相符。</w:t>
            </w:r>
            <w:r>
              <w:rPr>
                <w:rFonts w:hint="eastAsia"/>
                <w:color w:val="auto"/>
                <w:kern w:val="0"/>
              </w:rPr>
              <w:t>且本项目未被列入《</w:t>
            </w:r>
            <w:r>
              <w:rPr>
                <w:rFonts w:hint="eastAsia"/>
                <w:color w:val="auto"/>
                <w:kern w:val="0"/>
                <w:lang w:val="en"/>
              </w:rPr>
              <w:t>自然资源要素支撑产业高质量发展指导目录</w:t>
            </w:r>
            <w:r>
              <w:rPr>
                <w:rFonts w:hint="eastAsia"/>
                <w:color w:val="auto"/>
                <w:kern w:val="0"/>
              </w:rPr>
              <w:t>（2024年本）》中限制和禁止用地项目</w:t>
            </w:r>
            <w:r>
              <w:rPr>
                <w:rFonts w:hint="eastAsia"/>
                <w:color w:val="auto"/>
                <w:kern w:val="0"/>
                <w:lang w:eastAsia="zh-CN"/>
              </w:rPr>
              <w:t>。</w:t>
            </w:r>
          </w:p>
          <w:p w14:paraId="4F6B181C">
            <w:pPr>
              <w:numPr>
                <w:ilvl w:val="0"/>
                <w:numId w:val="0"/>
              </w:numPr>
              <w:autoSpaceDE w:val="0"/>
              <w:autoSpaceDN w:val="0"/>
              <w:ind w:firstLine="0" w:firstLineChars="0"/>
              <w:jc w:val="left"/>
              <w:rPr>
                <w:rFonts w:hint="eastAsia"/>
                <w:b/>
                <w:bCs/>
                <w:color w:val="auto"/>
              </w:rPr>
            </w:pPr>
            <w:r>
              <w:rPr>
                <w:rFonts w:hint="eastAsia" w:cs="Times New Roman"/>
                <w:b/>
                <w:bCs/>
                <w:color w:val="auto"/>
                <w:kern w:val="2"/>
                <w:sz w:val="24"/>
                <w:szCs w:val="24"/>
                <w:lang w:val="en-US" w:eastAsia="zh-CN" w:bidi="ar-SA"/>
              </w:rPr>
              <w:t>3</w:t>
            </w:r>
            <w:r>
              <w:rPr>
                <w:rFonts w:hint="default" w:ascii="Times New Roman" w:hAnsi="Times New Roman" w:eastAsia="宋体" w:cs="Times New Roman"/>
                <w:b/>
                <w:bCs/>
                <w:color w:val="auto"/>
                <w:kern w:val="2"/>
                <w:sz w:val="24"/>
                <w:szCs w:val="24"/>
                <w:lang w:val="en-US" w:eastAsia="zh-CN" w:bidi="ar-SA"/>
              </w:rPr>
              <w:t>、</w:t>
            </w:r>
            <w:r>
              <w:rPr>
                <w:rFonts w:hint="eastAsia"/>
                <w:b/>
                <w:bCs/>
                <w:color w:val="auto"/>
              </w:rPr>
              <w:t>项目与</w:t>
            </w:r>
            <w:r>
              <w:rPr>
                <w:rFonts w:hint="eastAsia"/>
                <w:b/>
                <w:bCs/>
                <w:color w:val="auto"/>
                <w:sz w:val="24"/>
                <w:highlight w:val="none"/>
              </w:rPr>
              <w:t>生态环境分区管控要求</w:t>
            </w:r>
            <w:r>
              <w:rPr>
                <w:b/>
                <w:bCs/>
                <w:color w:val="auto"/>
                <w:sz w:val="24"/>
                <w:highlight w:val="none"/>
              </w:rPr>
              <w:t>符合性分析</w:t>
            </w:r>
          </w:p>
          <w:p w14:paraId="1E0B5192">
            <w:pPr>
              <w:numPr>
                <w:ilvl w:val="0"/>
                <w:numId w:val="0"/>
              </w:numPr>
              <w:autoSpaceDE w:val="0"/>
              <w:autoSpaceDN w:val="0"/>
              <w:ind w:firstLine="480" w:firstLineChars="0"/>
              <w:jc w:val="left"/>
              <w:rPr>
                <w:rFonts w:hint="eastAsia"/>
                <w:color w:val="auto"/>
              </w:rPr>
            </w:pPr>
            <w:r>
              <w:rPr>
                <w:rFonts w:hint="default" w:ascii="Times New Roman" w:hAnsi="Times New Roman" w:eastAsia="宋体" w:cs="Times New Roman"/>
                <w:color w:val="auto"/>
                <w:kern w:val="2"/>
                <w:sz w:val="24"/>
                <w:szCs w:val="24"/>
                <w:lang w:val="en-US" w:eastAsia="zh-CN" w:bidi="ar-SA"/>
              </w:rPr>
              <w:t>（1）</w:t>
            </w:r>
            <w:r>
              <w:rPr>
                <w:rFonts w:hint="eastAsia"/>
                <w:color w:val="auto"/>
              </w:rPr>
              <w:t>生态保护红线相符性分析</w:t>
            </w:r>
          </w:p>
          <w:p w14:paraId="5F3F5F68">
            <w:pPr>
              <w:autoSpaceDE w:val="0"/>
              <w:autoSpaceDN w:val="0"/>
              <w:ind w:firstLine="480"/>
              <w:jc w:val="left"/>
              <w:rPr>
                <w:color w:val="auto"/>
              </w:rPr>
            </w:pPr>
            <w:r>
              <w:rPr>
                <w:color w:val="auto"/>
              </w:rPr>
              <w:t>本项目位于</w:t>
            </w:r>
            <w:r>
              <w:rPr>
                <w:rFonts w:hint="eastAsia"/>
                <w:color w:val="auto"/>
                <w:lang w:val="en-US" w:eastAsia="zh-CN"/>
              </w:rPr>
              <w:t>安徽省</w:t>
            </w:r>
            <w:r>
              <w:rPr>
                <w:rFonts w:hint="eastAsia"/>
                <w:color w:val="auto"/>
              </w:rPr>
              <w:t>淮北市杜集区石台镇乡村振兴厂房</w:t>
            </w:r>
            <w:r>
              <w:rPr>
                <w:color w:val="auto"/>
              </w:rPr>
              <w:t>，</w:t>
            </w:r>
            <w:r>
              <w:rPr>
                <w:rFonts w:hint="eastAsia"/>
                <w:color w:val="auto"/>
              </w:rPr>
              <w:t>对照《淮北市生态保护红线分布图》，拟建项目不涉及淮北市生态保护红线内容，不涉及生态保护红线。</w:t>
            </w:r>
          </w:p>
          <w:p w14:paraId="14799C31">
            <w:pPr>
              <w:numPr>
                <w:ilvl w:val="0"/>
                <w:numId w:val="0"/>
              </w:numPr>
              <w:autoSpaceDE w:val="0"/>
              <w:autoSpaceDN w:val="0"/>
              <w:ind w:firstLine="480" w:firstLineChars="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本项目与生态环境分区管控要求符合性分析如下：</w:t>
            </w:r>
          </w:p>
          <w:p w14:paraId="076BFCB3">
            <w:pPr>
              <w:numPr>
                <w:ilvl w:val="0"/>
                <w:numId w:val="0"/>
              </w:numPr>
              <w:autoSpaceDE w:val="0"/>
              <w:autoSpaceDN w:val="0"/>
              <w:ind w:firstLine="480" w:firstLineChars="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经查询安徽省</w:t>
            </w:r>
            <w:r>
              <w:rPr>
                <w:rFonts w:hint="eastAsia" w:cs="Times New Roman"/>
                <w:color w:val="auto"/>
                <w:kern w:val="2"/>
                <w:sz w:val="24"/>
                <w:szCs w:val="24"/>
                <w:lang w:val="en-US" w:eastAsia="zh-CN" w:bidi="ar-SA"/>
              </w:rPr>
              <w:t>“生态环境分区管控”</w:t>
            </w:r>
            <w:r>
              <w:rPr>
                <w:rFonts w:hint="default" w:ascii="Times New Roman" w:hAnsi="Times New Roman" w:eastAsia="宋体" w:cs="Times New Roman"/>
                <w:color w:val="auto"/>
                <w:kern w:val="2"/>
                <w:sz w:val="24"/>
                <w:szCs w:val="24"/>
                <w:lang w:val="en-US" w:eastAsia="zh-CN" w:bidi="ar-SA"/>
              </w:rPr>
              <w:t>公众服务平台，本项目所在区域涉及1个</w:t>
            </w:r>
            <w:r>
              <w:rPr>
                <w:rFonts w:hint="eastAsia" w:cs="Times New Roman"/>
                <w:color w:val="auto"/>
                <w:kern w:val="2"/>
                <w:sz w:val="24"/>
                <w:szCs w:val="24"/>
                <w:lang w:val="en-US" w:eastAsia="zh-CN" w:bidi="ar-SA"/>
              </w:rPr>
              <w:t>一般管控单元</w:t>
            </w:r>
            <w:r>
              <w:rPr>
                <w:rFonts w:hint="default" w:ascii="Times New Roman" w:hAnsi="Times New Roman" w:eastAsia="宋体" w:cs="Times New Roman"/>
                <w:color w:val="auto"/>
                <w:kern w:val="2"/>
                <w:sz w:val="24"/>
                <w:szCs w:val="24"/>
                <w:lang w:val="en-US" w:eastAsia="zh-CN" w:bidi="ar-SA"/>
              </w:rPr>
              <w:t>，单元编码</w:t>
            </w:r>
            <w:r>
              <w:rPr>
                <w:rFonts w:hint="eastAsia"/>
                <w:bCs/>
                <w:color w:val="auto"/>
                <w:kern w:val="0"/>
                <w:sz w:val="24"/>
              </w:rPr>
              <w:t>ZH34060230012</w:t>
            </w:r>
            <w:r>
              <w:rPr>
                <w:rFonts w:hint="default" w:ascii="Times New Roman" w:hAnsi="Times New Roman" w:eastAsia="宋体" w:cs="Times New Roman"/>
                <w:color w:val="auto"/>
                <w:kern w:val="2"/>
                <w:sz w:val="24"/>
                <w:szCs w:val="24"/>
                <w:lang w:val="en-US" w:eastAsia="zh-CN" w:bidi="ar-SA"/>
              </w:rPr>
              <w:t>。</w:t>
            </w:r>
          </w:p>
          <w:p w14:paraId="2FCE4302">
            <w:pPr>
              <w:bidi w:val="0"/>
              <w:rPr>
                <w:rFonts w:hint="default"/>
                <w:lang w:val="en-US" w:eastAsia="zh-CN"/>
              </w:rPr>
            </w:pPr>
            <w:r>
              <w:rPr>
                <w:sz w:val="24"/>
              </w:rPr>
              <mc:AlternateContent>
                <mc:Choice Requires="wps">
                  <w:drawing>
                    <wp:anchor distT="0" distB="0" distL="114300" distR="114300" simplePos="0" relativeHeight="251673600" behindDoc="0" locked="0" layoutInCell="1" allowOverlap="1">
                      <wp:simplePos x="0" y="0"/>
                      <wp:positionH relativeFrom="column">
                        <wp:posOffset>2557780</wp:posOffset>
                      </wp:positionH>
                      <wp:positionV relativeFrom="paragraph">
                        <wp:posOffset>308610</wp:posOffset>
                      </wp:positionV>
                      <wp:extent cx="1021080" cy="441325"/>
                      <wp:effectExtent l="181610" t="12700" r="16510" b="479425"/>
                      <wp:wrapNone/>
                      <wp:docPr id="1" name="矩形标注 1"/>
                      <wp:cNvGraphicFramePr/>
                      <a:graphic xmlns:a="http://schemas.openxmlformats.org/drawingml/2006/main">
                        <a:graphicData uri="http://schemas.microsoft.com/office/word/2010/wordprocessingShape">
                          <wps:wsp>
                            <wps:cNvSpPr/>
                            <wps:spPr>
                              <a:xfrm>
                                <a:off x="3938905" y="1724025"/>
                                <a:ext cx="1021080" cy="441325"/>
                              </a:xfrm>
                              <a:prstGeom prst="wedgeRectCallout">
                                <a:avLst>
                                  <a:gd name="adj1" fmla="val -66561"/>
                                  <a:gd name="adj2" fmla="val 152877"/>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6EE9E033">
                                  <w:pPr>
                                    <w:jc w:val="center"/>
                                    <w:rPr>
                                      <w:rFonts w:hint="eastAsia" w:eastAsia="宋体"/>
                                      <w:b/>
                                      <w:bCs/>
                                      <w:lang w:val="en-US" w:eastAsia="zh-CN"/>
                                    </w:rPr>
                                  </w:pPr>
                                  <w:r>
                                    <w:rPr>
                                      <w:rFonts w:hint="eastAsia"/>
                                      <w:b/>
                                      <w:bCs/>
                                      <w:lang w:val="en-US"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01.4pt;margin-top:24.3pt;height:34.75pt;width:80.4pt;z-index:251673600;v-text-anchor:middle;mso-width-relative:page;mso-height-relative:page;" fillcolor="#4F81BD [3204]" filled="t" stroked="t" coordsize="21600,21600" o:gfxdata="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0MXkv9gAAAAKAQAA&#10;DwAAAAAAAAABACAAAAAiAAAAZHJzL2Rvd25yZXYueG1sUEsBAhQAFAAAAAgAh07iQOWdycXEAgAA&#10;ewUAAA4AAAAAAAAAAQAgAAAAJwEAAGRycy9lMm9Eb2MueG1sUEsFBgAAAAAGAAYAWQEAAF0GAAAA&#10;AA==&#10;" adj="-3577,43821">
                      <v:fill on="t" focussize="0,0"/>
                      <v:stroke weight="2pt" color="#376092 [2404]" joinstyle="round"/>
                      <v:imagedata o:title=""/>
                      <o:lock v:ext="edit" aspectratio="f"/>
                      <v:textbox>
                        <w:txbxContent>
                          <w:p w14:paraId="6EE9E033">
                            <w:pPr>
                              <w:jc w:val="center"/>
                              <w:rPr>
                                <w:rFonts w:hint="eastAsia" w:eastAsia="宋体"/>
                                <w:b/>
                                <w:bCs/>
                                <w:lang w:val="en-US" w:eastAsia="zh-CN"/>
                              </w:rPr>
                            </w:pPr>
                            <w:r>
                              <w:rPr>
                                <w:rFonts w:hint="eastAsia"/>
                                <w:b/>
                                <w:bCs/>
                                <w:lang w:val="en-US" w:eastAsia="zh-CN"/>
                              </w:rPr>
                              <w:t>项目所在地</w:t>
                            </w:r>
                          </w:p>
                        </w:txbxContent>
                      </v:textbox>
                    </v:shape>
                  </w:pict>
                </mc:Fallback>
              </mc:AlternateContent>
            </w:r>
            <w:r>
              <w:drawing>
                <wp:inline distT="0" distB="0" distL="114300" distR="114300">
                  <wp:extent cx="4845050" cy="2611755"/>
                  <wp:effectExtent l="0" t="0" r="12700" b="1714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0"/>
                          <a:stretch>
                            <a:fillRect/>
                          </a:stretch>
                        </pic:blipFill>
                        <pic:spPr>
                          <a:xfrm>
                            <a:off x="0" y="0"/>
                            <a:ext cx="4845050" cy="2611755"/>
                          </a:xfrm>
                          <a:prstGeom prst="rect">
                            <a:avLst/>
                          </a:prstGeom>
                          <a:noFill/>
                          <a:ln>
                            <a:noFill/>
                          </a:ln>
                        </pic:spPr>
                      </pic:pic>
                    </a:graphicData>
                  </a:graphic>
                </wp:inline>
              </w:drawing>
            </w:r>
          </w:p>
          <w:p w14:paraId="497019FE">
            <w:pPr>
              <w:bidi w:val="0"/>
              <w:jc w:val="center"/>
              <w:rPr>
                <w:rFonts w:hint="default"/>
                <w:b/>
                <w:bCs/>
                <w:lang w:val="en-US" w:eastAsia="zh-CN"/>
              </w:rPr>
            </w:pPr>
            <w:r>
              <w:rPr>
                <w:rFonts w:hint="default"/>
                <w:b/>
                <w:bCs/>
                <w:lang w:val="en-US" w:eastAsia="zh-CN"/>
              </w:rPr>
              <w:t>图</w:t>
            </w:r>
            <w:r>
              <w:rPr>
                <w:rFonts w:hint="eastAsia"/>
                <w:b/>
                <w:bCs/>
                <w:lang w:val="en-US" w:eastAsia="zh-CN"/>
              </w:rPr>
              <w:t>1-1</w:t>
            </w:r>
            <w:r>
              <w:rPr>
                <w:rFonts w:hint="default"/>
                <w:b/>
                <w:bCs/>
                <w:lang w:val="en-US" w:eastAsia="zh-CN"/>
              </w:rPr>
              <w:t xml:space="preserve"> 项目与分区管控位置关系图</w:t>
            </w:r>
          </w:p>
          <w:p w14:paraId="3CE099E3">
            <w:pPr>
              <w:numPr>
                <w:ilvl w:val="0"/>
                <w:numId w:val="0"/>
              </w:numPr>
              <w:autoSpaceDE w:val="0"/>
              <w:autoSpaceDN w:val="0"/>
              <w:ind w:firstLine="480" w:firstLineChars="0"/>
              <w:rPr>
                <w:color w:val="auto"/>
              </w:rPr>
            </w:pPr>
            <w:r>
              <w:rPr>
                <w:rFonts w:hint="default" w:ascii="Times New Roman" w:hAnsi="Times New Roman" w:eastAsia="宋体" w:cs="Times New Roman"/>
                <w:color w:val="auto"/>
                <w:kern w:val="2"/>
                <w:sz w:val="24"/>
                <w:szCs w:val="24"/>
                <w:lang w:val="en-US" w:eastAsia="zh-CN" w:bidi="ar-SA"/>
              </w:rPr>
              <w:t>（2）</w:t>
            </w:r>
            <w:r>
              <w:rPr>
                <w:color w:val="auto"/>
              </w:rPr>
              <w:t>环境质量底线及分区管控</w:t>
            </w:r>
            <w:r>
              <w:rPr>
                <w:rFonts w:hint="eastAsia"/>
                <w:color w:val="auto"/>
                <w:lang w:eastAsia="zh-CN"/>
              </w:rPr>
              <w:t>相符</w:t>
            </w:r>
            <w:r>
              <w:rPr>
                <w:color w:val="auto"/>
              </w:rPr>
              <w:t>性分析</w:t>
            </w:r>
          </w:p>
          <w:p w14:paraId="4A9D94DD">
            <w:pPr>
              <w:autoSpaceDE w:val="0"/>
              <w:autoSpaceDN w:val="0"/>
              <w:ind w:firstLine="480"/>
              <w:jc w:val="left"/>
              <w:rPr>
                <w:rFonts w:hint="eastAsia"/>
                <w:color w:val="auto"/>
              </w:rPr>
            </w:pPr>
            <w:r>
              <w:rPr>
                <w:rFonts w:hint="eastAsia"/>
                <w:color w:val="auto"/>
              </w:rPr>
              <w:t>①水环境分区管控级别及要求：对照《淮北市“三线一单”文本》，本项目位于水环境重点管控区。管控要求为：依据《中华人民共和国水污染防治法》、《水污染防治行动计划》、《安徽省水污染防治工作方案》及各市水污染防治工作方案对重点管控区实施管控；依据《安徽省淮河流域水污染防治条例》对淮河流域实施管控；依据开发区规划、规划环评及审查意见相关要求对开发区实施管控；落实《“十四五”生态环境保护规划》《安徽省“十四五”环境保护规划》《安徽省“十四五”节能减排实施方案》等要求，新建、改建和扩建项目水污染物实施“等量替代”。</w:t>
            </w:r>
          </w:p>
          <w:p w14:paraId="5A1713B1">
            <w:pPr>
              <w:autoSpaceDE w:val="0"/>
              <w:autoSpaceDN w:val="0"/>
              <w:jc w:val="left"/>
              <w:rPr>
                <w:color w:val="auto"/>
              </w:rPr>
            </w:pPr>
            <w:r>
              <w:rPr>
                <w:color w:val="auto"/>
              </w:rPr>
              <w:drawing>
                <wp:anchor distT="0" distB="0" distL="114300" distR="114300" simplePos="0" relativeHeight="251661312" behindDoc="0" locked="0" layoutInCell="1" allowOverlap="1">
                  <wp:simplePos x="0" y="0"/>
                  <wp:positionH relativeFrom="column">
                    <wp:posOffset>158115</wp:posOffset>
                  </wp:positionH>
                  <wp:positionV relativeFrom="paragraph">
                    <wp:posOffset>674370</wp:posOffset>
                  </wp:positionV>
                  <wp:extent cx="2577465" cy="1975485"/>
                  <wp:effectExtent l="9525" t="9525" r="22860" b="15240"/>
                  <wp:wrapNone/>
                  <wp:docPr id="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pic:cNvPicPr>
                            <a:picLocks noChangeAspect="1"/>
                          </pic:cNvPicPr>
                        </pic:nvPicPr>
                        <pic:blipFill>
                          <a:blip r:embed="rId11"/>
                          <a:stretch>
                            <a:fillRect/>
                          </a:stretch>
                        </pic:blipFill>
                        <pic:spPr>
                          <a:xfrm>
                            <a:off x="0" y="0"/>
                            <a:ext cx="2577465" cy="1975485"/>
                          </a:xfrm>
                          <a:prstGeom prst="rect">
                            <a:avLst/>
                          </a:prstGeom>
                          <a:noFill/>
                          <a:ln>
                            <a:solidFill>
                              <a:schemeClr val="tx1"/>
                            </a:solidFill>
                          </a:ln>
                        </pic:spPr>
                      </pic:pic>
                    </a:graphicData>
                  </a:graphic>
                </wp:anchor>
              </w:drawing>
            </w:r>
            <w:r>
              <w:rPr>
                <w:color w:val="auto"/>
              </w:rPr>
              <mc:AlternateContent>
                <mc:Choice Requires="wps">
                  <w:drawing>
                    <wp:anchor distT="0" distB="0" distL="114300" distR="114300" simplePos="0" relativeHeight="251663360" behindDoc="0" locked="0" layoutInCell="1" allowOverlap="1">
                      <wp:simplePos x="0" y="0"/>
                      <wp:positionH relativeFrom="column">
                        <wp:posOffset>1376680</wp:posOffset>
                      </wp:positionH>
                      <wp:positionV relativeFrom="paragraph">
                        <wp:posOffset>1369060</wp:posOffset>
                      </wp:positionV>
                      <wp:extent cx="75565" cy="75565"/>
                      <wp:effectExtent l="12700" t="12700" r="26035" b="26035"/>
                      <wp:wrapNone/>
                      <wp:docPr id="12" name="等腰三角形 12"/>
                      <wp:cNvGraphicFramePr/>
                      <a:graphic xmlns:a="http://schemas.openxmlformats.org/drawingml/2006/main">
                        <a:graphicData uri="http://schemas.microsoft.com/office/word/2010/wordprocessingShape">
                          <wps:wsp>
                            <wps:cNvSpPr/>
                            <wps:spPr>
                              <a:xfrm>
                                <a:off x="2789555" y="2487930"/>
                                <a:ext cx="75565" cy="75565"/>
                              </a:xfrm>
                              <a:prstGeom prst="triangle">
                                <a:avLst/>
                              </a:prstGeom>
                              <a:solidFill>
                                <a:srgbClr val="0070C0"/>
                              </a:solidFill>
                              <a:ln>
                                <a:solidFill>
                                  <a:srgbClr val="0070C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08.4pt;margin-top:107.8pt;height:5.95pt;width:5.95pt;z-index:251663360;v-text-anchor:middle;mso-width-relative:page;mso-height-relative:page;" fillcolor="#0070C0" filled="t" stroked="t" coordsize="21600,21600" o:gfxdata="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jK7Qp3AAAAAsBAAAPAAAAAAAAAAEA&#10;IAAAACIAAABkcnMvZG93bnJldi54bWxQSwECFAAUAAAACACHTuJAes/ZY30CAAD1BAAADgAAAAAA&#10;AAABACAAAAArAQAAZHJzL2Uyb0RvYy54bWxQSwUGAAAAAAYABgBZAQAAGgYAAAAA&#10;" adj="10800">
                      <v:fill on="t" focussize="0,0"/>
                      <v:stroke weight="2pt" color="#0070C0 [2404]" joinstyle="round"/>
                      <v:imagedata o:title=""/>
                      <o:lock v:ext="edit" aspectratio="f"/>
                    </v:shape>
                  </w:pict>
                </mc:Fallback>
              </mc:AlternateContent>
            </w:r>
            <w:r>
              <w:rPr>
                <w:color w:val="auto"/>
              </w:rPr>
              <mc:AlternateContent>
                <mc:Choice Requires="wps">
                  <w:drawing>
                    <wp:anchor distT="0" distB="0" distL="114300" distR="114300" simplePos="0" relativeHeight="251664384" behindDoc="0" locked="0" layoutInCell="1" allowOverlap="1">
                      <wp:simplePos x="0" y="0"/>
                      <wp:positionH relativeFrom="column">
                        <wp:posOffset>1572895</wp:posOffset>
                      </wp:positionH>
                      <wp:positionV relativeFrom="paragraph">
                        <wp:posOffset>1226820</wp:posOffset>
                      </wp:positionV>
                      <wp:extent cx="914400" cy="914400"/>
                      <wp:effectExtent l="0" t="0" r="0" b="0"/>
                      <wp:wrapNone/>
                      <wp:docPr id="13" name="文本框 13"/>
                      <wp:cNvGraphicFramePr/>
                      <a:graphic xmlns:a="http://schemas.openxmlformats.org/drawingml/2006/main">
                        <a:graphicData uri="http://schemas.microsoft.com/office/word/2010/wordprocessingShape">
                          <wps:wsp>
                            <wps:cNvSpPr txBox="1"/>
                            <wps:spPr>
                              <a:xfrm>
                                <a:off x="2899410" y="2164715"/>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7E290E">
                                  <w:pPr>
                                    <w:rPr>
                                      <w:rFonts w:hint="eastAsia" w:eastAsia="宋体"/>
                                      <w:b/>
                                      <w:bCs/>
                                      <w:color w:val="0070C0"/>
                                      <w:lang w:val="en-US" w:eastAsia="zh-CN"/>
                                    </w:rPr>
                                  </w:pPr>
                                  <w:r>
                                    <w:rPr>
                                      <w:rFonts w:hint="eastAsia"/>
                                      <w:b/>
                                      <w:bCs/>
                                      <w:color w:val="0070C0"/>
                                      <w:lang w:val="en-US" w:eastAsia="zh-CN"/>
                                    </w:rPr>
                                    <w:t>项目地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85pt;margin-top:96.6pt;height:72pt;width:72pt;z-index:251664384;mso-width-relative:page;mso-height-relative:page;" filled="f" stroked="f" coordsize="21600,21600" o:gfxdata="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8OqaM9wAAAALAQAADwAAAAAAAAABACAA&#10;AAAiAAAAZHJzL2Rvd25yZXYueG1sUEsBAhQAFAAAAAgAh07iQHrE4ClCAgAAcwQAAA4AAAAAAAAA&#10;AQAgAAAAKwEAAGRycy9lMm9Eb2MueG1sUEsFBgAAAAAGAAYAWQEAAN8FAAAAAA==&#10;">
                      <v:fill on="f" focussize="0,0"/>
                      <v:stroke on="f" weight="0.5pt"/>
                      <v:imagedata o:title=""/>
                      <o:lock v:ext="edit" aspectratio="f"/>
                      <v:textbox>
                        <w:txbxContent>
                          <w:p w14:paraId="0E7E290E">
                            <w:pPr>
                              <w:rPr>
                                <w:rFonts w:hint="eastAsia" w:eastAsia="宋体"/>
                                <w:b/>
                                <w:bCs/>
                                <w:color w:val="0070C0"/>
                                <w:lang w:val="en-US" w:eastAsia="zh-CN"/>
                              </w:rPr>
                            </w:pPr>
                            <w:r>
                              <w:rPr>
                                <w:rFonts w:hint="eastAsia"/>
                                <w:b/>
                                <w:bCs/>
                                <w:color w:val="0070C0"/>
                                <w:lang w:val="en-US" w:eastAsia="zh-CN"/>
                              </w:rPr>
                              <w:t>项目地</w:t>
                            </w:r>
                          </w:p>
                        </w:txbxContent>
                      </v:textbox>
                    </v:shape>
                  </w:pict>
                </mc:Fallback>
              </mc:AlternateContent>
            </w:r>
            <w:r>
              <w:rPr>
                <w:color w:val="auto"/>
              </w:rPr>
              <mc:AlternateContent>
                <mc:Choice Requires="wps">
                  <w:drawing>
                    <wp:anchor distT="0" distB="0" distL="114300" distR="114300" simplePos="0" relativeHeight="251662336" behindDoc="0" locked="0" layoutInCell="1" allowOverlap="1">
                      <wp:simplePos x="0" y="0"/>
                      <wp:positionH relativeFrom="column">
                        <wp:posOffset>1463040</wp:posOffset>
                      </wp:positionH>
                      <wp:positionV relativeFrom="paragraph">
                        <wp:posOffset>1464310</wp:posOffset>
                      </wp:positionV>
                      <wp:extent cx="1769110" cy="725805"/>
                      <wp:effectExtent l="0" t="6350" r="21590" b="29845"/>
                      <wp:wrapNone/>
                      <wp:docPr id="10" name="直接箭头连接符 10"/>
                      <wp:cNvGraphicFramePr/>
                      <a:graphic xmlns:a="http://schemas.openxmlformats.org/drawingml/2006/main">
                        <a:graphicData uri="http://schemas.microsoft.com/office/word/2010/wordprocessingShape">
                          <wps:wsp>
                            <wps:cNvCnPr/>
                            <wps:spPr>
                              <a:xfrm flipH="1" flipV="1">
                                <a:off x="2906395" y="2425700"/>
                                <a:ext cx="1769110" cy="725805"/>
                              </a:xfrm>
                              <a:prstGeom prst="straightConnector1">
                                <a:avLst/>
                              </a:prstGeom>
                              <a:ln>
                                <a:solidFill>
                                  <a:srgbClr val="0070C0"/>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115.2pt;margin-top:115.3pt;height:57.15pt;width:139.3pt;z-index:251662336;mso-width-relative:page;mso-height-relative:page;" filled="f" stroked="t" coordsize="21600,21600" o:gfxdata="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PqxcnYAAAACwEA&#10;AA8AAAAAAAAAAQAgAAAAIgAAAGRycy9kb3ducmV2LnhtbFBLAQIUABQAAAAIAIdO4kCrj91RGgIA&#10;APIDAAAOAAAAAAAAAAEAIAAAACcBAABkcnMvZTJvRG9jLnhtbFBLBQYAAAAABgAGAFkBAACzBQAA&#10;AAA=&#10;">
                      <v:fill on="f" focussize="0,0"/>
                      <v:stroke weight="2pt" color="#0070C0 [3204]" joinstyle="round" endarrow="block"/>
                      <v:imagedata o:title=""/>
                      <o:lock v:ext="edit" aspectratio="f"/>
                    </v:shape>
                  </w:pict>
                </mc:Fallback>
              </mc:AlternateContent>
            </w:r>
            <w:r>
              <w:rPr>
                <w:color w:val="auto"/>
              </w:rPr>
              <w:drawing>
                <wp:inline distT="0" distB="0" distL="0" distR="0">
                  <wp:extent cx="5274310" cy="7452995"/>
                  <wp:effectExtent l="0" t="0" r="2540" b="14605"/>
                  <wp:docPr id="4" name="图片 4" descr="C:\Users\lv\Desktop\淮北评审后成果\更新成果表与图\图件\17淮北市水环境分区管控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v\Desktop\淮北评审后成果\更新成果表与图\图件\17淮北市水环境分区管控图.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7453544"/>
                          </a:xfrm>
                          <a:prstGeom prst="rect">
                            <a:avLst/>
                          </a:prstGeom>
                          <a:noFill/>
                          <a:ln>
                            <a:noFill/>
                          </a:ln>
                        </pic:spPr>
                      </pic:pic>
                    </a:graphicData>
                  </a:graphic>
                </wp:inline>
              </w:drawing>
            </w:r>
          </w:p>
          <w:p w14:paraId="2C630E95">
            <w:pPr>
              <w:autoSpaceDE w:val="0"/>
              <w:autoSpaceDN w:val="0"/>
              <w:jc w:val="center"/>
              <w:rPr>
                <w:b/>
                <w:bCs/>
                <w:color w:val="auto"/>
              </w:rPr>
            </w:pPr>
            <w:r>
              <w:rPr>
                <w:rFonts w:hint="eastAsia"/>
                <w:b/>
                <w:bCs/>
                <w:color w:val="auto"/>
              </w:rPr>
              <w:t>图</w:t>
            </w:r>
            <w:r>
              <w:rPr>
                <w:rFonts w:hint="eastAsia"/>
                <w:b/>
                <w:bCs/>
                <w:color w:val="auto"/>
                <w:lang w:val="en-US" w:eastAsia="zh-CN"/>
              </w:rPr>
              <w:t>1-2</w:t>
            </w:r>
            <w:r>
              <w:rPr>
                <w:rFonts w:hint="default"/>
                <w:b/>
                <w:bCs/>
                <w:color w:val="auto"/>
              </w:rPr>
              <w:t xml:space="preserve">  </w:t>
            </w:r>
            <w:r>
              <w:rPr>
                <w:rFonts w:hint="eastAsia"/>
                <w:b/>
                <w:bCs/>
                <w:color w:val="auto"/>
                <w:lang w:val="en-US" w:eastAsia="zh-CN"/>
              </w:rPr>
              <w:t>本</w:t>
            </w:r>
            <w:r>
              <w:rPr>
                <w:rFonts w:hint="eastAsia"/>
                <w:b/>
                <w:bCs/>
                <w:color w:val="auto"/>
              </w:rPr>
              <w:t>项目与</w:t>
            </w:r>
            <w:r>
              <w:rPr>
                <w:rFonts w:hint="eastAsia"/>
                <w:b/>
                <w:bCs/>
                <w:color w:val="auto"/>
                <w:lang w:val="en-US" w:eastAsia="zh-CN"/>
              </w:rPr>
              <w:t>水</w:t>
            </w:r>
            <w:r>
              <w:rPr>
                <w:rFonts w:hint="eastAsia"/>
                <w:b/>
                <w:bCs/>
                <w:color w:val="auto"/>
              </w:rPr>
              <w:t>环境风险管控分区位置关系图</w:t>
            </w:r>
          </w:p>
          <w:p w14:paraId="730006E3">
            <w:pPr>
              <w:autoSpaceDE w:val="0"/>
              <w:autoSpaceDN w:val="0"/>
              <w:ind w:firstLine="480"/>
              <w:jc w:val="left"/>
              <w:rPr>
                <w:color w:val="auto"/>
              </w:rPr>
            </w:pPr>
            <w:r>
              <w:rPr>
                <w:rFonts w:hint="eastAsia"/>
                <w:color w:val="auto"/>
              </w:rPr>
              <w:t>本项目相符性分析：</w:t>
            </w:r>
            <w:r>
              <w:rPr>
                <w:rFonts w:hint="eastAsia"/>
                <w:color w:val="auto"/>
                <w:lang w:val="en-US" w:eastAsia="zh-CN"/>
              </w:rPr>
              <w:t>生活污水、保洁废水经化粪池预处理后，汇同循环冷却系统排水满足排放标准后排入市政污水管网，最终进入龙湖污水处理厂集中处理</w:t>
            </w:r>
            <w:r>
              <w:rPr>
                <w:rFonts w:hint="eastAsia"/>
                <w:color w:val="auto"/>
              </w:rPr>
              <w:t>。因此，本项目满足水环境工业污染重点管控区要求。</w:t>
            </w:r>
          </w:p>
          <w:p w14:paraId="38D3AC4C">
            <w:pPr>
              <w:autoSpaceDE w:val="0"/>
              <w:autoSpaceDN w:val="0"/>
              <w:ind w:firstLine="480"/>
              <w:jc w:val="left"/>
              <w:rPr>
                <w:rFonts w:hint="eastAsia"/>
                <w:color w:val="auto"/>
              </w:rPr>
            </w:pPr>
            <w:r>
              <w:rPr>
                <w:rFonts w:hint="eastAsia"/>
                <w:color w:val="auto"/>
              </w:rPr>
              <w:t>②大气环境分区管控级别及要求：对照《淮北市“三线一单”文本》，本项目位于大气环境</w:t>
            </w:r>
            <w:r>
              <w:rPr>
                <w:rFonts w:hint="eastAsia"/>
                <w:color w:val="auto"/>
                <w:lang w:val="en-US" w:eastAsia="zh-CN"/>
              </w:rPr>
              <w:t>重点</w:t>
            </w:r>
            <w:r>
              <w:rPr>
                <w:rFonts w:hint="eastAsia"/>
                <w:color w:val="auto"/>
              </w:rPr>
              <w:t>管控区。管控要求为：落实《安徽省大气污染防治条例》《“十四五”生态环境保护规划》《安徽省“十四五”环境保护规划》《环境空气细颗粒物污染综合防治技术政策》等要求，严格目标实施计划，加强环境监管，促进生态环境质量好转。上年度PM</w:t>
            </w:r>
            <w:r>
              <w:rPr>
                <w:rFonts w:hint="eastAsia"/>
                <w:color w:val="auto"/>
                <w:vertAlign w:val="subscript"/>
              </w:rPr>
              <w:t>2.5</w:t>
            </w:r>
            <w:r>
              <w:rPr>
                <w:rFonts w:hint="eastAsia"/>
                <w:color w:val="auto"/>
              </w:rPr>
              <w:t>不达标城市新建、改建和扩建项目大气污染物实施“倍量替代”，执行特别排放标准的行业实施提标升级改造。</w:t>
            </w:r>
          </w:p>
          <w:p w14:paraId="149B8ACB">
            <w:pPr>
              <w:autoSpaceDE w:val="0"/>
              <w:autoSpaceDN w:val="0"/>
              <w:jc w:val="left"/>
              <w:rPr>
                <w:color w:val="auto"/>
              </w:rPr>
            </w:pPr>
            <w:r>
              <w:rPr>
                <w:color w:val="auto"/>
              </w:rPr>
              <w:drawing>
                <wp:anchor distT="0" distB="0" distL="114300" distR="114300" simplePos="0" relativeHeight="251665408" behindDoc="0" locked="0" layoutInCell="1" allowOverlap="1">
                  <wp:simplePos x="0" y="0"/>
                  <wp:positionH relativeFrom="column">
                    <wp:posOffset>109855</wp:posOffset>
                  </wp:positionH>
                  <wp:positionV relativeFrom="paragraph">
                    <wp:posOffset>651510</wp:posOffset>
                  </wp:positionV>
                  <wp:extent cx="2548255" cy="2076450"/>
                  <wp:effectExtent l="9525" t="9525" r="13970" b="9525"/>
                  <wp:wrapNone/>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pic:cNvPicPr>
                            <a:picLocks noChangeAspect="1"/>
                          </pic:cNvPicPr>
                        </pic:nvPicPr>
                        <pic:blipFill>
                          <a:blip r:embed="rId13"/>
                          <a:stretch>
                            <a:fillRect/>
                          </a:stretch>
                        </pic:blipFill>
                        <pic:spPr>
                          <a:xfrm>
                            <a:off x="0" y="0"/>
                            <a:ext cx="2548255" cy="2076450"/>
                          </a:xfrm>
                          <a:prstGeom prst="rect">
                            <a:avLst/>
                          </a:prstGeom>
                          <a:noFill/>
                          <a:ln>
                            <a:solidFill>
                              <a:schemeClr val="tx1"/>
                            </a:solidFill>
                          </a:ln>
                        </pic:spPr>
                      </pic:pic>
                    </a:graphicData>
                  </a:graphic>
                </wp:anchor>
              </w:drawing>
            </w:r>
            <w:r>
              <w:rPr>
                <w:color w:val="auto"/>
              </w:rPr>
              <mc:AlternateContent>
                <mc:Choice Requires="wps">
                  <w:drawing>
                    <wp:anchor distT="0" distB="0" distL="114300" distR="114300" simplePos="0" relativeHeight="251666432" behindDoc="0" locked="0" layoutInCell="1" allowOverlap="1">
                      <wp:simplePos x="0" y="0"/>
                      <wp:positionH relativeFrom="column">
                        <wp:posOffset>1456055</wp:posOffset>
                      </wp:positionH>
                      <wp:positionV relativeFrom="paragraph">
                        <wp:posOffset>1605280</wp:posOffset>
                      </wp:positionV>
                      <wp:extent cx="1680845" cy="448310"/>
                      <wp:effectExtent l="0" t="17145" r="14605" b="29845"/>
                      <wp:wrapNone/>
                      <wp:docPr id="29" name="直接箭头连接符 29"/>
                      <wp:cNvGraphicFramePr/>
                      <a:graphic xmlns:a="http://schemas.openxmlformats.org/drawingml/2006/main">
                        <a:graphicData uri="http://schemas.microsoft.com/office/word/2010/wordprocessingShape">
                          <wps:wsp>
                            <wps:cNvCnPr/>
                            <wps:spPr>
                              <a:xfrm flipH="1" flipV="1">
                                <a:off x="0" y="0"/>
                                <a:ext cx="1680845" cy="448310"/>
                              </a:xfrm>
                              <a:prstGeom prst="straightConnector1">
                                <a:avLst/>
                              </a:prstGeom>
                              <a:ln>
                                <a:solidFill>
                                  <a:srgbClr val="0070C0"/>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114.65pt;margin-top:126.4pt;height:35.3pt;width:132.35pt;z-index:251666432;mso-width-relative:page;mso-height-relative:page;" filled="f" stroked="t" coordsize="21600,21600" o:gfxdata="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HXf6DYAAAACwEAAA8AAAAAAAAAAQAg&#10;AAAAIgAAAGRycy9kb3ducmV2LnhtbFBLAQIUABQAAAAIAIdO4kCau5EEDgIAAOYDAAAOAAAAAAAA&#10;AAEAIAAAACcBAABkcnMvZTJvRG9jLnhtbFBLBQYAAAAABgAGAFkBAACnBQAAAAA=&#10;">
                      <v:fill on="f" focussize="0,0"/>
                      <v:stroke weight="2pt" color="#0070C0 [3204]" joinstyle="round" endarrow="block"/>
                      <v:imagedata o:title=""/>
                      <o:lock v:ext="edit" aspectratio="f"/>
                    </v:shape>
                  </w:pict>
                </mc:Fallback>
              </mc:AlternateContent>
            </w:r>
            <w:r>
              <w:rPr>
                <w:color w:val="auto"/>
              </w:rPr>
              <mc:AlternateContent>
                <mc:Choice Requires="wps">
                  <w:drawing>
                    <wp:anchor distT="0" distB="0" distL="114300" distR="114300" simplePos="0" relativeHeight="251668480" behindDoc="0" locked="0" layoutInCell="1" allowOverlap="1">
                      <wp:simplePos x="0" y="0"/>
                      <wp:positionH relativeFrom="column">
                        <wp:posOffset>1285875</wp:posOffset>
                      </wp:positionH>
                      <wp:positionV relativeFrom="paragraph">
                        <wp:posOffset>1264285</wp:posOffset>
                      </wp:positionV>
                      <wp:extent cx="914400" cy="9144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69A4B7">
                                  <w:pPr>
                                    <w:rPr>
                                      <w:rFonts w:hint="eastAsia" w:eastAsia="宋体"/>
                                      <w:b/>
                                      <w:bCs/>
                                      <w:color w:val="0070C0"/>
                                      <w:lang w:val="en-US" w:eastAsia="zh-CN"/>
                                    </w:rPr>
                                  </w:pPr>
                                  <w:r>
                                    <w:rPr>
                                      <w:rFonts w:hint="eastAsia"/>
                                      <w:b/>
                                      <w:bCs/>
                                      <w:color w:val="0070C0"/>
                                      <w:lang w:val="en-US" w:eastAsia="zh-CN"/>
                                    </w:rPr>
                                    <w:t>项目地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25pt;margin-top:99.55pt;height:72pt;width:72pt;z-index:251668480;mso-width-relative:page;mso-height-relative:page;" filled="f" stroked="f" coordsize="21600,21600" o:gfxdata="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MfhoDbAAAACwEAAA8AAAAAAAAAAQAgAAAAIgAAAGRycy9kb3du&#10;cmV2LnhtbFBLAQIUABQAAAAIAIdO4kAkBt1HNQIAAGcEAAAOAAAAAAAAAAEAIAAAACoBAABkcnMv&#10;ZTJvRG9jLnhtbFBLBQYAAAAABgAGAFkBAADRBQAAAAA=&#10;">
                      <v:fill on="f" focussize="0,0"/>
                      <v:stroke on="f" weight="0.5pt"/>
                      <v:imagedata o:title=""/>
                      <o:lock v:ext="edit" aspectratio="f"/>
                      <v:textbox>
                        <w:txbxContent>
                          <w:p w14:paraId="7569A4B7">
                            <w:pPr>
                              <w:rPr>
                                <w:rFonts w:hint="eastAsia" w:eastAsia="宋体"/>
                                <w:b/>
                                <w:bCs/>
                                <w:color w:val="0070C0"/>
                                <w:lang w:val="en-US" w:eastAsia="zh-CN"/>
                              </w:rPr>
                            </w:pPr>
                            <w:r>
                              <w:rPr>
                                <w:rFonts w:hint="eastAsia"/>
                                <w:b/>
                                <w:bCs/>
                                <w:color w:val="0070C0"/>
                                <w:lang w:val="en-US" w:eastAsia="zh-CN"/>
                              </w:rPr>
                              <w:t>项目地</w:t>
                            </w:r>
                          </w:p>
                        </w:txbxContent>
                      </v:textbox>
                    </v:shape>
                  </w:pict>
                </mc:Fallback>
              </mc:AlternateContent>
            </w:r>
            <w:r>
              <w:rPr>
                <w:color w:val="auto"/>
              </w:rPr>
              <mc:AlternateContent>
                <mc:Choice Requires="wps">
                  <w:drawing>
                    <wp:anchor distT="0" distB="0" distL="114300" distR="114300" simplePos="0" relativeHeight="251667456" behindDoc="0" locked="0" layoutInCell="1" allowOverlap="1">
                      <wp:simplePos x="0" y="0"/>
                      <wp:positionH relativeFrom="column">
                        <wp:posOffset>1404620</wp:posOffset>
                      </wp:positionH>
                      <wp:positionV relativeFrom="paragraph">
                        <wp:posOffset>1546225</wp:posOffset>
                      </wp:positionV>
                      <wp:extent cx="75565" cy="75565"/>
                      <wp:effectExtent l="12700" t="12700" r="26035" b="26035"/>
                      <wp:wrapNone/>
                      <wp:docPr id="27" name="等腰三角形 27"/>
                      <wp:cNvGraphicFramePr/>
                      <a:graphic xmlns:a="http://schemas.openxmlformats.org/drawingml/2006/main">
                        <a:graphicData uri="http://schemas.microsoft.com/office/word/2010/wordprocessingShape">
                          <wps:wsp>
                            <wps:cNvSpPr/>
                            <wps:spPr>
                              <a:xfrm>
                                <a:off x="0" y="0"/>
                                <a:ext cx="75565" cy="75565"/>
                              </a:xfrm>
                              <a:prstGeom prst="triangle">
                                <a:avLst/>
                              </a:prstGeom>
                              <a:solidFill>
                                <a:srgbClr val="0070C0"/>
                              </a:solidFill>
                              <a:ln>
                                <a:solidFill>
                                  <a:srgbClr val="0070C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10.6pt;margin-top:121.75pt;height:5.95pt;width:5.95pt;z-index:251667456;v-text-anchor:middle;mso-width-relative:page;mso-height-relative:page;" fillcolor="#0070C0" filled="t" stroked="t" coordsize="21600,21600" o:gfxdata="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J+DrNdwAAAALAQAADwAAAAAAAAABACAAAAAiAAAAZHJz&#10;L2Rvd25yZXYueG1sUEsBAhQAFAAAAAgAh07iQIZZ0xByAgAA6QQAAA4AAAAAAAAAAQAgAAAAKwEA&#10;AGRycy9lMm9Eb2MueG1sUEsFBgAAAAAGAAYAWQEAAA8GAAAAAA==&#10;" adj="10800">
                      <v:fill on="t" focussize="0,0"/>
                      <v:stroke weight="2pt" color="#0070C0 [2404]" joinstyle="round"/>
                      <v:imagedata o:title=""/>
                      <o:lock v:ext="edit" aspectratio="f"/>
                    </v:shape>
                  </w:pict>
                </mc:Fallback>
              </mc:AlternateContent>
            </w:r>
            <w:r>
              <w:rPr>
                <w:color w:val="auto"/>
              </w:rPr>
              <w:drawing>
                <wp:inline distT="0" distB="0" distL="0" distR="0">
                  <wp:extent cx="4857750" cy="6866255"/>
                  <wp:effectExtent l="0" t="0" r="0" b="10795"/>
                  <wp:docPr id="14" name="图片 14" descr="C:\Users\lv\Desktop\淮北评审后成果\更新成果表与图\图件\31淮北市大气环境分区管控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lv\Desktop\淮北评审后成果\更新成果表与图\图件\31淮北市大气环境分区管控图.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857750" cy="6866255"/>
                          </a:xfrm>
                          <a:prstGeom prst="rect">
                            <a:avLst/>
                          </a:prstGeom>
                          <a:noFill/>
                          <a:ln>
                            <a:noFill/>
                          </a:ln>
                        </pic:spPr>
                      </pic:pic>
                    </a:graphicData>
                  </a:graphic>
                </wp:inline>
              </w:drawing>
            </w:r>
          </w:p>
          <w:p w14:paraId="1F1CBC26">
            <w:pPr>
              <w:autoSpaceDE w:val="0"/>
              <w:autoSpaceDN w:val="0"/>
              <w:jc w:val="center"/>
              <w:rPr>
                <w:b/>
                <w:bCs/>
                <w:color w:val="auto"/>
              </w:rPr>
            </w:pPr>
            <w:r>
              <w:rPr>
                <w:rFonts w:hint="eastAsia"/>
                <w:b/>
                <w:bCs/>
                <w:color w:val="auto"/>
              </w:rPr>
              <w:t>图</w:t>
            </w:r>
            <w:r>
              <w:rPr>
                <w:rFonts w:hint="eastAsia"/>
                <w:b/>
                <w:bCs/>
                <w:color w:val="auto"/>
                <w:lang w:val="en-US" w:eastAsia="zh-CN"/>
              </w:rPr>
              <w:t>1-3</w:t>
            </w:r>
            <w:r>
              <w:rPr>
                <w:rFonts w:hint="default"/>
                <w:b/>
                <w:bCs/>
                <w:color w:val="auto"/>
              </w:rPr>
              <w:t xml:space="preserve">  </w:t>
            </w:r>
            <w:r>
              <w:rPr>
                <w:rFonts w:hint="eastAsia"/>
                <w:b/>
                <w:bCs/>
                <w:color w:val="auto"/>
                <w:lang w:val="en-US" w:eastAsia="zh-CN"/>
              </w:rPr>
              <w:t>本</w:t>
            </w:r>
            <w:r>
              <w:rPr>
                <w:rFonts w:hint="eastAsia"/>
                <w:b/>
                <w:bCs/>
                <w:color w:val="auto"/>
              </w:rPr>
              <w:t>项目与</w:t>
            </w:r>
            <w:r>
              <w:rPr>
                <w:rFonts w:hint="eastAsia"/>
                <w:b/>
                <w:bCs/>
                <w:color w:val="auto"/>
                <w:lang w:val="en-US" w:eastAsia="zh-CN"/>
              </w:rPr>
              <w:t>大气</w:t>
            </w:r>
            <w:r>
              <w:rPr>
                <w:rFonts w:hint="eastAsia"/>
                <w:b/>
                <w:bCs/>
                <w:color w:val="auto"/>
              </w:rPr>
              <w:t>环境风险管控分区位置关系图</w:t>
            </w:r>
          </w:p>
          <w:p w14:paraId="7045FB84">
            <w:pPr>
              <w:autoSpaceDE w:val="0"/>
              <w:autoSpaceDN w:val="0"/>
              <w:ind w:firstLine="480"/>
              <w:jc w:val="both"/>
              <w:rPr>
                <w:color w:val="auto"/>
              </w:rPr>
            </w:pPr>
            <w:r>
              <w:rPr>
                <w:rFonts w:hint="eastAsia"/>
                <w:color w:val="auto"/>
              </w:rPr>
              <w:t>本项目相符性分析：本项目</w:t>
            </w:r>
            <w:r>
              <w:rPr>
                <w:rFonts w:hint="eastAsia"/>
                <w:color w:val="auto"/>
                <w:lang w:val="en-US" w:eastAsia="zh-CN"/>
              </w:rPr>
              <w:t>配料粉尘经密闭配料室集风管收集、投料粉尘经投料口上方集气罩收集，布袋除尘器+二级活性炭吸附装置处理后经15m高排气筒（DA001）排放；密炼、开炼废气</w:t>
            </w:r>
            <w:r>
              <w:rPr>
                <w:rFonts w:hint="eastAsia"/>
                <w:color w:val="auto"/>
                <w:lang w:eastAsia="zh-CN"/>
              </w:rPr>
              <w:t>经</w:t>
            </w:r>
            <w:r>
              <w:rPr>
                <w:rFonts w:hint="eastAsia"/>
                <w:color w:val="auto"/>
                <w:lang w:val="en-US" w:eastAsia="zh-CN"/>
              </w:rPr>
              <w:t>设备上方集气罩+软帘收集，布袋除尘器+二级活性炭吸附装置处理后经15m高排气筒（DA001）排放；剪切粉尘经设备上方集气罩收集、喷砂粉尘经密闭设备内部集风管收集，布袋除尘器处理后经15m高排气筒（DA002）排放</w:t>
            </w:r>
            <w:r>
              <w:rPr>
                <w:rFonts w:hint="eastAsia"/>
                <w:color w:val="auto"/>
                <w:lang w:eastAsia="zh-CN"/>
              </w:rPr>
              <w:t>；</w:t>
            </w:r>
            <w:r>
              <w:rPr>
                <w:rFonts w:hint="eastAsia"/>
                <w:color w:val="auto"/>
                <w:lang w:val="en-US" w:eastAsia="zh-CN"/>
              </w:rPr>
              <w:t>涂胶废气经密闭涂胶间集风管收集、硫化废气经设备上方集气罩+软帘收集，二级活性炭吸附装置处理后经15m高排气筒（DA003）排放</w:t>
            </w:r>
            <w:r>
              <w:rPr>
                <w:rFonts w:hint="eastAsia"/>
                <w:color w:val="auto"/>
              </w:rPr>
              <w:t>，通过配套废气处理装置处理后污染物能够实现达标排放，不会对区域大气环境产生明显影响，项目的建设不会降低区域环境空气质量功能，能够满足区域大气环境质量底线要求。因此，本项目满足大气环境高排重点管控区要求。</w:t>
            </w:r>
          </w:p>
          <w:p w14:paraId="39EC6B22">
            <w:pPr>
              <w:autoSpaceDE w:val="0"/>
              <w:autoSpaceDN w:val="0"/>
              <w:ind w:firstLine="480"/>
              <w:jc w:val="left"/>
              <w:rPr>
                <w:rFonts w:hint="eastAsia"/>
                <w:color w:val="auto"/>
              </w:rPr>
            </w:pPr>
            <w:r>
              <w:rPr>
                <w:rFonts w:hint="eastAsia"/>
                <w:color w:val="auto"/>
              </w:rPr>
              <w:t>③土壤环境分区管控：对照《淮北市“三线一单”文本》，本项目位于土壤环境风险一般</w:t>
            </w:r>
            <w:r>
              <w:rPr>
                <w:rFonts w:hint="eastAsia"/>
                <w:color w:val="auto"/>
                <w:lang w:val="en-US" w:eastAsia="zh-CN"/>
              </w:rPr>
              <w:t>管</w:t>
            </w:r>
            <w:r>
              <w:rPr>
                <w:rFonts w:hint="eastAsia"/>
                <w:color w:val="auto"/>
              </w:rPr>
              <w:t>控区。管控要求为：依据《中华人民共和国土壤污染防治法》《土壤污染防治行动计划》《安徽省土壤污染防治工作方案》《安徽省“十四五”环境保护规划》等要求及各市土壤污染防治工作方案对一般管控区实施管控。</w:t>
            </w:r>
          </w:p>
          <w:p w14:paraId="75A7D1C4">
            <w:pPr>
              <w:autoSpaceDE w:val="0"/>
              <w:autoSpaceDN w:val="0"/>
              <w:jc w:val="left"/>
              <w:rPr>
                <w:color w:val="auto"/>
              </w:rPr>
            </w:pPr>
            <w:r>
              <w:rPr>
                <w:color w:val="auto"/>
              </w:rPr>
              <mc:AlternateContent>
                <mc:Choice Requires="wps">
                  <w:drawing>
                    <wp:anchor distT="0" distB="0" distL="114300" distR="114300" simplePos="0" relativeHeight="251672576" behindDoc="0" locked="0" layoutInCell="1" allowOverlap="1">
                      <wp:simplePos x="0" y="0"/>
                      <wp:positionH relativeFrom="column">
                        <wp:posOffset>1261745</wp:posOffset>
                      </wp:positionH>
                      <wp:positionV relativeFrom="paragraph">
                        <wp:posOffset>1509395</wp:posOffset>
                      </wp:positionV>
                      <wp:extent cx="914400" cy="9144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BF0438">
                                  <w:pPr>
                                    <w:rPr>
                                      <w:rFonts w:hint="eastAsia" w:eastAsia="宋体"/>
                                      <w:b/>
                                      <w:bCs/>
                                      <w:color w:val="0070C0"/>
                                      <w:lang w:val="en-US" w:eastAsia="zh-CN"/>
                                    </w:rPr>
                                  </w:pPr>
                                  <w:r>
                                    <w:rPr>
                                      <w:rFonts w:hint="eastAsia"/>
                                      <w:b/>
                                      <w:bCs/>
                                      <w:color w:val="0070C0"/>
                                      <w:lang w:val="en-US" w:eastAsia="zh-CN"/>
                                    </w:rPr>
                                    <w:t>项目地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9.35pt;margin-top:118.85pt;height:72pt;width:72pt;z-index:251672576;mso-width-relative:page;mso-height-relative:page;" filled="f" stroked="f" coordsize="21600,21600" o:gfxdata="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wOARPaAAAACwEAAA8AAAAAAAAAAQAgAAAAIgAAAGRycy9kb3du&#10;cmV2LnhtbFBLAQIUABQAAAAIAIdO4kDKGWAFNgIAAGcEAAAOAAAAAAAAAAEAIAAAACkBAABkcnMv&#10;ZTJvRG9jLnhtbFBLBQYAAAAABgAGAFkBAADRBQAAAAA=&#10;">
                      <v:fill on="f" focussize="0,0"/>
                      <v:stroke on="f" weight="0.5pt"/>
                      <v:imagedata o:title=""/>
                      <o:lock v:ext="edit" aspectratio="f"/>
                      <v:textbox>
                        <w:txbxContent>
                          <w:p w14:paraId="6ABF0438">
                            <w:pPr>
                              <w:rPr>
                                <w:rFonts w:hint="eastAsia" w:eastAsia="宋体"/>
                                <w:b/>
                                <w:bCs/>
                                <w:color w:val="0070C0"/>
                                <w:lang w:val="en-US" w:eastAsia="zh-CN"/>
                              </w:rPr>
                            </w:pPr>
                            <w:r>
                              <w:rPr>
                                <w:rFonts w:hint="eastAsia"/>
                                <w:b/>
                                <w:bCs/>
                                <w:color w:val="0070C0"/>
                                <w:lang w:val="en-US" w:eastAsia="zh-CN"/>
                              </w:rPr>
                              <w:t>项目地</w:t>
                            </w:r>
                          </w:p>
                        </w:txbxContent>
                      </v:textbox>
                    </v:shape>
                  </w:pict>
                </mc:Fallback>
              </mc:AlternateContent>
            </w:r>
            <w:r>
              <w:rPr>
                <w:color w:val="auto"/>
              </w:rPr>
              <mc:AlternateContent>
                <mc:Choice Requires="wps">
                  <w:drawing>
                    <wp:anchor distT="0" distB="0" distL="114300" distR="114300" simplePos="0" relativeHeight="251671552" behindDoc="0" locked="0" layoutInCell="1" allowOverlap="1">
                      <wp:simplePos x="0" y="0"/>
                      <wp:positionH relativeFrom="column">
                        <wp:posOffset>1550035</wp:posOffset>
                      </wp:positionH>
                      <wp:positionV relativeFrom="paragraph">
                        <wp:posOffset>1792605</wp:posOffset>
                      </wp:positionV>
                      <wp:extent cx="75565" cy="75565"/>
                      <wp:effectExtent l="12700" t="12700" r="26035" b="26035"/>
                      <wp:wrapNone/>
                      <wp:docPr id="32" name="等腰三角形 32"/>
                      <wp:cNvGraphicFramePr/>
                      <a:graphic xmlns:a="http://schemas.openxmlformats.org/drawingml/2006/main">
                        <a:graphicData uri="http://schemas.microsoft.com/office/word/2010/wordprocessingShape">
                          <wps:wsp>
                            <wps:cNvSpPr/>
                            <wps:spPr>
                              <a:xfrm>
                                <a:off x="0" y="0"/>
                                <a:ext cx="75565" cy="75565"/>
                              </a:xfrm>
                              <a:prstGeom prst="triangle">
                                <a:avLst/>
                              </a:prstGeom>
                              <a:solidFill>
                                <a:srgbClr val="0070C0"/>
                              </a:solidFill>
                              <a:ln>
                                <a:solidFill>
                                  <a:srgbClr val="0070C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22.05pt;margin-top:141.15pt;height:5.95pt;width:5.95pt;z-index:251671552;v-text-anchor:middle;mso-width-relative:page;mso-height-relative:page;" fillcolor="#0070C0" filled="t" stroked="t" coordsize="21600,21600" o:gfxdata="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5ssTndwAAAALAQAADwAAAAAAAAABACAAAAAiAAAAZHJz&#10;L2Rvd25yZXYueG1sUEsBAhQAFAAAAAgAh07iQHQyEf1yAgAA6QQAAA4AAAAAAAAAAQAgAAAAKwEA&#10;AGRycy9lMm9Eb2MueG1sUEsFBgAAAAAGAAYAWQEAAA8GAAAAAA==&#10;" adj="10800">
                      <v:fill on="t" focussize="0,0"/>
                      <v:stroke weight="2pt" color="#0070C0 [2404]" joinstyle="round"/>
                      <v:imagedata o:title=""/>
                      <o:lock v:ext="edit" aspectratio="f"/>
                    </v:shape>
                  </w:pict>
                </mc:Fallback>
              </mc:AlternateContent>
            </w:r>
            <w:r>
              <w:rPr>
                <w:color w:val="auto"/>
              </w:rPr>
              <mc:AlternateContent>
                <mc:Choice Requires="wps">
                  <w:drawing>
                    <wp:anchor distT="0" distB="0" distL="114300" distR="114300" simplePos="0" relativeHeight="251670528" behindDoc="0" locked="0" layoutInCell="1" allowOverlap="1">
                      <wp:simplePos x="0" y="0"/>
                      <wp:positionH relativeFrom="column">
                        <wp:posOffset>1562100</wp:posOffset>
                      </wp:positionH>
                      <wp:positionV relativeFrom="paragraph">
                        <wp:posOffset>1814195</wp:posOffset>
                      </wp:positionV>
                      <wp:extent cx="1464945" cy="306070"/>
                      <wp:effectExtent l="0" t="21590" r="20955" b="15240"/>
                      <wp:wrapNone/>
                      <wp:docPr id="34" name="直接箭头连接符 34"/>
                      <wp:cNvGraphicFramePr/>
                      <a:graphic xmlns:a="http://schemas.openxmlformats.org/drawingml/2006/main">
                        <a:graphicData uri="http://schemas.microsoft.com/office/word/2010/wordprocessingShape">
                          <wps:wsp>
                            <wps:cNvCnPr/>
                            <wps:spPr>
                              <a:xfrm flipH="1" flipV="1">
                                <a:off x="0" y="0"/>
                                <a:ext cx="1464945" cy="306070"/>
                              </a:xfrm>
                              <a:prstGeom prst="straightConnector1">
                                <a:avLst/>
                              </a:prstGeom>
                              <a:ln>
                                <a:solidFill>
                                  <a:srgbClr val="0070C0"/>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123pt;margin-top:142.85pt;height:24.1pt;width:115.35pt;z-index:251670528;mso-width-relative:page;mso-height-relative:page;" filled="f" stroked="t" coordsize="21600,21600" o:gfxdata="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7Tu9BtkAAAALAQAADwAAAAAAAAAB&#10;ACAAAAAiAAAAZHJzL2Rvd25yZXYueG1sUEsBAhQAFAAAAAgAh07iQDGGPQIPAgAA5gMAAA4AAAAA&#10;AAAAAQAgAAAAKAEAAGRycy9lMm9Eb2MueG1sUEsFBgAAAAAGAAYAWQEAAKkFAAAAAA==&#10;">
                      <v:fill on="f" focussize="0,0"/>
                      <v:stroke weight="2pt" color="#0070C0 [3204]" joinstyle="round" endarrow="block"/>
                      <v:imagedata o:title=""/>
                      <o:lock v:ext="edit" aspectratio="f"/>
                    </v:shape>
                  </w:pict>
                </mc:Fallback>
              </mc:AlternateContent>
            </w:r>
            <w:r>
              <w:rPr>
                <w:color w:val="auto"/>
              </w:rPr>
              <w:drawing>
                <wp:anchor distT="0" distB="0" distL="114300" distR="114300" simplePos="0" relativeHeight="251669504" behindDoc="0" locked="0" layoutInCell="1" allowOverlap="1">
                  <wp:simplePos x="0" y="0"/>
                  <wp:positionH relativeFrom="column">
                    <wp:posOffset>438785</wp:posOffset>
                  </wp:positionH>
                  <wp:positionV relativeFrom="paragraph">
                    <wp:posOffset>812165</wp:posOffset>
                  </wp:positionV>
                  <wp:extent cx="2331085" cy="2054225"/>
                  <wp:effectExtent l="9525" t="9525" r="21590" b="12700"/>
                  <wp:wrapNone/>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pic:cNvPicPr>
                        </pic:nvPicPr>
                        <pic:blipFill>
                          <a:blip r:embed="rId15"/>
                          <a:stretch>
                            <a:fillRect/>
                          </a:stretch>
                        </pic:blipFill>
                        <pic:spPr>
                          <a:xfrm>
                            <a:off x="0" y="0"/>
                            <a:ext cx="2331085" cy="2054225"/>
                          </a:xfrm>
                          <a:prstGeom prst="rect">
                            <a:avLst/>
                          </a:prstGeom>
                          <a:noFill/>
                          <a:ln>
                            <a:solidFill>
                              <a:schemeClr val="tx1"/>
                            </a:solidFill>
                          </a:ln>
                        </pic:spPr>
                      </pic:pic>
                    </a:graphicData>
                  </a:graphic>
                </wp:anchor>
              </w:drawing>
            </w:r>
            <w:r>
              <w:rPr>
                <w:color w:val="auto"/>
              </w:rPr>
              <w:drawing>
                <wp:inline distT="0" distB="0" distL="0" distR="0">
                  <wp:extent cx="4913630" cy="6945630"/>
                  <wp:effectExtent l="0" t="0" r="1270" b="7620"/>
                  <wp:docPr id="30" name="图片 30" descr="C:\Users\lv\Desktop\淮北评审后成果\更新成果表与图\图件\32淮北市土壤污染风险分区管控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lv\Desktop\淮北评审后成果\更新成果表与图\图件\32淮北市土壤污染风险分区管控图.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913630" cy="6945630"/>
                          </a:xfrm>
                          <a:prstGeom prst="rect">
                            <a:avLst/>
                          </a:prstGeom>
                          <a:noFill/>
                          <a:ln>
                            <a:noFill/>
                          </a:ln>
                        </pic:spPr>
                      </pic:pic>
                    </a:graphicData>
                  </a:graphic>
                </wp:inline>
              </w:drawing>
            </w:r>
          </w:p>
          <w:p w14:paraId="4A872227">
            <w:pPr>
              <w:autoSpaceDE w:val="0"/>
              <w:autoSpaceDN w:val="0"/>
              <w:jc w:val="center"/>
              <w:rPr>
                <w:b/>
                <w:bCs/>
                <w:color w:val="auto"/>
              </w:rPr>
            </w:pPr>
            <w:r>
              <w:rPr>
                <w:rFonts w:hint="eastAsia"/>
                <w:b/>
                <w:bCs/>
                <w:color w:val="auto"/>
              </w:rPr>
              <w:t>图</w:t>
            </w:r>
            <w:r>
              <w:rPr>
                <w:rFonts w:hint="eastAsia"/>
                <w:b/>
                <w:bCs/>
                <w:color w:val="auto"/>
                <w:lang w:val="en-US" w:eastAsia="zh-CN"/>
              </w:rPr>
              <w:t>1-4</w:t>
            </w:r>
            <w:r>
              <w:rPr>
                <w:rFonts w:hint="default"/>
                <w:b/>
                <w:bCs/>
                <w:color w:val="auto"/>
              </w:rPr>
              <w:t xml:space="preserve"> </w:t>
            </w:r>
            <w:r>
              <w:rPr>
                <w:rFonts w:hint="eastAsia"/>
                <w:b/>
                <w:bCs/>
                <w:color w:val="auto"/>
                <w:lang w:val="en-US" w:eastAsia="zh-CN"/>
              </w:rPr>
              <w:t>本</w:t>
            </w:r>
            <w:r>
              <w:rPr>
                <w:rFonts w:hint="eastAsia"/>
                <w:b/>
                <w:bCs/>
                <w:color w:val="auto"/>
              </w:rPr>
              <w:t>项目与</w:t>
            </w:r>
            <w:r>
              <w:rPr>
                <w:rFonts w:hint="eastAsia"/>
                <w:b/>
                <w:bCs/>
                <w:color w:val="auto"/>
                <w:lang w:val="en-US" w:eastAsia="zh-CN"/>
              </w:rPr>
              <w:t>土壤</w:t>
            </w:r>
            <w:r>
              <w:rPr>
                <w:rFonts w:hint="eastAsia"/>
                <w:b/>
                <w:bCs/>
                <w:color w:val="auto"/>
              </w:rPr>
              <w:t>环境风险管控分区位置关系图</w:t>
            </w:r>
          </w:p>
          <w:p w14:paraId="094A0426">
            <w:pPr>
              <w:autoSpaceDE w:val="0"/>
              <w:autoSpaceDN w:val="0"/>
              <w:ind w:firstLine="480"/>
              <w:jc w:val="left"/>
              <w:rPr>
                <w:color w:val="auto"/>
              </w:rPr>
            </w:pPr>
            <w:r>
              <w:rPr>
                <w:rFonts w:hint="eastAsia"/>
                <w:color w:val="auto"/>
              </w:rPr>
              <w:t>本项目相符性分析：本项目为新建项目，将严格按照分区防渗要求建设。因此，本项目满足土壤环境风险一般防控区管控要求。</w:t>
            </w:r>
          </w:p>
          <w:p w14:paraId="5E91E223">
            <w:pPr>
              <w:autoSpaceDE w:val="0"/>
              <w:autoSpaceDN w:val="0"/>
              <w:ind w:firstLine="480"/>
              <w:jc w:val="left"/>
              <w:rPr>
                <w:color w:val="auto"/>
              </w:rPr>
            </w:pPr>
            <w:r>
              <w:rPr>
                <w:rFonts w:hint="eastAsia"/>
                <w:color w:val="auto"/>
              </w:rPr>
              <w:t>（2）环境质量底线</w:t>
            </w:r>
          </w:p>
          <w:p w14:paraId="5949D1EF">
            <w:pPr>
              <w:autoSpaceDE w:val="0"/>
              <w:autoSpaceDN w:val="0"/>
              <w:ind w:firstLine="480"/>
              <w:jc w:val="left"/>
              <w:rPr>
                <w:color w:val="auto"/>
              </w:rPr>
            </w:pPr>
            <w:r>
              <w:rPr>
                <w:color w:val="auto"/>
              </w:rPr>
              <w:t>①大气环境质量底线</w:t>
            </w:r>
          </w:p>
          <w:p w14:paraId="201B82E6">
            <w:pPr>
              <w:autoSpaceDE w:val="0"/>
              <w:autoSpaceDN w:val="0"/>
              <w:ind w:firstLine="480"/>
              <w:jc w:val="left"/>
              <w:rPr>
                <w:color w:val="auto"/>
              </w:rPr>
            </w:pPr>
            <w:r>
              <w:rPr>
                <w:color w:val="auto"/>
              </w:rPr>
              <w:t>根据</w:t>
            </w:r>
            <w:r>
              <w:rPr>
                <w:rFonts w:hint="eastAsia"/>
                <w:color w:val="auto"/>
              </w:rPr>
              <w:t>《淮北市生态环境保护“十四五”规划》</w:t>
            </w:r>
            <w:r>
              <w:rPr>
                <w:color w:val="auto"/>
              </w:rPr>
              <w:t>，到2035年，淮北市PM</w:t>
            </w:r>
            <w:r>
              <w:rPr>
                <w:color w:val="auto"/>
                <w:vertAlign w:val="subscript"/>
              </w:rPr>
              <w:t>2.5</w:t>
            </w:r>
            <w:r>
              <w:rPr>
                <w:color w:val="auto"/>
              </w:rPr>
              <w:t>平均浓度目标暂定为35微克/立方米。2025年、2035年目标值均为暂定，最终以“十四五”、“十六五”生态环境保护规划确定的目标为准。</w:t>
            </w:r>
          </w:p>
          <w:p w14:paraId="00A9A5F6">
            <w:pPr>
              <w:autoSpaceDE w:val="0"/>
              <w:autoSpaceDN w:val="0"/>
              <w:ind w:firstLine="480"/>
              <w:jc w:val="left"/>
              <w:rPr>
                <w:color w:val="auto"/>
              </w:rPr>
            </w:pPr>
            <w:r>
              <w:rPr>
                <w:color w:val="auto"/>
              </w:rPr>
              <w:t>本项目位于安徽省淮北市杜集区石台镇，根据《淮北市202</w:t>
            </w:r>
            <w:r>
              <w:rPr>
                <w:rFonts w:hint="eastAsia"/>
                <w:color w:val="auto"/>
              </w:rPr>
              <w:t>4</w:t>
            </w:r>
            <w:r>
              <w:rPr>
                <w:color w:val="auto"/>
              </w:rPr>
              <w:t>年度生态环境状况公报》中城市空气环境质量可知，</w:t>
            </w:r>
            <w:r>
              <w:rPr>
                <w:rFonts w:hint="eastAsia"/>
                <w:color w:val="auto"/>
              </w:rPr>
              <w:t>淮北市2024年度</w:t>
            </w:r>
            <w:r>
              <w:rPr>
                <w:color w:val="auto"/>
              </w:rPr>
              <w:t>环境空气PM</w:t>
            </w:r>
            <w:r>
              <w:rPr>
                <w:color w:val="auto"/>
                <w:vertAlign w:val="subscript"/>
              </w:rPr>
              <w:t>2.5</w:t>
            </w:r>
            <w:r>
              <w:rPr>
                <w:color w:val="auto"/>
              </w:rPr>
              <w:t>、O</w:t>
            </w:r>
            <w:r>
              <w:rPr>
                <w:color w:val="auto"/>
                <w:vertAlign w:val="subscript"/>
              </w:rPr>
              <w:t>3</w:t>
            </w:r>
            <w:r>
              <w:rPr>
                <w:color w:val="auto"/>
              </w:rPr>
              <w:t>浓度值不满足《环境空气质量标准》（GB3095-20</w:t>
            </w:r>
            <w:r>
              <w:rPr>
                <w:rFonts w:hint="eastAsia"/>
                <w:color w:val="auto"/>
                <w:lang w:val="en-US" w:eastAsia="zh-CN"/>
              </w:rPr>
              <w:t>26</w:t>
            </w:r>
            <w:r>
              <w:rPr>
                <w:color w:val="auto"/>
              </w:rPr>
              <w:t>）中二级标准，</w:t>
            </w:r>
            <w:r>
              <w:rPr>
                <w:rFonts w:hint="eastAsia"/>
                <w:color w:val="auto"/>
              </w:rPr>
              <w:t>属于</w:t>
            </w:r>
            <w:r>
              <w:rPr>
                <w:color w:val="auto"/>
              </w:rPr>
              <w:t>环境空气质量不达标区</w:t>
            </w:r>
            <w:r>
              <w:rPr>
                <w:rFonts w:hint="eastAsia"/>
                <w:color w:val="auto"/>
              </w:rPr>
              <w:t>。</w:t>
            </w:r>
          </w:p>
          <w:p w14:paraId="5AEF5E69">
            <w:pPr>
              <w:autoSpaceDE w:val="0"/>
              <w:autoSpaceDN w:val="0"/>
              <w:ind w:firstLine="480"/>
              <w:jc w:val="left"/>
              <w:rPr>
                <w:color w:val="auto"/>
              </w:rPr>
            </w:pPr>
            <w:r>
              <w:rPr>
                <w:rFonts w:hint="eastAsia"/>
                <w:color w:val="auto"/>
              </w:rPr>
              <w:t>本项目废气中各类污染物排放均能够满足相应污染物排放标准，且结合区域环境质量现状，本项目实施后大气环境区域环境质量能够满足环境质量底线的要求；</w:t>
            </w:r>
          </w:p>
          <w:p w14:paraId="31220C7A">
            <w:pPr>
              <w:autoSpaceDE w:val="0"/>
              <w:autoSpaceDN w:val="0"/>
              <w:ind w:firstLine="480"/>
              <w:jc w:val="left"/>
              <w:rPr>
                <w:color w:val="auto"/>
              </w:rPr>
            </w:pPr>
            <w:r>
              <w:rPr>
                <w:color w:val="auto"/>
              </w:rPr>
              <w:t>②地表水环境质量底线</w:t>
            </w:r>
          </w:p>
          <w:p w14:paraId="79EFDAE7">
            <w:pPr>
              <w:autoSpaceDE w:val="0"/>
              <w:autoSpaceDN w:val="0"/>
              <w:ind w:firstLine="480"/>
              <w:jc w:val="left"/>
              <w:rPr>
                <w:color w:val="auto"/>
              </w:rPr>
            </w:pPr>
            <w:r>
              <w:rPr>
                <w:color w:val="auto"/>
              </w:rPr>
              <w:t>根据</w:t>
            </w:r>
            <w:r>
              <w:rPr>
                <w:rFonts w:hint="eastAsia"/>
                <w:color w:val="auto"/>
              </w:rPr>
              <w:t>引用《淮北</w:t>
            </w:r>
            <w:r>
              <w:rPr>
                <w:color w:val="auto"/>
              </w:rPr>
              <w:t>海创循环科技有限责任公司淮北市废旧锂电池资源化绿色循环利用项目环境影响报告书》（2023年5月）中龙河的监测数据</w:t>
            </w:r>
            <w:r>
              <w:rPr>
                <w:rFonts w:hint="eastAsia"/>
                <w:color w:val="auto"/>
              </w:rPr>
              <w:t>可知</w:t>
            </w:r>
            <w:r>
              <w:rPr>
                <w:color w:val="auto"/>
              </w:rPr>
              <w:t>，</w:t>
            </w:r>
            <w:r>
              <w:rPr>
                <w:rFonts w:hint="eastAsia"/>
                <w:color w:val="auto"/>
              </w:rPr>
              <w:t>监测期间地表水龙河各水质断面各监测因子均可满足《地表水环境质量标准》（GB3838-2002）中Ⅳ类标准要求。</w:t>
            </w:r>
          </w:p>
          <w:p w14:paraId="68E18817">
            <w:pPr>
              <w:autoSpaceDE w:val="0"/>
              <w:autoSpaceDN w:val="0"/>
              <w:ind w:firstLine="480"/>
              <w:jc w:val="left"/>
              <w:rPr>
                <w:color w:val="auto"/>
              </w:rPr>
            </w:pPr>
            <w:r>
              <w:rPr>
                <w:rFonts w:hint="eastAsia"/>
                <w:color w:val="auto"/>
              </w:rPr>
              <w:t>本项目</w:t>
            </w:r>
            <w:r>
              <w:rPr>
                <w:rFonts w:hint="eastAsia"/>
                <w:color w:val="auto"/>
                <w:lang w:val="en-US" w:eastAsia="zh-CN"/>
              </w:rPr>
              <w:t>生活污水、保洁废水经化粪池预处理后，汇同循环冷却系统排水满足排放标准后排入市政污水管网，最终进入龙湖污水处理厂集中处理</w:t>
            </w:r>
            <w:r>
              <w:rPr>
                <w:rFonts w:hint="eastAsia"/>
                <w:color w:val="auto"/>
              </w:rPr>
              <w:t>，处理达标后排入龙河；根据区域水环境质量现状，本项目实施后区域水环境质量能够满足地表水环境质量底线的要求。</w:t>
            </w:r>
          </w:p>
          <w:p w14:paraId="2D7E4A31">
            <w:pPr>
              <w:autoSpaceDE w:val="0"/>
              <w:autoSpaceDN w:val="0"/>
              <w:ind w:firstLine="480"/>
              <w:jc w:val="left"/>
              <w:rPr>
                <w:color w:val="auto"/>
              </w:rPr>
            </w:pPr>
            <w:r>
              <w:rPr>
                <w:color w:val="auto"/>
              </w:rPr>
              <w:t>③</w:t>
            </w:r>
            <w:r>
              <w:rPr>
                <w:rFonts w:hint="eastAsia"/>
                <w:color w:val="auto"/>
              </w:rPr>
              <w:t>声环境质量</w:t>
            </w:r>
          </w:p>
          <w:p w14:paraId="226B444E">
            <w:pPr>
              <w:autoSpaceDE w:val="0"/>
              <w:autoSpaceDN w:val="0"/>
              <w:ind w:firstLine="480"/>
              <w:jc w:val="left"/>
              <w:rPr>
                <w:color w:val="auto"/>
              </w:rPr>
            </w:pPr>
            <w:r>
              <w:rPr>
                <w:rFonts w:hint="eastAsia"/>
                <w:color w:val="auto"/>
              </w:rPr>
              <w:t>本</w:t>
            </w:r>
            <w:r>
              <w:rPr>
                <w:color w:val="auto"/>
              </w:rPr>
              <w:t>项目建成运行后，通过选用低噪设备、安装减振基座，经厂区建筑物的隔声、距离的衰减的降噪措施，厂界噪声能够满足《工业企业厂界环境噪声排放标准》（GB 12348-2008）中</w:t>
            </w:r>
            <w:r>
              <w:rPr>
                <w:rFonts w:hint="eastAsia"/>
                <w:color w:val="auto"/>
                <w:lang w:val="en-US" w:eastAsia="zh-CN"/>
              </w:rPr>
              <w:t>3</w:t>
            </w:r>
            <w:r>
              <w:rPr>
                <w:rFonts w:hint="eastAsia"/>
                <w:color w:val="auto"/>
                <w:lang w:eastAsia="zh-CN"/>
              </w:rPr>
              <w:t>类</w:t>
            </w:r>
            <w:r>
              <w:rPr>
                <w:color w:val="auto"/>
              </w:rPr>
              <w:t>标准</w:t>
            </w:r>
            <w:r>
              <w:rPr>
                <w:rFonts w:hint="eastAsia"/>
                <w:color w:val="auto"/>
                <w:lang w:eastAsia="zh-CN"/>
              </w:rPr>
              <w:t>，</w:t>
            </w:r>
            <w:r>
              <w:rPr>
                <w:rFonts w:hint="eastAsia"/>
                <w:color w:val="auto"/>
              </w:rPr>
              <w:t>本项目实施后不会对区域声环境质量产生较大的影响。</w:t>
            </w:r>
          </w:p>
          <w:p w14:paraId="636D41A6">
            <w:pPr>
              <w:autoSpaceDE w:val="0"/>
              <w:autoSpaceDN w:val="0"/>
              <w:ind w:firstLine="480"/>
              <w:jc w:val="left"/>
              <w:rPr>
                <w:rFonts w:hint="eastAsia"/>
                <w:color w:val="auto"/>
              </w:rPr>
            </w:pPr>
            <w:r>
              <w:rPr>
                <w:rFonts w:hint="eastAsia"/>
                <w:color w:val="auto"/>
              </w:rPr>
              <w:t>④土壤环境质量底线</w:t>
            </w:r>
          </w:p>
          <w:p w14:paraId="42307811">
            <w:pPr>
              <w:autoSpaceDE w:val="0"/>
              <w:autoSpaceDN w:val="0"/>
              <w:ind w:firstLine="480"/>
              <w:jc w:val="left"/>
              <w:rPr>
                <w:color w:val="auto"/>
              </w:rPr>
            </w:pPr>
            <w:r>
              <w:rPr>
                <w:rFonts w:hint="eastAsia"/>
                <w:color w:val="auto"/>
              </w:rPr>
              <w:t>根据</w:t>
            </w:r>
            <w:r>
              <w:rPr>
                <w:color w:val="auto"/>
              </w:rPr>
              <w:t>《淮北市土壤污染防治工作方案》，到2030年，受污染耕地安全利用率达到95%以上，污染地块安全利用率达到95%以上。</w:t>
            </w:r>
          </w:p>
          <w:p w14:paraId="1C5F0968">
            <w:pPr>
              <w:autoSpaceDE w:val="0"/>
              <w:autoSpaceDN w:val="0"/>
              <w:ind w:firstLine="480"/>
              <w:jc w:val="left"/>
              <w:rPr>
                <w:color w:val="auto"/>
              </w:rPr>
            </w:pPr>
            <w:r>
              <w:rPr>
                <w:rFonts w:hint="eastAsia"/>
                <w:color w:val="auto"/>
              </w:rPr>
              <w:t>本项目要求</w:t>
            </w:r>
            <w:r>
              <w:rPr>
                <w:rFonts w:hint="eastAsia"/>
                <w:color w:val="auto"/>
                <w:lang w:val="en-US" w:eastAsia="zh-CN"/>
              </w:rPr>
              <w:t>危废暂存间、硫磺防爆间、辅料库房</w:t>
            </w:r>
            <w:r>
              <w:rPr>
                <w:rFonts w:hint="eastAsia"/>
                <w:color w:val="auto"/>
              </w:rPr>
              <w:t>进行重点防渗，通过分区防渗措施，本项目实施后对区域土壤环境影响较小</w:t>
            </w:r>
            <w:r>
              <w:rPr>
                <w:rFonts w:hint="eastAsia"/>
                <w:color w:val="auto"/>
                <w:lang w:eastAsia="zh-CN"/>
              </w:rPr>
              <w:t>，</w:t>
            </w:r>
            <w:r>
              <w:rPr>
                <w:rFonts w:hint="eastAsia"/>
                <w:color w:val="auto"/>
                <w:lang w:val="en-US" w:eastAsia="zh-CN"/>
              </w:rPr>
              <w:t>不会突破</w:t>
            </w:r>
            <w:r>
              <w:rPr>
                <w:rFonts w:hint="eastAsia"/>
                <w:color w:val="auto"/>
              </w:rPr>
              <w:t>区域土壤环境环境质量底线。</w:t>
            </w:r>
          </w:p>
          <w:p w14:paraId="1693D3B9">
            <w:pPr>
              <w:autoSpaceDE w:val="0"/>
              <w:autoSpaceDN w:val="0"/>
              <w:ind w:firstLine="480"/>
              <w:jc w:val="left"/>
              <w:rPr>
                <w:color w:val="auto"/>
              </w:rPr>
            </w:pPr>
            <w:r>
              <w:rPr>
                <w:rFonts w:hint="eastAsia"/>
                <w:color w:val="auto"/>
              </w:rPr>
              <w:t>综上，拟建项目营运期废气、废水、固废和噪声等均得到合理处理处置后，对周边环境影响较小，不会降低区域环境质量的原有功能级别，满足环境质量底线控制要求。</w:t>
            </w:r>
          </w:p>
          <w:p w14:paraId="39158666">
            <w:pPr>
              <w:autoSpaceDE w:val="0"/>
              <w:autoSpaceDN w:val="0"/>
              <w:ind w:firstLine="480"/>
              <w:jc w:val="left"/>
              <w:rPr>
                <w:color w:val="auto"/>
              </w:rPr>
            </w:pPr>
            <w:r>
              <w:rPr>
                <w:rFonts w:hint="eastAsia"/>
                <w:color w:val="auto"/>
              </w:rPr>
              <w:t>（3）资源利用上线</w:t>
            </w:r>
          </w:p>
          <w:p w14:paraId="4E0F9BC3">
            <w:pPr>
              <w:autoSpaceDE w:val="0"/>
              <w:autoSpaceDN w:val="0"/>
              <w:ind w:firstLine="480"/>
              <w:jc w:val="left"/>
              <w:rPr>
                <w:color w:val="auto"/>
              </w:rPr>
            </w:pPr>
            <w:r>
              <w:rPr>
                <w:rFonts w:hint="eastAsia"/>
                <w:color w:val="auto"/>
              </w:rPr>
              <w:t>拟建项目位于淮北市杜集区石台镇乡村振兴厂房。项目供水依托市政管网，市政供水系统富余能力完全满足本项目需求。本项目生产设备使用能源为电能，依托现有厂区内的供电系统，能够满足本项目供电需要。拟建项目资源利用均在淮北市可承受范围内。</w:t>
            </w:r>
          </w:p>
          <w:p w14:paraId="6246F3CA">
            <w:pPr>
              <w:autoSpaceDE w:val="0"/>
              <w:autoSpaceDN w:val="0"/>
              <w:ind w:firstLine="480"/>
              <w:jc w:val="left"/>
              <w:rPr>
                <w:color w:val="auto"/>
              </w:rPr>
            </w:pPr>
            <w:r>
              <w:rPr>
                <w:rFonts w:hint="eastAsia"/>
                <w:color w:val="auto"/>
              </w:rPr>
              <w:t>（4）生态环境准入清单</w:t>
            </w:r>
          </w:p>
          <w:p w14:paraId="0BBE907F">
            <w:pPr>
              <w:autoSpaceDE w:val="0"/>
              <w:autoSpaceDN w:val="0"/>
              <w:ind w:firstLine="480"/>
              <w:jc w:val="left"/>
              <w:rPr>
                <w:color w:val="auto"/>
              </w:rPr>
            </w:pPr>
            <w:r>
              <w:rPr>
                <w:rFonts w:hint="eastAsia"/>
                <w:color w:val="auto"/>
              </w:rPr>
              <w:t>本项目对照淮北市“生态环境准入清单”、《市场准入负面清单》（2025年版）进行说明。</w:t>
            </w:r>
          </w:p>
          <w:p w14:paraId="301D6CD2">
            <w:pPr>
              <w:autoSpaceDE w:val="0"/>
              <w:autoSpaceDN w:val="0"/>
              <w:ind w:firstLine="480"/>
              <w:jc w:val="left"/>
              <w:rPr>
                <w:color w:val="auto"/>
              </w:rPr>
            </w:pPr>
            <w:r>
              <w:rPr>
                <w:color w:val="auto"/>
              </w:rPr>
              <w:t>①</w:t>
            </w:r>
            <w:r>
              <w:rPr>
                <w:rFonts w:hint="eastAsia"/>
                <w:color w:val="auto"/>
              </w:rPr>
              <w:t>与淮北市“生态环境准入清单”对照分析</w:t>
            </w:r>
          </w:p>
          <w:p w14:paraId="6A6EB00A">
            <w:pPr>
              <w:autoSpaceDE w:val="0"/>
              <w:autoSpaceDN w:val="0"/>
              <w:jc w:val="center"/>
              <w:rPr>
                <w:b/>
                <w:bCs/>
                <w:color w:val="auto"/>
              </w:rPr>
            </w:pPr>
            <w:r>
              <w:rPr>
                <w:rFonts w:hint="eastAsia"/>
                <w:b/>
                <w:bCs/>
                <w:color w:val="auto"/>
                <w:lang w:val="en-US" w:eastAsia="zh-CN"/>
              </w:rPr>
              <w:t xml:space="preserve">表1-1 </w:t>
            </w:r>
            <w:r>
              <w:rPr>
                <w:rFonts w:hint="eastAsia"/>
                <w:b/>
                <w:bCs/>
                <w:color w:val="auto"/>
              </w:rPr>
              <w:t>项目与淮北市“生态环境准入清单”一览表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4753"/>
              <w:gridCol w:w="1005"/>
              <w:gridCol w:w="740"/>
            </w:tblGrid>
            <w:tr w14:paraId="02369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blHeader/>
              </w:trPr>
              <w:tc>
                <w:tcPr>
                  <w:tcW w:w="694" w:type="pct"/>
                  <w:vAlign w:val="center"/>
                </w:tcPr>
                <w:p w14:paraId="230780F8">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r>
                    <w:rPr>
                      <w:color w:val="auto"/>
                      <w:sz w:val="21"/>
                      <w:szCs w:val="21"/>
                    </w:rPr>
                    <w:t>要求</w:t>
                  </w:r>
                </w:p>
              </w:tc>
              <w:tc>
                <w:tcPr>
                  <w:tcW w:w="3148" w:type="pct"/>
                  <w:vAlign w:val="center"/>
                </w:tcPr>
                <w:p w14:paraId="28B3F823">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r>
                    <w:rPr>
                      <w:color w:val="auto"/>
                      <w:sz w:val="21"/>
                      <w:szCs w:val="21"/>
                    </w:rPr>
                    <w:t>文件要求</w:t>
                  </w:r>
                </w:p>
              </w:tc>
              <w:tc>
                <w:tcPr>
                  <w:tcW w:w="666" w:type="pct"/>
                  <w:vAlign w:val="center"/>
                </w:tcPr>
                <w:p w14:paraId="6B666007">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r>
                    <w:rPr>
                      <w:color w:val="auto"/>
                      <w:sz w:val="21"/>
                      <w:szCs w:val="21"/>
                    </w:rPr>
                    <w:t>本项目情况</w:t>
                  </w:r>
                </w:p>
              </w:tc>
              <w:tc>
                <w:tcPr>
                  <w:tcW w:w="490" w:type="pct"/>
                  <w:vAlign w:val="center"/>
                </w:tcPr>
                <w:p w14:paraId="390CBEA3">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r>
                    <w:rPr>
                      <w:color w:val="auto"/>
                      <w:sz w:val="21"/>
                      <w:szCs w:val="21"/>
                    </w:rPr>
                    <w:t>是否符合</w:t>
                  </w:r>
                </w:p>
              </w:tc>
            </w:tr>
            <w:tr w14:paraId="08E6A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pct"/>
                  <w:vMerge w:val="restart"/>
                  <w:vAlign w:val="center"/>
                </w:tcPr>
                <w:p w14:paraId="5F2F3C61">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r>
                    <w:rPr>
                      <w:color w:val="auto"/>
                      <w:sz w:val="21"/>
                      <w:szCs w:val="21"/>
                    </w:rPr>
                    <w:t>禁止开发建设活动的要求</w:t>
                  </w:r>
                </w:p>
              </w:tc>
              <w:tc>
                <w:tcPr>
                  <w:tcW w:w="3148" w:type="pct"/>
                  <w:vAlign w:val="center"/>
                </w:tcPr>
                <w:p w14:paraId="13F8CC50">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r>
                    <w:rPr>
                      <w:color w:val="auto"/>
                      <w:sz w:val="21"/>
                      <w:szCs w:val="21"/>
                    </w:rPr>
                    <w:t>（1）严禁新增钢铁、焦化、电解铝、铸造、水泥和平板玻璃等产能。</w:t>
                  </w:r>
                </w:p>
                <w:p w14:paraId="63AB88C1">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r>
                    <w:rPr>
                      <w:color w:val="auto"/>
                      <w:sz w:val="21"/>
                      <w:szCs w:val="21"/>
                    </w:rPr>
                    <w:t>（2）细化“散乱污”企业及集群整治标准。实行拉网式排查，建立管理台账。按照“先停后治”的原则，实施分类处置。列入关停取缔类的，基本做到“两断三清”。</w:t>
                  </w:r>
                </w:p>
                <w:p w14:paraId="771ECF97">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r>
                    <w:rPr>
                      <w:color w:val="auto"/>
                      <w:sz w:val="21"/>
                      <w:szCs w:val="21"/>
                    </w:rPr>
                    <w:t>（3）对违反资源环境法律法规、规划，污染环境、破坏生态、乱采滥挖的露天矿山，依法予以关闭；对责任主体灭失的露天矿山，要加强修复绿化、减尘抑尘。原则上禁止新建露天矿山建设项目。</w:t>
                  </w:r>
                </w:p>
                <w:p w14:paraId="090CE5D4">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r>
                    <w:rPr>
                      <w:color w:val="auto"/>
                      <w:sz w:val="21"/>
                      <w:szCs w:val="21"/>
                    </w:rPr>
                    <w:t>（4）禁止建设生产和使用高VOCs含量的溶剂型涂料、油墨、胶粘剂等项目。</w:t>
                  </w:r>
                </w:p>
                <w:p w14:paraId="2A961232">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r>
                    <w:rPr>
                      <w:color w:val="auto"/>
                      <w:sz w:val="21"/>
                      <w:szCs w:val="21"/>
                    </w:rPr>
                    <w:t>（5）禁止新增化工园区。</w:t>
                  </w:r>
                </w:p>
                <w:p w14:paraId="61E6709C">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r>
                    <w:rPr>
                      <w:color w:val="auto"/>
                      <w:sz w:val="21"/>
                      <w:szCs w:val="21"/>
                    </w:rPr>
                    <w:t>（6）在城市建成区及居民区、医院、学校等环境敏感区域，严禁现场露天灰土拌合。</w:t>
                  </w:r>
                </w:p>
                <w:p w14:paraId="7F19376B">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r>
                    <w:rPr>
                      <w:color w:val="auto"/>
                      <w:sz w:val="21"/>
                      <w:szCs w:val="21"/>
                    </w:rPr>
                    <w:t>（7）禁止掺烧高硫石油焦。</w:t>
                  </w:r>
                </w:p>
              </w:tc>
              <w:tc>
                <w:tcPr>
                  <w:tcW w:w="666" w:type="pct"/>
                  <w:vMerge w:val="restart"/>
                  <w:vAlign w:val="center"/>
                </w:tcPr>
                <w:p w14:paraId="13C00D79">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eastAsia"/>
                      <w:color w:val="auto"/>
                      <w:sz w:val="21"/>
                      <w:szCs w:val="21"/>
                      <w:lang w:val="en-US" w:eastAsia="zh-CN"/>
                    </w:rPr>
                  </w:pPr>
                  <w:r>
                    <w:rPr>
                      <w:color w:val="auto"/>
                      <w:sz w:val="21"/>
                      <w:szCs w:val="21"/>
                    </w:rPr>
                    <w:t>本项目</w:t>
                  </w:r>
                  <w:r>
                    <w:rPr>
                      <w:rFonts w:hint="eastAsia"/>
                      <w:color w:val="auto"/>
                      <w:sz w:val="21"/>
                      <w:szCs w:val="21"/>
                      <w:lang w:val="en-US" w:eastAsia="zh-CN"/>
                    </w:rPr>
                    <w:t>行业类别为C2919</w:t>
                  </w:r>
                </w:p>
                <w:p w14:paraId="15B82567">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r>
                    <w:rPr>
                      <w:rFonts w:hint="eastAsia"/>
                      <w:color w:val="auto"/>
                      <w:sz w:val="21"/>
                      <w:szCs w:val="21"/>
                      <w:lang w:val="en-US" w:eastAsia="zh-CN"/>
                    </w:rPr>
                    <w:t>其他橡胶制品制造</w:t>
                  </w:r>
                  <w:r>
                    <w:rPr>
                      <w:rFonts w:hint="eastAsia"/>
                      <w:color w:val="auto"/>
                      <w:sz w:val="21"/>
                      <w:szCs w:val="21"/>
                    </w:rPr>
                    <w:t>，不属于上述项目类型</w:t>
                  </w:r>
                  <w:r>
                    <w:rPr>
                      <w:rFonts w:hint="eastAsia"/>
                      <w:color w:val="auto"/>
                      <w:sz w:val="21"/>
                      <w:szCs w:val="21"/>
                      <w:lang w:eastAsia="zh-CN"/>
                    </w:rPr>
                    <w:t>；</w:t>
                  </w:r>
                  <w:r>
                    <w:rPr>
                      <w:rFonts w:hint="eastAsia"/>
                      <w:color w:val="auto"/>
                      <w:sz w:val="21"/>
                      <w:szCs w:val="21"/>
                      <w:lang w:val="en-US" w:eastAsia="zh-CN"/>
                    </w:rPr>
                    <w:t>本项目使用的胶黏剂在即用状态下，能够满足《胶粘剂挥发性有机化合物限量》（GB33372-2020）规定</w:t>
                  </w:r>
                  <w:r>
                    <w:rPr>
                      <w:rFonts w:hint="eastAsia"/>
                      <w:color w:val="auto"/>
                      <w:sz w:val="21"/>
                      <w:szCs w:val="21"/>
                      <w:lang w:eastAsia="zh-CN"/>
                    </w:rPr>
                    <w:t>溶剂型胶粘剂</w:t>
                  </w:r>
                  <w:r>
                    <w:rPr>
                      <w:rFonts w:hint="eastAsia"/>
                      <w:color w:val="auto"/>
                      <w:sz w:val="21"/>
                      <w:szCs w:val="21"/>
                      <w:lang w:val="en-US" w:eastAsia="zh-CN"/>
                    </w:rPr>
                    <w:t>-汽车桥梁减震用热硫化胶粘剂VOCs含量700g/L的限值要求</w:t>
                  </w:r>
                  <w:r>
                    <w:rPr>
                      <w:rFonts w:hint="eastAsia"/>
                      <w:color w:val="auto"/>
                      <w:sz w:val="21"/>
                      <w:szCs w:val="21"/>
                    </w:rPr>
                    <w:t>。</w:t>
                  </w:r>
                </w:p>
              </w:tc>
              <w:tc>
                <w:tcPr>
                  <w:tcW w:w="490" w:type="pct"/>
                  <w:vMerge w:val="restart"/>
                  <w:vAlign w:val="center"/>
                </w:tcPr>
                <w:p w14:paraId="70BD435D">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r>
                    <w:rPr>
                      <w:rFonts w:hint="eastAsia"/>
                      <w:color w:val="auto"/>
                      <w:sz w:val="21"/>
                      <w:szCs w:val="21"/>
                    </w:rPr>
                    <w:t>符合</w:t>
                  </w:r>
                </w:p>
              </w:tc>
            </w:tr>
            <w:tr w14:paraId="7D288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pct"/>
                  <w:vMerge w:val="continue"/>
                  <w:vAlign w:val="center"/>
                </w:tcPr>
                <w:p w14:paraId="44F9ABC4">
                  <w:pPr>
                    <w:keepNext w:val="0"/>
                    <w:keepLines w:val="0"/>
                    <w:pageBreakBefore w:val="0"/>
                    <w:widowControl w:val="0"/>
                    <w:kinsoku/>
                    <w:wordWrap/>
                    <w:overflowPunct/>
                    <w:topLinePunct w:val="0"/>
                    <w:autoSpaceDE w:val="0"/>
                    <w:autoSpaceDN w:val="0"/>
                    <w:bidi w:val="0"/>
                    <w:adjustRightInd/>
                    <w:snapToGrid/>
                    <w:spacing w:line="240" w:lineRule="auto"/>
                    <w:ind w:firstLine="0"/>
                    <w:jc w:val="left"/>
                    <w:textAlignment w:val="auto"/>
                    <w:rPr>
                      <w:color w:val="auto"/>
                      <w:sz w:val="21"/>
                      <w:szCs w:val="21"/>
                    </w:rPr>
                  </w:pPr>
                </w:p>
              </w:tc>
              <w:tc>
                <w:tcPr>
                  <w:tcW w:w="3148" w:type="pct"/>
                  <w:vAlign w:val="center"/>
                </w:tcPr>
                <w:p w14:paraId="743E516C">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r>
                    <w:rPr>
                      <w:color w:val="auto"/>
                      <w:sz w:val="21"/>
                      <w:szCs w:val="21"/>
                    </w:rPr>
                    <w:t>严禁高污染、高耗能行业落后产能转入，不再审批钢铁、水泥、电解铝、平板玻璃等产能严重过剩行业新增产能项目。</w:t>
                  </w:r>
                </w:p>
              </w:tc>
              <w:tc>
                <w:tcPr>
                  <w:tcW w:w="666" w:type="pct"/>
                  <w:vMerge w:val="continue"/>
                  <w:vAlign w:val="center"/>
                </w:tcPr>
                <w:p w14:paraId="0801F490">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p>
              </w:tc>
              <w:tc>
                <w:tcPr>
                  <w:tcW w:w="490" w:type="pct"/>
                  <w:vMerge w:val="continue"/>
                  <w:vAlign w:val="center"/>
                </w:tcPr>
                <w:p w14:paraId="71196700">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p>
              </w:tc>
            </w:tr>
            <w:tr w14:paraId="59EC4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pct"/>
                  <w:vMerge w:val="continue"/>
                  <w:vAlign w:val="center"/>
                </w:tcPr>
                <w:p w14:paraId="438020C5">
                  <w:pPr>
                    <w:keepNext w:val="0"/>
                    <w:keepLines w:val="0"/>
                    <w:pageBreakBefore w:val="0"/>
                    <w:widowControl w:val="0"/>
                    <w:kinsoku/>
                    <w:wordWrap/>
                    <w:overflowPunct/>
                    <w:topLinePunct w:val="0"/>
                    <w:autoSpaceDE w:val="0"/>
                    <w:autoSpaceDN w:val="0"/>
                    <w:bidi w:val="0"/>
                    <w:adjustRightInd/>
                    <w:snapToGrid/>
                    <w:spacing w:line="240" w:lineRule="auto"/>
                    <w:ind w:firstLine="0"/>
                    <w:jc w:val="left"/>
                    <w:textAlignment w:val="auto"/>
                    <w:rPr>
                      <w:color w:val="auto"/>
                      <w:sz w:val="21"/>
                      <w:szCs w:val="21"/>
                    </w:rPr>
                  </w:pPr>
                </w:p>
              </w:tc>
              <w:tc>
                <w:tcPr>
                  <w:tcW w:w="3148" w:type="pct"/>
                  <w:vAlign w:val="center"/>
                </w:tcPr>
                <w:p w14:paraId="238D0326">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r>
                    <w:rPr>
                      <w:color w:val="auto"/>
                      <w:sz w:val="21"/>
                      <w:szCs w:val="21"/>
                    </w:rPr>
                    <w:t>新建矿山的开采规模不得低于限定的最小开采规模，严禁大矿小开、一矿多开。</w:t>
                  </w:r>
                </w:p>
              </w:tc>
              <w:tc>
                <w:tcPr>
                  <w:tcW w:w="666" w:type="pct"/>
                  <w:vMerge w:val="continue"/>
                  <w:vAlign w:val="center"/>
                </w:tcPr>
                <w:p w14:paraId="3799A385">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p>
              </w:tc>
              <w:tc>
                <w:tcPr>
                  <w:tcW w:w="490" w:type="pct"/>
                  <w:vMerge w:val="continue"/>
                  <w:vAlign w:val="center"/>
                </w:tcPr>
                <w:p w14:paraId="726FD8D2">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p>
              </w:tc>
            </w:tr>
            <w:tr w14:paraId="78CC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pct"/>
                  <w:vMerge w:val="continue"/>
                  <w:vAlign w:val="center"/>
                </w:tcPr>
                <w:p w14:paraId="3AFBD4BA">
                  <w:pPr>
                    <w:keepNext w:val="0"/>
                    <w:keepLines w:val="0"/>
                    <w:pageBreakBefore w:val="0"/>
                    <w:widowControl w:val="0"/>
                    <w:kinsoku/>
                    <w:wordWrap/>
                    <w:overflowPunct/>
                    <w:topLinePunct w:val="0"/>
                    <w:autoSpaceDE w:val="0"/>
                    <w:autoSpaceDN w:val="0"/>
                    <w:bidi w:val="0"/>
                    <w:adjustRightInd/>
                    <w:snapToGrid/>
                    <w:spacing w:line="240" w:lineRule="auto"/>
                    <w:ind w:firstLine="0"/>
                    <w:jc w:val="left"/>
                    <w:textAlignment w:val="auto"/>
                    <w:rPr>
                      <w:color w:val="auto"/>
                      <w:sz w:val="21"/>
                      <w:szCs w:val="21"/>
                    </w:rPr>
                  </w:pPr>
                </w:p>
              </w:tc>
              <w:tc>
                <w:tcPr>
                  <w:tcW w:w="3148" w:type="pct"/>
                  <w:vAlign w:val="center"/>
                </w:tcPr>
                <w:p w14:paraId="5047AA28">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r>
                    <w:rPr>
                      <w:color w:val="auto"/>
                      <w:sz w:val="21"/>
                      <w:szCs w:val="21"/>
                    </w:rPr>
                    <w:t>严禁高污染、高耗能行业落后产能转入，不再审批钢铁、水泥、电解铝、平板玻璃等产能严重过剩行业新增产能项目，新、改、扩建项目要制定产能置换方案，实行产能等量或减量置换。</w:t>
                  </w:r>
                </w:p>
              </w:tc>
              <w:tc>
                <w:tcPr>
                  <w:tcW w:w="666" w:type="pct"/>
                  <w:vMerge w:val="continue"/>
                  <w:vAlign w:val="center"/>
                </w:tcPr>
                <w:p w14:paraId="2F556B74">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p>
              </w:tc>
              <w:tc>
                <w:tcPr>
                  <w:tcW w:w="490" w:type="pct"/>
                  <w:vMerge w:val="continue"/>
                  <w:vAlign w:val="center"/>
                </w:tcPr>
                <w:p w14:paraId="251BB7EB">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p>
              </w:tc>
            </w:tr>
            <w:tr w14:paraId="3A2C0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pct"/>
                  <w:vMerge w:val="restart"/>
                  <w:vAlign w:val="center"/>
                </w:tcPr>
                <w:p w14:paraId="3FF4BFC9">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r>
                    <w:rPr>
                      <w:color w:val="auto"/>
                      <w:sz w:val="21"/>
                      <w:szCs w:val="21"/>
                    </w:rPr>
                    <w:t>限制开发建设活动的要求</w:t>
                  </w:r>
                </w:p>
              </w:tc>
              <w:tc>
                <w:tcPr>
                  <w:tcW w:w="3148" w:type="pct"/>
                  <w:vAlign w:val="center"/>
                </w:tcPr>
                <w:p w14:paraId="79BBD480">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r>
                    <w:rPr>
                      <w:color w:val="auto"/>
                      <w:sz w:val="21"/>
                      <w:szCs w:val="21"/>
                    </w:rPr>
                    <w:t>（1）钢铁企业应严格控制，确保污染物达标排放，逐步推动转型升级，加大煤化工园区和各类园区内化工企业的整治力度。</w:t>
                  </w:r>
                </w:p>
                <w:p w14:paraId="5A0D6F38">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r>
                    <w:rPr>
                      <w:color w:val="auto"/>
                      <w:sz w:val="21"/>
                      <w:szCs w:val="21"/>
                    </w:rPr>
                    <w:t>（2）“散乱污”列入整合搬迁类的，要按照产业发展规模化、现代化的原则，搬迁至合规工业园区并实施升级改造，列入升级改造类的，实施清洁生产技术改造，全面提升污染治理水平。</w:t>
                  </w:r>
                </w:p>
                <w:p w14:paraId="6214B7C8">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r>
                    <w:rPr>
                      <w:color w:val="auto"/>
                      <w:sz w:val="21"/>
                      <w:szCs w:val="21"/>
                    </w:rPr>
                    <w:t>（3）对治理效果差、技术服务能力弱、运营管理水平低的治理单位，公布名单，实行联合惩戒。</w:t>
                  </w:r>
                </w:p>
                <w:p w14:paraId="17541CCE">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r>
                    <w:rPr>
                      <w:color w:val="auto"/>
                      <w:sz w:val="21"/>
                      <w:szCs w:val="21"/>
                    </w:rPr>
                    <w:t>（4）对污染治理不规范的露天矿山，依法责令停产整治，整治完成并经相关部门组织验收合格后方可恢复生产。</w:t>
                  </w:r>
                </w:p>
              </w:tc>
              <w:tc>
                <w:tcPr>
                  <w:tcW w:w="666" w:type="pct"/>
                  <w:vMerge w:val="continue"/>
                  <w:vAlign w:val="center"/>
                </w:tcPr>
                <w:p w14:paraId="2EDB6D84">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p>
              </w:tc>
              <w:tc>
                <w:tcPr>
                  <w:tcW w:w="490" w:type="pct"/>
                  <w:vMerge w:val="restart"/>
                  <w:vAlign w:val="center"/>
                </w:tcPr>
                <w:p w14:paraId="204DB790">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r>
                    <w:rPr>
                      <w:rFonts w:hint="eastAsia"/>
                      <w:color w:val="auto"/>
                      <w:sz w:val="21"/>
                      <w:szCs w:val="21"/>
                    </w:rPr>
                    <w:t>符合</w:t>
                  </w:r>
                </w:p>
              </w:tc>
            </w:tr>
            <w:tr w14:paraId="15C1D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pct"/>
                  <w:vMerge w:val="continue"/>
                  <w:vAlign w:val="center"/>
                </w:tcPr>
                <w:p w14:paraId="56BA3023">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p>
              </w:tc>
              <w:tc>
                <w:tcPr>
                  <w:tcW w:w="3148" w:type="pct"/>
                  <w:vAlign w:val="center"/>
                </w:tcPr>
                <w:p w14:paraId="7E51FF91">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r>
                    <w:rPr>
                      <w:color w:val="auto"/>
                      <w:sz w:val="21"/>
                      <w:szCs w:val="21"/>
                    </w:rPr>
                    <w:t>严格控制高耗能、高排放和产能过剩行业新上项目，强化节能、环保、土地等指标约束。强化节能、环保、土地等指标约束。</w:t>
                  </w:r>
                </w:p>
              </w:tc>
              <w:tc>
                <w:tcPr>
                  <w:tcW w:w="666" w:type="pct"/>
                  <w:vMerge w:val="continue"/>
                  <w:vAlign w:val="center"/>
                </w:tcPr>
                <w:p w14:paraId="22E7DA0C">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p>
              </w:tc>
              <w:tc>
                <w:tcPr>
                  <w:tcW w:w="490" w:type="pct"/>
                  <w:vMerge w:val="continue"/>
                  <w:vAlign w:val="center"/>
                </w:tcPr>
                <w:p w14:paraId="6A36996D">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p>
              </w:tc>
            </w:tr>
            <w:tr w14:paraId="3E7B0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4" w:type="pct"/>
                  <w:vMerge w:val="continue"/>
                  <w:vAlign w:val="center"/>
                </w:tcPr>
                <w:p w14:paraId="1E4A676F">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p>
              </w:tc>
              <w:tc>
                <w:tcPr>
                  <w:tcW w:w="3148" w:type="pct"/>
                  <w:vAlign w:val="center"/>
                </w:tcPr>
                <w:p w14:paraId="14F5D9F8">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r>
                    <w:rPr>
                      <w:color w:val="auto"/>
                      <w:sz w:val="21"/>
                      <w:szCs w:val="21"/>
                    </w:rPr>
                    <w:t>严格执行矿山最低开采规模制度，以优势矿产和主要矿区为重点，提高大中型矿山企业的产能比例，逐步分矿区限定矿山最小开采规模。</w:t>
                  </w:r>
                </w:p>
              </w:tc>
              <w:tc>
                <w:tcPr>
                  <w:tcW w:w="666" w:type="pct"/>
                  <w:vMerge w:val="continue"/>
                  <w:vAlign w:val="center"/>
                </w:tcPr>
                <w:p w14:paraId="41A3701E">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p>
              </w:tc>
              <w:tc>
                <w:tcPr>
                  <w:tcW w:w="490" w:type="pct"/>
                  <w:vMerge w:val="continue"/>
                  <w:vAlign w:val="center"/>
                </w:tcPr>
                <w:p w14:paraId="00E11AAE">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p>
              </w:tc>
            </w:tr>
            <w:tr w14:paraId="1C743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pct"/>
                  <w:vMerge w:val="restart"/>
                  <w:vAlign w:val="center"/>
                </w:tcPr>
                <w:p w14:paraId="7304DD34">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r>
                    <w:rPr>
                      <w:color w:val="auto"/>
                      <w:sz w:val="21"/>
                      <w:szCs w:val="21"/>
                    </w:rPr>
                    <w:t>不符合空间布局要求活动的退出要求</w:t>
                  </w:r>
                </w:p>
              </w:tc>
              <w:tc>
                <w:tcPr>
                  <w:tcW w:w="3148" w:type="pct"/>
                  <w:vAlign w:val="center"/>
                </w:tcPr>
                <w:p w14:paraId="66BC745A">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r>
                    <w:rPr>
                      <w:color w:val="auto"/>
                      <w:sz w:val="21"/>
                      <w:szCs w:val="21"/>
                    </w:rPr>
                    <w:t>（1）加快城市建成区重污染企业搬迁改造或关闭退出，推动实施水泥、化工等重污染企业搬迁工程。</w:t>
                  </w:r>
                </w:p>
                <w:p w14:paraId="03830DF7">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r>
                    <w:rPr>
                      <w:color w:val="auto"/>
                      <w:sz w:val="21"/>
                      <w:szCs w:val="21"/>
                    </w:rPr>
                    <w:t>（2）加大落后产能淘汰和过剩产能压减力度。严格按照《产业结构调整指导目录》，执行过剩产能淘汰标准。严防“地条钢”死灰复燃。</w:t>
                  </w:r>
                </w:p>
                <w:p w14:paraId="05E5A8D9">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r>
                    <w:rPr>
                      <w:color w:val="auto"/>
                      <w:sz w:val="21"/>
                      <w:szCs w:val="21"/>
                    </w:rPr>
                    <w:t>（3）对污染治理不规范的露天矿山，依法责令停产整治，对拒不停产或擅自恢复生产的依法强制关闭。</w:t>
                  </w:r>
                </w:p>
              </w:tc>
              <w:tc>
                <w:tcPr>
                  <w:tcW w:w="666" w:type="pct"/>
                  <w:vMerge w:val="continue"/>
                  <w:vAlign w:val="center"/>
                </w:tcPr>
                <w:p w14:paraId="33C4FEE0">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p>
              </w:tc>
              <w:tc>
                <w:tcPr>
                  <w:tcW w:w="490" w:type="pct"/>
                  <w:vMerge w:val="restart"/>
                  <w:vAlign w:val="center"/>
                </w:tcPr>
                <w:p w14:paraId="45333454">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color w:val="auto"/>
                      <w:sz w:val="21"/>
                      <w:szCs w:val="21"/>
                    </w:rPr>
                  </w:pPr>
                  <w:r>
                    <w:rPr>
                      <w:rFonts w:hint="eastAsia"/>
                      <w:color w:val="auto"/>
                      <w:sz w:val="21"/>
                      <w:szCs w:val="21"/>
                    </w:rPr>
                    <w:t>符合</w:t>
                  </w:r>
                </w:p>
              </w:tc>
            </w:tr>
            <w:tr w14:paraId="6BCFD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pct"/>
                  <w:vMerge w:val="continue"/>
                  <w:vAlign w:val="center"/>
                </w:tcPr>
                <w:p w14:paraId="70B810ED">
                  <w:pPr>
                    <w:keepNext w:val="0"/>
                    <w:keepLines w:val="0"/>
                    <w:pageBreakBefore w:val="0"/>
                    <w:widowControl w:val="0"/>
                    <w:kinsoku/>
                    <w:wordWrap/>
                    <w:overflowPunct/>
                    <w:topLinePunct w:val="0"/>
                    <w:autoSpaceDE w:val="0"/>
                    <w:autoSpaceDN w:val="0"/>
                    <w:bidi w:val="0"/>
                    <w:adjustRightInd/>
                    <w:snapToGrid/>
                    <w:spacing w:line="240" w:lineRule="auto"/>
                    <w:ind w:firstLine="0"/>
                    <w:jc w:val="left"/>
                    <w:textAlignment w:val="auto"/>
                    <w:rPr>
                      <w:color w:val="auto"/>
                      <w:sz w:val="21"/>
                      <w:szCs w:val="21"/>
                    </w:rPr>
                  </w:pPr>
                </w:p>
              </w:tc>
              <w:tc>
                <w:tcPr>
                  <w:tcW w:w="3148" w:type="pct"/>
                  <w:vAlign w:val="center"/>
                </w:tcPr>
                <w:p w14:paraId="196B1EB3">
                  <w:pPr>
                    <w:keepNext w:val="0"/>
                    <w:keepLines w:val="0"/>
                    <w:pageBreakBefore w:val="0"/>
                    <w:widowControl w:val="0"/>
                    <w:kinsoku/>
                    <w:wordWrap/>
                    <w:overflowPunct/>
                    <w:topLinePunct w:val="0"/>
                    <w:autoSpaceDE w:val="0"/>
                    <w:autoSpaceDN w:val="0"/>
                    <w:bidi w:val="0"/>
                    <w:adjustRightInd/>
                    <w:snapToGrid/>
                    <w:spacing w:line="240" w:lineRule="auto"/>
                    <w:ind w:firstLine="0"/>
                    <w:jc w:val="left"/>
                    <w:textAlignment w:val="auto"/>
                    <w:rPr>
                      <w:color w:val="auto"/>
                      <w:sz w:val="21"/>
                      <w:szCs w:val="21"/>
                    </w:rPr>
                  </w:pPr>
                  <w:r>
                    <w:rPr>
                      <w:color w:val="auto"/>
                      <w:sz w:val="21"/>
                      <w:szCs w:val="21"/>
                    </w:rPr>
                    <w:t>优化煤炭矿山结构，关闭一批资源枯竭、煤与瓦斯突出的煤炭矿山，到2020年，有序退出煤炭产能1280万吨/年。</w:t>
                  </w:r>
                </w:p>
              </w:tc>
              <w:tc>
                <w:tcPr>
                  <w:tcW w:w="666" w:type="pct"/>
                  <w:vMerge w:val="continue"/>
                  <w:vAlign w:val="center"/>
                </w:tcPr>
                <w:p w14:paraId="4BA9BC2F">
                  <w:pPr>
                    <w:autoSpaceDE w:val="0"/>
                    <w:autoSpaceDN w:val="0"/>
                    <w:ind w:firstLine="480"/>
                    <w:jc w:val="left"/>
                    <w:rPr>
                      <w:color w:val="auto"/>
                    </w:rPr>
                  </w:pPr>
                </w:p>
              </w:tc>
              <w:tc>
                <w:tcPr>
                  <w:tcW w:w="490" w:type="pct"/>
                  <w:vMerge w:val="continue"/>
                  <w:vAlign w:val="center"/>
                </w:tcPr>
                <w:p w14:paraId="2BB8FEE4">
                  <w:pPr>
                    <w:autoSpaceDE w:val="0"/>
                    <w:autoSpaceDN w:val="0"/>
                    <w:ind w:firstLine="480"/>
                    <w:jc w:val="left"/>
                    <w:rPr>
                      <w:color w:val="auto"/>
                    </w:rPr>
                  </w:pPr>
                </w:p>
              </w:tc>
            </w:tr>
            <w:tr w14:paraId="2C685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pct"/>
                  <w:vMerge w:val="continue"/>
                  <w:vAlign w:val="center"/>
                </w:tcPr>
                <w:p w14:paraId="5A0B16ED">
                  <w:pPr>
                    <w:keepNext w:val="0"/>
                    <w:keepLines w:val="0"/>
                    <w:pageBreakBefore w:val="0"/>
                    <w:widowControl w:val="0"/>
                    <w:kinsoku/>
                    <w:wordWrap/>
                    <w:overflowPunct/>
                    <w:topLinePunct w:val="0"/>
                    <w:autoSpaceDE w:val="0"/>
                    <w:autoSpaceDN w:val="0"/>
                    <w:bidi w:val="0"/>
                    <w:adjustRightInd/>
                    <w:snapToGrid/>
                    <w:spacing w:line="240" w:lineRule="auto"/>
                    <w:ind w:firstLine="0"/>
                    <w:jc w:val="left"/>
                    <w:textAlignment w:val="auto"/>
                    <w:rPr>
                      <w:color w:val="auto"/>
                      <w:sz w:val="21"/>
                      <w:szCs w:val="21"/>
                    </w:rPr>
                  </w:pPr>
                </w:p>
              </w:tc>
              <w:tc>
                <w:tcPr>
                  <w:tcW w:w="3148" w:type="pct"/>
                  <w:vAlign w:val="center"/>
                </w:tcPr>
                <w:p w14:paraId="69E1C6C8">
                  <w:pPr>
                    <w:keepNext w:val="0"/>
                    <w:keepLines w:val="0"/>
                    <w:pageBreakBefore w:val="0"/>
                    <w:widowControl w:val="0"/>
                    <w:kinsoku/>
                    <w:wordWrap/>
                    <w:overflowPunct/>
                    <w:topLinePunct w:val="0"/>
                    <w:autoSpaceDE w:val="0"/>
                    <w:autoSpaceDN w:val="0"/>
                    <w:bidi w:val="0"/>
                    <w:adjustRightInd/>
                    <w:snapToGrid/>
                    <w:spacing w:line="240" w:lineRule="auto"/>
                    <w:ind w:firstLine="0"/>
                    <w:jc w:val="left"/>
                    <w:textAlignment w:val="auto"/>
                    <w:rPr>
                      <w:color w:val="auto"/>
                      <w:sz w:val="21"/>
                      <w:szCs w:val="21"/>
                    </w:rPr>
                  </w:pPr>
                  <w:r>
                    <w:rPr>
                      <w:color w:val="auto"/>
                      <w:sz w:val="21"/>
                      <w:szCs w:val="21"/>
                    </w:rPr>
                    <w:t>对存在环境高风险企业要予以挂牌督办，限期整改或搬迁，对不具备整改条件的，应依法予以关停；强化环境风险应急处置，做好突发环境事件风险控制、应急准备、应急处置和事后恢复等工作，建立环境事故处置和损害赔偿恢复机制，推进开展环境污染损害鉴定评估，完善损害赔偿制度。</w:t>
                  </w:r>
                </w:p>
              </w:tc>
              <w:tc>
                <w:tcPr>
                  <w:tcW w:w="666" w:type="pct"/>
                  <w:vMerge w:val="continue"/>
                  <w:vAlign w:val="center"/>
                </w:tcPr>
                <w:p w14:paraId="379016AF">
                  <w:pPr>
                    <w:autoSpaceDE w:val="0"/>
                    <w:autoSpaceDN w:val="0"/>
                    <w:ind w:firstLine="480"/>
                    <w:jc w:val="left"/>
                    <w:rPr>
                      <w:color w:val="auto"/>
                    </w:rPr>
                  </w:pPr>
                </w:p>
              </w:tc>
              <w:tc>
                <w:tcPr>
                  <w:tcW w:w="490" w:type="pct"/>
                  <w:vMerge w:val="continue"/>
                  <w:vAlign w:val="center"/>
                </w:tcPr>
                <w:p w14:paraId="5F531960">
                  <w:pPr>
                    <w:autoSpaceDE w:val="0"/>
                    <w:autoSpaceDN w:val="0"/>
                    <w:ind w:firstLine="480"/>
                    <w:jc w:val="left"/>
                    <w:rPr>
                      <w:color w:val="auto"/>
                    </w:rPr>
                  </w:pPr>
                </w:p>
              </w:tc>
            </w:tr>
            <w:tr w14:paraId="6FDC6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pct"/>
                  <w:vMerge w:val="continue"/>
                  <w:vAlign w:val="center"/>
                </w:tcPr>
                <w:p w14:paraId="055017B9">
                  <w:pPr>
                    <w:keepNext w:val="0"/>
                    <w:keepLines w:val="0"/>
                    <w:pageBreakBefore w:val="0"/>
                    <w:widowControl w:val="0"/>
                    <w:kinsoku/>
                    <w:wordWrap/>
                    <w:overflowPunct/>
                    <w:topLinePunct w:val="0"/>
                    <w:autoSpaceDE w:val="0"/>
                    <w:autoSpaceDN w:val="0"/>
                    <w:bidi w:val="0"/>
                    <w:adjustRightInd/>
                    <w:snapToGrid/>
                    <w:spacing w:line="240" w:lineRule="auto"/>
                    <w:ind w:firstLine="0"/>
                    <w:jc w:val="left"/>
                    <w:textAlignment w:val="auto"/>
                    <w:rPr>
                      <w:color w:val="auto"/>
                      <w:sz w:val="21"/>
                      <w:szCs w:val="21"/>
                    </w:rPr>
                  </w:pPr>
                </w:p>
              </w:tc>
              <w:tc>
                <w:tcPr>
                  <w:tcW w:w="3148" w:type="pct"/>
                  <w:vAlign w:val="center"/>
                </w:tcPr>
                <w:p w14:paraId="7C3664CD">
                  <w:pPr>
                    <w:keepNext w:val="0"/>
                    <w:keepLines w:val="0"/>
                    <w:pageBreakBefore w:val="0"/>
                    <w:widowControl w:val="0"/>
                    <w:kinsoku/>
                    <w:wordWrap/>
                    <w:overflowPunct/>
                    <w:topLinePunct w:val="0"/>
                    <w:autoSpaceDE w:val="0"/>
                    <w:autoSpaceDN w:val="0"/>
                    <w:bidi w:val="0"/>
                    <w:adjustRightInd/>
                    <w:snapToGrid/>
                    <w:spacing w:line="240" w:lineRule="auto"/>
                    <w:ind w:firstLine="0"/>
                    <w:jc w:val="left"/>
                    <w:textAlignment w:val="auto"/>
                    <w:rPr>
                      <w:color w:val="auto"/>
                      <w:sz w:val="21"/>
                      <w:szCs w:val="21"/>
                    </w:rPr>
                  </w:pPr>
                  <w:r>
                    <w:rPr>
                      <w:color w:val="auto"/>
                      <w:sz w:val="21"/>
                      <w:szCs w:val="21"/>
                    </w:rPr>
                    <w:t>自然保护区内已设置的矿产权要按照有关规定逐步退出。</w:t>
                  </w:r>
                </w:p>
              </w:tc>
              <w:tc>
                <w:tcPr>
                  <w:tcW w:w="666" w:type="pct"/>
                  <w:vMerge w:val="continue"/>
                  <w:vAlign w:val="center"/>
                </w:tcPr>
                <w:p w14:paraId="75C3BACE">
                  <w:pPr>
                    <w:autoSpaceDE w:val="0"/>
                    <w:autoSpaceDN w:val="0"/>
                    <w:ind w:firstLine="480"/>
                    <w:jc w:val="left"/>
                    <w:rPr>
                      <w:color w:val="auto"/>
                    </w:rPr>
                  </w:pPr>
                </w:p>
              </w:tc>
              <w:tc>
                <w:tcPr>
                  <w:tcW w:w="490" w:type="pct"/>
                  <w:vMerge w:val="continue"/>
                  <w:vAlign w:val="center"/>
                </w:tcPr>
                <w:p w14:paraId="72067953">
                  <w:pPr>
                    <w:autoSpaceDE w:val="0"/>
                    <w:autoSpaceDN w:val="0"/>
                    <w:ind w:firstLine="480"/>
                    <w:jc w:val="left"/>
                    <w:rPr>
                      <w:color w:val="auto"/>
                    </w:rPr>
                  </w:pPr>
                </w:p>
              </w:tc>
            </w:tr>
          </w:tbl>
          <w:p w14:paraId="5B87CBBE">
            <w:pPr>
              <w:autoSpaceDE w:val="0"/>
              <w:autoSpaceDN w:val="0"/>
              <w:ind w:firstLine="480"/>
              <w:jc w:val="left"/>
              <w:rPr>
                <w:color w:val="auto"/>
              </w:rPr>
            </w:pPr>
            <w:r>
              <w:rPr>
                <w:rFonts w:hint="eastAsia"/>
                <w:color w:val="auto"/>
              </w:rPr>
              <w:t>本项目不在淮北市生态环境准入负面清单内，符合淮北市规划要求。</w:t>
            </w:r>
          </w:p>
          <w:p w14:paraId="21ECD933">
            <w:pPr>
              <w:autoSpaceDE w:val="0"/>
              <w:autoSpaceDN w:val="0"/>
              <w:ind w:firstLine="480"/>
              <w:jc w:val="left"/>
              <w:rPr>
                <w:color w:val="auto"/>
              </w:rPr>
            </w:pPr>
            <w:r>
              <w:rPr>
                <w:color w:val="auto"/>
              </w:rPr>
              <w:t>②</w:t>
            </w:r>
            <w:r>
              <w:rPr>
                <w:rFonts w:hint="eastAsia"/>
                <w:color w:val="auto"/>
              </w:rPr>
              <w:t>与《市场准入负面清单》对照分析</w:t>
            </w:r>
          </w:p>
          <w:p w14:paraId="666DD120">
            <w:pPr>
              <w:autoSpaceDE w:val="0"/>
              <w:autoSpaceDN w:val="0"/>
              <w:ind w:firstLine="480"/>
              <w:jc w:val="left"/>
              <w:rPr>
                <w:color w:val="auto"/>
              </w:rPr>
            </w:pPr>
            <w:r>
              <w:rPr>
                <w:rFonts w:hint="eastAsia"/>
                <w:color w:val="auto"/>
              </w:rPr>
              <w:t>根据《市场准入负面清单》（2025年版），禁止准入类项目包括：“1、法律、法规、国务院决定等明确设立且与市场准入相关的禁止性规定”，“2、国家产业政策明令淘汰和限制的产品、技术、工艺、设备及行为”；“3、不符合主体功能区建设 要求的各类开发活动”；“4、禁止违规开展金融相关经营活动”；“5、禁止违规开展互联网相关经营活动”；“6、禁止违规开展新闻传媒相关业务”。本项目不在《市场准入负面清单》（2025年版）禁止准入类范围内。因此本项目符合《市场准入负面清单》（2025年版）相关要求。</w:t>
            </w:r>
          </w:p>
          <w:p w14:paraId="66CB714B">
            <w:pPr>
              <w:autoSpaceDE w:val="0"/>
              <w:autoSpaceDN w:val="0"/>
              <w:ind w:firstLine="480"/>
              <w:jc w:val="left"/>
              <w:rPr>
                <w:color w:val="auto"/>
              </w:rPr>
            </w:pPr>
            <w:r>
              <w:rPr>
                <w:rFonts w:hint="eastAsia"/>
                <w:color w:val="auto"/>
              </w:rPr>
              <w:t>综上所述，本项目建设能够满足生态环境分区管控要求。</w:t>
            </w:r>
          </w:p>
          <w:p w14:paraId="111B2BBF">
            <w:pPr>
              <w:numPr>
                <w:ilvl w:val="0"/>
                <w:numId w:val="0"/>
              </w:numPr>
              <w:autoSpaceDE w:val="0"/>
              <w:autoSpaceDN w:val="0"/>
              <w:ind w:firstLine="0" w:firstLineChars="0"/>
              <w:jc w:val="left"/>
              <w:rPr>
                <w:rFonts w:hint="eastAsia"/>
                <w:b/>
                <w:bCs/>
                <w:color w:val="auto"/>
              </w:rPr>
            </w:pPr>
            <w:r>
              <w:rPr>
                <w:rFonts w:hint="default" w:ascii="Times New Roman" w:hAnsi="Times New Roman" w:eastAsia="宋体" w:cs="Times New Roman"/>
                <w:b/>
                <w:bCs/>
                <w:color w:val="auto"/>
                <w:kern w:val="2"/>
                <w:sz w:val="24"/>
                <w:szCs w:val="24"/>
                <w:lang w:val="en-US" w:eastAsia="zh-CN" w:bidi="ar-SA"/>
              </w:rPr>
              <w:t>3、</w:t>
            </w:r>
            <w:r>
              <w:rPr>
                <w:rFonts w:hint="eastAsia"/>
                <w:b/>
                <w:bCs/>
                <w:color w:val="auto"/>
              </w:rPr>
              <w:t>与相关法规、政策及生态环境保护规划的符合性分析</w:t>
            </w:r>
          </w:p>
          <w:p w14:paraId="0709D15A">
            <w:pPr>
              <w:numPr>
                <w:ilvl w:val="0"/>
                <w:numId w:val="0"/>
              </w:numPr>
              <w:autoSpaceDE w:val="0"/>
              <w:autoSpaceDN w:val="0"/>
              <w:ind w:firstLine="480" w:firstLineChars="0"/>
              <w:jc w:val="left"/>
              <w:rPr>
                <w:rFonts w:hint="eastAsia"/>
                <w:color w:val="auto"/>
              </w:rPr>
            </w:pPr>
            <w:r>
              <w:rPr>
                <w:rFonts w:hint="eastAsia" w:ascii="Times New Roman" w:hAnsi="Times New Roman" w:eastAsia="宋体" w:cs="Times New Roman"/>
                <w:color w:val="auto"/>
                <w:kern w:val="2"/>
                <w:sz w:val="24"/>
                <w:szCs w:val="24"/>
                <w:lang w:val="en-US" w:eastAsia="zh-CN" w:bidi="ar-SA"/>
              </w:rPr>
              <w:t>（1）</w:t>
            </w:r>
            <w:r>
              <w:rPr>
                <w:rFonts w:hint="eastAsia"/>
                <w:color w:val="auto"/>
              </w:rPr>
              <w:t>与《2020年挥发性有机物治理攻坚方案》（环大气[2020]33号）相符性分析</w:t>
            </w:r>
          </w:p>
          <w:p w14:paraId="20435B6B">
            <w:pPr>
              <w:autoSpaceDE w:val="0"/>
              <w:autoSpaceDN w:val="0"/>
              <w:ind w:firstLine="0" w:firstLineChars="0"/>
              <w:jc w:val="center"/>
              <w:rPr>
                <w:rFonts w:hint="eastAsia"/>
                <w:color w:val="auto"/>
              </w:rPr>
            </w:pPr>
            <w:r>
              <w:rPr>
                <w:rFonts w:hint="eastAsia"/>
                <w:b/>
                <w:bCs/>
                <w:color w:val="auto"/>
              </w:rPr>
              <w:t>表</w:t>
            </w:r>
            <w:r>
              <w:rPr>
                <w:rFonts w:hint="eastAsia"/>
                <w:b/>
                <w:bCs/>
                <w:color w:val="auto"/>
                <w:lang w:val="en-US" w:eastAsia="zh-CN"/>
              </w:rPr>
              <w:t>1-2</w:t>
            </w:r>
            <w:r>
              <w:rPr>
                <w:rFonts w:hint="eastAsia"/>
                <w:b/>
                <w:bCs/>
                <w:color w:val="auto"/>
              </w:rPr>
              <w:t xml:space="preserve"> 本项目与《2020年挥发性有机物治理攻坚方案》符合性分析</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3785"/>
              <w:gridCol w:w="2468"/>
              <w:gridCol w:w="717"/>
            </w:tblGrid>
            <w:tr w14:paraId="284BD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381" w:type="pct"/>
                  <w:noWrap w:val="0"/>
                  <w:vAlign w:val="center"/>
                </w:tcPr>
                <w:p w14:paraId="4D3A9768">
                  <w:pPr>
                    <w:spacing w:line="240" w:lineRule="auto"/>
                    <w:ind w:firstLine="0" w:firstLineChars="0"/>
                    <w:jc w:val="center"/>
                    <w:rPr>
                      <w:b/>
                      <w:bCs/>
                      <w:color w:val="auto"/>
                      <w:sz w:val="21"/>
                      <w:szCs w:val="18"/>
                    </w:rPr>
                  </w:pPr>
                  <w:r>
                    <w:rPr>
                      <w:b/>
                      <w:bCs/>
                      <w:color w:val="auto"/>
                      <w:sz w:val="21"/>
                      <w:szCs w:val="18"/>
                      <w:lang w:bidi="ar"/>
                    </w:rPr>
                    <w:t>序号</w:t>
                  </w:r>
                </w:p>
              </w:tc>
              <w:tc>
                <w:tcPr>
                  <w:tcW w:w="2507" w:type="pct"/>
                  <w:noWrap w:val="0"/>
                  <w:vAlign w:val="center"/>
                </w:tcPr>
                <w:p w14:paraId="728A171B">
                  <w:pPr>
                    <w:spacing w:line="240" w:lineRule="auto"/>
                    <w:ind w:firstLine="0" w:firstLineChars="0"/>
                    <w:jc w:val="center"/>
                    <w:rPr>
                      <w:b/>
                      <w:bCs/>
                      <w:color w:val="auto"/>
                      <w:sz w:val="21"/>
                      <w:szCs w:val="18"/>
                    </w:rPr>
                  </w:pPr>
                  <w:r>
                    <w:rPr>
                      <w:b/>
                      <w:bCs/>
                      <w:color w:val="auto"/>
                      <w:sz w:val="21"/>
                      <w:szCs w:val="18"/>
                      <w:lang w:bidi="ar"/>
                    </w:rPr>
                    <w:t>方案要求</w:t>
                  </w:r>
                </w:p>
              </w:tc>
              <w:tc>
                <w:tcPr>
                  <w:tcW w:w="1635" w:type="pct"/>
                  <w:noWrap w:val="0"/>
                  <w:vAlign w:val="center"/>
                </w:tcPr>
                <w:p w14:paraId="6F7467F8">
                  <w:pPr>
                    <w:spacing w:line="240" w:lineRule="auto"/>
                    <w:ind w:firstLine="0" w:firstLineChars="0"/>
                    <w:jc w:val="center"/>
                    <w:rPr>
                      <w:b/>
                      <w:bCs/>
                      <w:color w:val="auto"/>
                      <w:sz w:val="21"/>
                      <w:szCs w:val="18"/>
                    </w:rPr>
                  </w:pPr>
                  <w:r>
                    <w:rPr>
                      <w:b/>
                      <w:bCs/>
                      <w:color w:val="auto"/>
                      <w:sz w:val="21"/>
                      <w:szCs w:val="18"/>
                      <w:lang w:bidi="ar"/>
                    </w:rPr>
                    <w:t>本项目情况</w:t>
                  </w:r>
                </w:p>
              </w:tc>
              <w:tc>
                <w:tcPr>
                  <w:tcW w:w="475" w:type="pct"/>
                  <w:noWrap w:val="0"/>
                  <w:vAlign w:val="center"/>
                </w:tcPr>
                <w:p w14:paraId="0D495E9D">
                  <w:pPr>
                    <w:spacing w:line="240" w:lineRule="auto"/>
                    <w:ind w:firstLine="0" w:firstLineChars="0"/>
                    <w:jc w:val="center"/>
                    <w:rPr>
                      <w:rFonts w:hint="eastAsia"/>
                      <w:b/>
                      <w:bCs/>
                      <w:color w:val="auto"/>
                      <w:sz w:val="21"/>
                      <w:szCs w:val="18"/>
                    </w:rPr>
                  </w:pPr>
                  <w:r>
                    <w:rPr>
                      <w:rFonts w:hint="eastAsia"/>
                      <w:b/>
                      <w:bCs/>
                      <w:color w:val="auto"/>
                      <w:sz w:val="21"/>
                      <w:szCs w:val="18"/>
                      <w:lang w:bidi="ar"/>
                    </w:rPr>
                    <w:t>符合分析</w:t>
                  </w:r>
                </w:p>
              </w:tc>
            </w:tr>
            <w:tr w14:paraId="54CF3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4" w:hRule="atLeast"/>
                <w:jc w:val="center"/>
              </w:trPr>
              <w:tc>
                <w:tcPr>
                  <w:tcW w:w="381" w:type="pct"/>
                  <w:noWrap w:val="0"/>
                  <w:vAlign w:val="center"/>
                </w:tcPr>
                <w:p w14:paraId="29C3914A">
                  <w:pPr>
                    <w:spacing w:line="240" w:lineRule="auto"/>
                    <w:ind w:firstLine="0" w:firstLineChars="0"/>
                    <w:jc w:val="center"/>
                    <w:rPr>
                      <w:color w:val="auto"/>
                      <w:sz w:val="21"/>
                      <w:szCs w:val="18"/>
                      <w:shd w:val="clear" w:color="auto" w:fill="FFFFFF"/>
                      <w:lang w:bidi="ar"/>
                    </w:rPr>
                  </w:pPr>
                  <w:r>
                    <w:rPr>
                      <w:color w:val="auto"/>
                      <w:sz w:val="21"/>
                      <w:szCs w:val="18"/>
                      <w:shd w:val="clear" w:color="auto" w:fill="FFFFFF"/>
                      <w:lang w:bidi="ar"/>
                    </w:rPr>
                    <w:t>1</w:t>
                  </w:r>
                </w:p>
              </w:tc>
              <w:tc>
                <w:tcPr>
                  <w:tcW w:w="2507" w:type="pct"/>
                  <w:noWrap w:val="0"/>
                  <w:vAlign w:val="center"/>
                </w:tcPr>
                <w:p w14:paraId="3249870F">
                  <w:pPr>
                    <w:spacing w:line="240" w:lineRule="auto"/>
                    <w:ind w:firstLine="0" w:firstLineChars="0"/>
                    <w:jc w:val="center"/>
                    <w:rPr>
                      <w:color w:val="auto"/>
                      <w:sz w:val="21"/>
                      <w:szCs w:val="18"/>
                      <w:shd w:val="clear" w:color="auto" w:fill="FFFFFF"/>
                      <w:lang w:bidi="ar"/>
                    </w:rPr>
                  </w:pPr>
                  <w:r>
                    <w:rPr>
                      <w:color w:val="auto"/>
                      <w:sz w:val="21"/>
                      <w:szCs w:val="18"/>
                      <w:shd w:val="clear" w:color="auto" w:fill="FFFFFF"/>
                      <w:lang w:bidi="ar"/>
                    </w:rPr>
                    <w:t>除恶臭异味治理外，一般不采用低温等离子、光催化、光氧化等技术。行业排放标准中规定特别排放限值和控制要求的，应按相关规定执行；未制定行业标准的应执行大气污染物综合排放标准和挥发性有机物无组织排放控制标准；已制定更严格地方排放标准的，按地方标准执行</w:t>
                  </w:r>
                </w:p>
              </w:tc>
              <w:tc>
                <w:tcPr>
                  <w:tcW w:w="1635" w:type="pct"/>
                  <w:noWrap w:val="0"/>
                  <w:vAlign w:val="center"/>
                </w:tcPr>
                <w:p w14:paraId="0E58E002">
                  <w:pPr>
                    <w:spacing w:line="240" w:lineRule="auto"/>
                    <w:ind w:firstLine="0" w:firstLineChars="0"/>
                    <w:jc w:val="center"/>
                    <w:rPr>
                      <w:rFonts w:hint="eastAsia"/>
                      <w:color w:val="auto"/>
                      <w:sz w:val="21"/>
                      <w:szCs w:val="18"/>
                      <w:shd w:val="clear" w:color="auto" w:fill="FFFFFF"/>
                      <w:lang w:bidi="ar"/>
                    </w:rPr>
                  </w:pPr>
                  <w:r>
                    <w:rPr>
                      <w:color w:val="auto"/>
                      <w:sz w:val="21"/>
                      <w:szCs w:val="18"/>
                      <w:lang w:bidi="ar"/>
                    </w:rPr>
                    <w:t>本项目生产过程</w:t>
                  </w:r>
                  <w:r>
                    <w:rPr>
                      <w:color w:val="auto"/>
                      <w:sz w:val="21"/>
                      <w:szCs w:val="18"/>
                      <w:shd w:val="clear" w:color="auto" w:fill="FFFFFF"/>
                      <w:lang w:bidi="ar"/>
                    </w:rPr>
                    <w:t>有机废气</w:t>
                  </w:r>
                  <w:r>
                    <w:rPr>
                      <w:color w:val="auto"/>
                      <w:sz w:val="21"/>
                      <w:szCs w:val="18"/>
                      <w:lang w:bidi="ar"/>
                    </w:rPr>
                    <w:t>采用</w:t>
                  </w:r>
                  <w:r>
                    <w:rPr>
                      <w:rFonts w:hint="eastAsia"/>
                      <w:color w:val="auto"/>
                      <w:sz w:val="21"/>
                      <w:szCs w:val="18"/>
                      <w:lang w:bidi="ar"/>
                    </w:rPr>
                    <w:t>“</w:t>
                  </w:r>
                  <w:r>
                    <w:rPr>
                      <w:color w:val="auto"/>
                      <w:sz w:val="21"/>
                      <w:szCs w:val="18"/>
                      <w:lang w:bidi="ar"/>
                    </w:rPr>
                    <w:t>二级活性炭吸附</w:t>
                  </w:r>
                  <w:r>
                    <w:rPr>
                      <w:rFonts w:hint="eastAsia"/>
                      <w:color w:val="auto"/>
                      <w:sz w:val="21"/>
                      <w:szCs w:val="18"/>
                      <w:lang w:bidi="ar"/>
                    </w:rPr>
                    <w:t>”</w:t>
                  </w:r>
                  <w:r>
                    <w:rPr>
                      <w:color w:val="auto"/>
                      <w:sz w:val="21"/>
                      <w:szCs w:val="18"/>
                      <w:lang w:bidi="ar"/>
                    </w:rPr>
                    <w:t>装置处理，能够实现达标排放，本项目</w:t>
                  </w:r>
                  <w:r>
                    <w:rPr>
                      <w:rFonts w:hint="eastAsia"/>
                      <w:color w:val="auto"/>
                      <w:sz w:val="21"/>
                      <w:szCs w:val="18"/>
                      <w:lang w:bidi="ar"/>
                    </w:rPr>
                    <w:t>挥发性有机物</w:t>
                  </w:r>
                  <w:r>
                    <w:rPr>
                      <w:color w:val="auto"/>
                      <w:sz w:val="21"/>
                      <w:szCs w:val="18"/>
                      <w:lang w:bidi="ar"/>
                    </w:rPr>
                    <w:t>执行</w:t>
                  </w:r>
                  <w:r>
                    <w:rPr>
                      <w:rFonts w:hint="eastAsia"/>
                      <w:color w:val="auto"/>
                      <w:sz w:val="21"/>
                      <w:szCs w:val="18"/>
                      <w:lang w:val="en-US" w:eastAsia="zh-CN" w:bidi="ar"/>
                    </w:rPr>
                    <w:t>安徽省《固定源挥发性有机物综合排放标准 第6部分 其他行业》（DB34/4812.6-2024）、</w:t>
                  </w:r>
                  <w:r>
                    <w:rPr>
                      <w:rFonts w:hint="eastAsia"/>
                      <w:color w:val="auto"/>
                      <w:sz w:val="21"/>
                      <w:szCs w:val="18"/>
                      <w:lang w:eastAsia="zh-CN" w:bidi="ar"/>
                    </w:rPr>
                    <w:t>《恶臭污染物排放标准》（GB14554-93）、</w:t>
                  </w:r>
                  <w:r>
                    <w:rPr>
                      <w:rFonts w:hint="eastAsia"/>
                      <w:color w:val="auto"/>
                      <w:sz w:val="21"/>
                      <w:szCs w:val="18"/>
                      <w:lang w:val="en-US" w:eastAsia="zh-CN" w:bidi="ar"/>
                    </w:rPr>
                    <w:t>《大气污染物综合排放标准》（GB16297-1996）、《橡胶制品工业污染物排放标准》（GB27632-2011）</w:t>
                  </w:r>
                  <w:r>
                    <w:rPr>
                      <w:rFonts w:hint="eastAsia"/>
                      <w:color w:val="auto"/>
                      <w:sz w:val="21"/>
                      <w:szCs w:val="18"/>
                      <w:lang w:bidi="ar"/>
                    </w:rPr>
                    <w:t>要求</w:t>
                  </w:r>
                </w:p>
              </w:tc>
              <w:tc>
                <w:tcPr>
                  <w:tcW w:w="475" w:type="pct"/>
                  <w:noWrap w:val="0"/>
                  <w:vAlign w:val="center"/>
                </w:tcPr>
                <w:p w14:paraId="405A000C">
                  <w:pPr>
                    <w:spacing w:line="240" w:lineRule="auto"/>
                    <w:ind w:firstLine="0" w:firstLineChars="0"/>
                    <w:jc w:val="center"/>
                    <w:rPr>
                      <w:color w:val="auto"/>
                      <w:sz w:val="21"/>
                      <w:szCs w:val="18"/>
                      <w:shd w:val="clear" w:color="auto" w:fill="FFFFFF"/>
                      <w:lang w:bidi="ar"/>
                    </w:rPr>
                  </w:pPr>
                  <w:r>
                    <w:rPr>
                      <w:color w:val="auto"/>
                      <w:sz w:val="21"/>
                      <w:szCs w:val="18"/>
                      <w:shd w:val="clear" w:color="auto" w:fill="FFFFFF"/>
                      <w:lang w:bidi="ar"/>
                    </w:rPr>
                    <w:t>符合</w:t>
                  </w:r>
                </w:p>
                <w:p w14:paraId="27E1ACD3">
                  <w:pPr>
                    <w:spacing w:line="240" w:lineRule="auto"/>
                    <w:ind w:firstLine="0" w:firstLineChars="0"/>
                    <w:jc w:val="center"/>
                    <w:rPr>
                      <w:color w:val="auto"/>
                      <w:sz w:val="21"/>
                      <w:szCs w:val="18"/>
                      <w:shd w:val="clear" w:color="auto" w:fill="FFFFFF"/>
                      <w:lang w:bidi="ar"/>
                    </w:rPr>
                  </w:pPr>
                </w:p>
              </w:tc>
            </w:tr>
            <w:tr w14:paraId="21E2B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381" w:type="pct"/>
                  <w:noWrap w:val="0"/>
                  <w:vAlign w:val="center"/>
                </w:tcPr>
                <w:p w14:paraId="52AA58C8">
                  <w:pPr>
                    <w:spacing w:line="240" w:lineRule="auto"/>
                    <w:ind w:firstLine="0" w:firstLineChars="0"/>
                    <w:jc w:val="center"/>
                    <w:rPr>
                      <w:color w:val="auto"/>
                      <w:sz w:val="21"/>
                      <w:szCs w:val="18"/>
                      <w:shd w:val="clear" w:color="auto" w:fill="FFFFFF"/>
                      <w:lang w:bidi="ar"/>
                    </w:rPr>
                  </w:pPr>
                  <w:r>
                    <w:rPr>
                      <w:color w:val="auto"/>
                      <w:sz w:val="21"/>
                      <w:szCs w:val="18"/>
                      <w:shd w:val="clear" w:color="auto" w:fill="FFFFFF"/>
                      <w:lang w:bidi="ar"/>
                    </w:rPr>
                    <w:t>2</w:t>
                  </w:r>
                </w:p>
              </w:tc>
              <w:tc>
                <w:tcPr>
                  <w:tcW w:w="2507" w:type="pct"/>
                  <w:noWrap w:val="0"/>
                  <w:vAlign w:val="center"/>
                </w:tcPr>
                <w:p w14:paraId="717295B7">
                  <w:pPr>
                    <w:spacing w:line="240" w:lineRule="auto"/>
                    <w:ind w:firstLine="0" w:firstLineChars="0"/>
                    <w:jc w:val="center"/>
                    <w:rPr>
                      <w:color w:val="auto"/>
                      <w:sz w:val="21"/>
                      <w:szCs w:val="18"/>
                      <w:shd w:val="clear" w:color="auto" w:fill="FFFFFF"/>
                      <w:lang w:bidi="ar"/>
                    </w:rPr>
                  </w:pPr>
                  <w:r>
                    <w:rPr>
                      <w:color w:val="auto"/>
                      <w:sz w:val="21"/>
                      <w:szCs w:val="18"/>
                      <w:shd w:val="clear" w:color="auto" w:fill="FFFFFF"/>
                      <w:lang w:bidi="ar"/>
                    </w:rPr>
                    <w:t>对于采用局部集气罩的，应根据废气排放特点合理选择收集点位，距集气罩开口面最远处的VOCs无组织排放位置，控制风速不低于0.3米/秒</w:t>
                  </w:r>
                </w:p>
              </w:tc>
              <w:tc>
                <w:tcPr>
                  <w:tcW w:w="1635" w:type="pct"/>
                  <w:noWrap w:val="0"/>
                  <w:vAlign w:val="center"/>
                </w:tcPr>
                <w:p w14:paraId="6D34E559">
                  <w:pPr>
                    <w:spacing w:line="240" w:lineRule="auto"/>
                    <w:ind w:firstLine="0" w:firstLineChars="0"/>
                    <w:jc w:val="center"/>
                    <w:rPr>
                      <w:rFonts w:hint="eastAsia" w:eastAsia="宋体"/>
                      <w:color w:val="auto"/>
                      <w:sz w:val="21"/>
                      <w:szCs w:val="18"/>
                      <w:shd w:val="clear" w:color="auto" w:fill="FFFFFF"/>
                      <w:lang w:val="en-US" w:eastAsia="zh-CN" w:bidi="ar"/>
                    </w:rPr>
                  </w:pPr>
                  <w:r>
                    <w:rPr>
                      <w:color w:val="auto"/>
                      <w:sz w:val="21"/>
                      <w:szCs w:val="18"/>
                      <w:shd w:val="clear" w:color="auto" w:fill="FFFFFF"/>
                      <w:lang w:bidi="ar"/>
                    </w:rPr>
                    <w:t>本项目有机废气</w:t>
                  </w:r>
                  <w:r>
                    <w:rPr>
                      <w:rFonts w:hint="eastAsia"/>
                      <w:color w:val="auto"/>
                      <w:sz w:val="21"/>
                      <w:szCs w:val="18"/>
                      <w:shd w:val="clear" w:color="auto" w:fill="FFFFFF"/>
                      <w:lang w:bidi="ar"/>
                    </w:rPr>
                    <w:t>通过</w:t>
                  </w:r>
                  <w:r>
                    <w:rPr>
                      <w:rFonts w:hint="eastAsia"/>
                      <w:color w:val="auto"/>
                      <w:sz w:val="21"/>
                      <w:szCs w:val="18"/>
                      <w:shd w:val="clear" w:color="auto" w:fill="FFFFFF"/>
                      <w:lang w:val="en-US" w:eastAsia="zh-CN" w:bidi="ar"/>
                    </w:rPr>
                    <w:t>密闭刷胶间风管</w:t>
                  </w:r>
                  <w:r>
                    <w:rPr>
                      <w:rFonts w:hint="eastAsia"/>
                      <w:color w:val="auto"/>
                      <w:sz w:val="21"/>
                      <w:szCs w:val="18"/>
                      <w:shd w:val="clear" w:color="auto" w:fill="FFFFFF"/>
                      <w:lang w:eastAsia="zh-CN" w:bidi="ar"/>
                    </w:rPr>
                    <w:t>和</w:t>
                  </w:r>
                  <w:r>
                    <w:rPr>
                      <w:rFonts w:hint="eastAsia"/>
                      <w:color w:val="auto"/>
                      <w:sz w:val="21"/>
                      <w:szCs w:val="18"/>
                      <w:shd w:val="clear" w:color="auto" w:fill="FFFFFF"/>
                      <w:lang w:val="en-US" w:eastAsia="zh-CN" w:bidi="ar"/>
                    </w:rPr>
                    <w:t>设备上方</w:t>
                  </w:r>
                  <w:r>
                    <w:rPr>
                      <w:rFonts w:hint="eastAsia"/>
                      <w:color w:val="auto"/>
                      <w:sz w:val="21"/>
                      <w:szCs w:val="18"/>
                      <w:shd w:val="clear" w:color="auto" w:fill="FFFFFF"/>
                      <w:lang w:eastAsia="zh-CN" w:bidi="ar"/>
                    </w:rPr>
                    <w:t>集气罩</w:t>
                  </w:r>
                  <w:r>
                    <w:rPr>
                      <w:rFonts w:hint="eastAsia"/>
                      <w:color w:val="auto"/>
                      <w:sz w:val="21"/>
                      <w:szCs w:val="18"/>
                      <w:shd w:val="clear" w:color="auto" w:fill="FFFFFF"/>
                      <w:lang w:val="en-US" w:eastAsia="zh-CN" w:bidi="ar"/>
                    </w:rPr>
                    <w:t>+软帘</w:t>
                  </w:r>
                  <w:r>
                    <w:rPr>
                      <w:rFonts w:hint="eastAsia"/>
                      <w:color w:val="auto"/>
                      <w:sz w:val="21"/>
                      <w:szCs w:val="18"/>
                      <w:shd w:val="clear" w:color="auto" w:fill="FFFFFF"/>
                      <w:lang w:eastAsia="zh-CN" w:bidi="ar"/>
                    </w:rPr>
                    <w:t>收集，</w:t>
                  </w:r>
                  <w:r>
                    <w:rPr>
                      <w:color w:val="auto"/>
                      <w:sz w:val="21"/>
                      <w:szCs w:val="18"/>
                      <w:shd w:val="clear" w:color="auto" w:fill="FFFFFF"/>
                      <w:lang w:bidi="ar"/>
                    </w:rPr>
                    <w:t>距集气罩开口面最远处的VOCs无组织排放位置，控制风速</w:t>
                  </w:r>
                  <w:r>
                    <w:rPr>
                      <w:rFonts w:hint="eastAsia"/>
                      <w:color w:val="auto"/>
                      <w:sz w:val="21"/>
                      <w:szCs w:val="18"/>
                      <w:shd w:val="clear" w:color="auto" w:fill="FFFFFF"/>
                      <w:lang w:eastAsia="zh-CN" w:bidi="ar"/>
                    </w:rPr>
                    <w:t>为</w:t>
                  </w:r>
                  <w:r>
                    <w:rPr>
                      <w:rFonts w:hint="eastAsia"/>
                      <w:color w:val="auto"/>
                      <w:sz w:val="21"/>
                      <w:szCs w:val="18"/>
                      <w:shd w:val="clear" w:color="auto" w:fill="FFFFFF"/>
                      <w:lang w:val="en-US" w:eastAsia="zh-CN" w:bidi="ar"/>
                    </w:rPr>
                    <w:t>0.4</w:t>
                  </w:r>
                  <w:r>
                    <w:rPr>
                      <w:color w:val="auto"/>
                      <w:sz w:val="21"/>
                      <w:szCs w:val="18"/>
                      <w:shd w:val="clear" w:color="auto" w:fill="FFFFFF"/>
                      <w:lang w:bidi="ar"/>
                    </w:rPr>
                    <w:t>米/秒</w:t>
                  </w:r>
                </w:p>
              </w:tc>
              <w:tc>
                <w:tcPr>
                  <w:tcW w:w="475" w:type="pct"/>
                  <w:noWrap w:val="0"/>
                  <w:vAlign w:val="center"/>
                </w:tcPr>
                <w:p w14:paraId="19D326BF">
                  <w:pPr>
                    <w:spacing w:line="240" w:lineRule="auto"/>
                    <w:ind w:firstLine="0" w:firstLineChars="0"/>
                    <w:jc w:val="center"/>
                    <w:rPr>
                      <w:color w:val="auto"/>
                      <w:sz w:val="21"/>
                      <w:szCs w:val="18"/>
                      <w:shd w:val="clear" w:color="auto" w:fill="FFFFFF"/>
                      <w:lang w:bidi="ar"/>
                    </w:rPr>
                  </w:pPr>
                  <w:r>
                    <w:rPr>
                      <w:color w:val="auto"/>
                      <w:sz w:val="21"/>
                      <w:szCs w:val="18"/>
                      <w:shd w:val="clear" w:color="auto" w:fill="FFFFFF"/>
                      <w:lang w:bidi="ar"/>
                    </w:rPr>
                    <w:t>符合</w:t>
                  </w:r>
                </w:p>
                <w:p w14:paraId="7413C7EE">
                  <w:pPr>
                    <w:spacing w:line="240" w:lineRule="auto"/>
                    <w:ind w:firstLine="0" w:firstLineChars="0"/>
                    <w:jc w:val="center"/>
                    <w:rPr>
                      <w:color w:val="auto"/>
                      <w:sz w:val="21"/>
                      <w:szCs w:val="18"/>
                      <w:shd w:val="clear" w:color="auto" w:fill="FFFFFF"/>
                      <w:lang w:bidi="ar"/>
                    </w:rPr>
                  </w:pPr>
                </w:p>
              </w:tc>
            </w:tr>
            <w:tr w14:paraId="44B67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81" w:type="pct"/>
                  <w:noWrap w:val="0"/>
                  <w:vAlign w:val="center"/>
                </w:tcPr>
                <w:p w14:paraId="648A7503">
                  <w:pPr>
                    <w:spacing w:line="240" w:lineRule="auto"/>
                    <w:ind w:firstLine="0" w:firstLineChars="0"/>
                    <w:jc w:val="center"/>
                    <w:rPr>
                      <w:color w:val="auto"/>
                      <w:sz w:val="21"/>
                      <w:szCs w:val="18"/>
                      <w:shd w:val="clear" w:color="auto" w:fill="FFFFFF"/>
                      <w:lang w:bidi="ar"/>
                    </w:rPr>
                  </w:pPr>
                  <w:r>
                    <w:rPr>
                      <w:color w:val="auto"/>
                      <w:sz w:val="21"/>
                      <w:szCs w:val="18"/>
                      <w:shd w:val="clear" w:color="auto" w:fill="FFFFFF"/>
                      <w:lang w:bidi="ar"/>
                    </w:rPr>
                    <w:t>3</w:t>
                  </w:r>
                </w:p>
              </w:tc>
              <w:tc>
                <w:tcPr>
                  <w:tcW w:w="2507" w:type="pct"/>
                  <w:noWrap w:val="0"/>
                  <w:vAlign w:val="center"/>
                </w:tcPr>
                <w:p w14:paraId="4BA0F326">
                  <w:pPr>
                    <w:spacing w:line="240" w:lineRule="auto"/>
                    <w:ind w:firstLine="0" w:firstLineChars="0"/>
                    <w:jc w:val="center"/>
                    <w:rPr>
                      <w:color w:val="auto"/>
                      <w:sz w:val="21"/>
                      <w:szCs w:val="18"/>
                      <w:shd w:val="clear" w:color="auto" w:fill="FFFFFF"/>
                      <w:lang w:bidi="ar"/>
                    </w:rPr>
                  </w:pPr>
                  <w:r>
                    <w:rPr>
                      <w:color w:val="auto"/>
                      <w:sz w:val="21"/>
                      <w:szCs w:val="18"/>
                      <w:shd w:val="clear" w:color="auto" w:fill="FFFFFF"/>
                      <w:lang w:bidi="ar"/>
                    </w:rPr>
                    <w:t>企业新建治污设施或对现有治污设施实施改造，应依据排放废气特征、VOCs组分及浓度、生产工况等，合理选择治理技术，对治理难度大、单一治理工艺难以稳定达标的，要采用多种技术的组合工艺。采用活性炭吸附技术的，应选择碘值不低于800毫克/克的活性炭，并按设计要求足量添加、及时更换</w:t>
                  </w:r>
                </w:p>
              </w:tc>
              <w:tc>
                <w:tcPr>
                  <w:tcW w:w="1635" w:type="pct"/>
                  <w:noWrap w:val="0"/>
                  <w:vAlign w:val="center"/>
                </w:tcPr>
                <w:p w14:paraId="0B4F99A9">
                  <w:pPr>
                    <w:spacing w:line="240" w:lineRule="auto"/>
                    <w:ind w:firstLine="0" w:firstLineChars="0"/>
                    <w:jc w:val="center"/>
                    <w:rPr>
                      <w:color w:val="auto"/>
                      <w:sz w:val="21"/>
                      <w:szCs w:val="18"/>
                      <w:shd w:val="clear" w:color="auto" w:fill="FFFFFF"/>
                      <w:lang w:bidi="ar"/>
                    </w:rPr>
                  </w:pPr>
                  <w:r>
                    <w:rPr>
                      <w:color w:val="auto"/>
                      <w:sz w:val="21"/>
                      <w:szCs w:val="18"/>
                      <w:lang w:bidi="ar"/>
                    </w:rPr>
                    <w:t>本项目生产过程</w:t>
                  </w:r>
                  <w:r>
                    <w:rPr>
                      <w:color w:val="auto"/>
                      <w:sz w:val="21"/>
                      <w:szCs w:val="18"/>
                      <w:shd w:val="clear" w:color="auto" w:fill="FFFFFF"/>
                      <w:lang w:bidi="ar"/>
                    </w:rPr>
                    <w:t>有机废气</w:t>
                  </w:r>
                  <w:r>
                    <w:rPr>
                      <w:color w:val="auto"/>
                      <w:sz w:val="21"/>
                      <w:szCs w:val="18"/>
                      <w:lang w:bidi="ar"/>
                    </w:rPr>
                    <w:t>采用</w:t>
                  </w:r>
                  <w:r>
                    <w:rPr>
                      <w:rFonts w:hint="eastAsia"/>
                      <w:color w:val="auto"/>
                      <w:sz w:val="21"/>
                      <w:szCs w:val="18"/>
                      <w:lang w:bidi="ar"/>
                    </w:rPr>
                    <w:t>“</w:t>
                  </w:r>
                  <w:r>
                    <w:rPr>
                      <w:color w:val="auto"/>
                      <w:sz w:val="21"/>
                      <w:szCs w:val="18"/>
                      <w:lang w:bidi="ar"/>
                    </w:rPr>
                    <w:t>二级活性炭吸附</w:t>
                  </w:r>
                  <w:r>
                    <w:rPr>
                      <w:rFonts w:hint="eastAsia"/>
                      <w:color w:val="auto"/>
                      <w:sz w:val="21"/>
                      <w:szCs w:val="18"/>
                      <w:lang w:bidi="ar"/>
                    </w:rPr>
                    <w:t>”</w:t>
                  </w:r>
                  <w:r>
                    <w:rPr>
                      <w:color w:val="auto"/>
                      <w:sz w:val="21"/>
                      <w:szCs w:val="18"/>
                      <w:lang w:bidi="ar"/>
                    </w:rPr>
                    <w:t>装置处理，并提出使用</w:t>
                  </w:r>
                  <w:r>
                    <w:rPr>
                      <w:color w:val="auto"/>
                      <w:sz w:val="21"/>
                      <w:szCs w:val="18"/>
                      <w:shd w:val="clear" w:color="auto" w:fill="FFFFFF"/>
                      <w:lang w:bidi="ar"/>
                    </w:rPr>
                    <w:t>碘值不低于800毫克/克的活性炭的要求，并按设计要求足量添加、及时更换</w:t>
                  </w:r>
                </w:p>
              </w:tc>
              <w:tc>
                <w:tcPr>
                  <w:tcW w:w="475" w:type="pct"/>
                  <w:noWrap w:val="0"/>
                  <w:vAlign w:val="center"/>
                </w:tcPr>
                <w:p w14:paraId="30727926">
                  <w:pPr>
                    <w:spacing w:line="240" w:lineRule="auto"/>
                    <w:ind w:firstLine="0" w:firstLineChars="0"/>
                    <w:jc w:val="center"/>
                    <w:rPr>
                      <w:color w:val="auto"/>
                      <w:sz w:val="21"/>
                      <w:szCs w:val="18"/>
                      <w:shd w:val="clear" w:color="auto" w:fill="FFFFFF"/>
                      <w:lang w:bidi="ar"/>
                    </w:rPr>
                  </w:pPr>
                  <w:r>
                    <w:rPr>
                      <w:color w:val="auto"/>
                      <w:sz w:val="21"/>
                      <w:szCs w:val="18"/>
                      <w:shd w:val="clear" w:color="auto" w:fill="FFFFFF"/>
                      <w:lang w:bidi="ar"/>
                    </w:rPr>
                    <w:t>符合</w:t>
                  </w:r>
                </w:p>
                <w:p w14:paraId="6A0C0B6C">
                  <w:pPr>
                    <w:spacing w:line="240" w:lineRule="auto"/>
                    <w:ind w:firstLine="0" w:firstLineChars="0"/>
                    <w:jc w:val="center"/>
                    <w:rPr>
                      <w:color w:val="auto"/>
                      <w:sz w:val="21"/>
                      <w:szCs w:val="18"/>
                      <w:shd w:val="clear" w:color="auto" w:fill="FFFFFF"/>
                      <w:lang w:bidi="ar"/>
                    </w:rPr>
                  </w:pPr>
                </w:p>
              </w:tc>
            </w:tr>
          </w:tbl>
          <w:p w14:paraId="744249FA">
            <w:pPr>
              <w:numPr>
                <w:ilvl w:val="0"/>
                <w:numId w:val="0"/>
              </w:numPr>
              <w:autoSpaceDE w:val="0"/>
              <w:autoSpaceDN w:val="0"/>
              <w:ind w:firstLine="480" w:firstLineChars="0"/>
              <w:jc w:val="left"/>
              <w:rPr>
                <w:rFonts w:hint="eastAsia"/>
                <w:color w:val="auto"/>
              </w:rPr>
            </w:pPr>
            <w:r>
              <w:rPr>
                <w:rFonts w:hint="eastAsia" w:ascii="Times New Roman" w:hAnsi="Times New Roman" w:eastAsia="宋体" w:cs="Times New Roman"/>
                <w:color w:val="auto"/>
                <w:kern w:val="2"/>
                <w:sz w:val="24"/>
                <w:szCs w:val="24"/>
                <w:lang w:val="en-US" w:eastAsia="zh-CN" w:bidi="ar-SA"/>
              </w:rPr>
              <w:t>（2）</w:t>
            </w:r>
            <w:r>
              <w:rPr>
                <w:rFonts w:hint="eastAsia"/>
                <w:color w:val="auto"/>
              </w:rPr>
              <w:t>与《安徽省大气办关于深入开展挥发性有机物污染治理工作的通知》（皖大气办〔2021〕4号）相符性分析</w:t>
            </w:r>
          </w:p>
          <w:p w14:paraId="61622581">
            <w:pPr>
              <w:ind w:firstLine="0" w:firstLineChars="0"/>
              <w:jc w:val="center"/>
              <w:rPr>
                <w:rFonts w:hint="eastAsia"/>
                <w:color w:val="auto"/>
              </w:rPr>
            </w:pPr>
            <w:r>
              <w:rPr>
                <w:rFonts w:hint="eastAsia"/>
                <w:b/>
                <w:bCs/>
                <w:color w:val="auto"/>
              </w:rPr>
              <w:t>表</w:t>
            </w:r>
            <w:r>
              <w:rPr>
                <w:rFonts w:hint="eastAsia"/>
                <w:b/>
                <w:bCs/>
                <w:color w:val="auto"/>
                <w:lang w:val="en-US" w:eastAsia="zh-CN"/>
              </w:rPr>
              <w:t>1-3</w:t>
            </w:r>
            <w:r>
              <w:rPr>
                <w:rFonts w:hint="eastAsia"/>
                <w:b/>
                <w:bCs/>
                <w:color w:val="auto"/>
              </w:rPr>
              <w:t xml:space="preserve"> 本项目与皖大气办〔2021〕4号通知符合性分析</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3787"/>
              <w:gridCol w:w="2466"/>
              <w:gridCol w:w="717"/>
            </w:tblGrid>
            <w:tr w14:paraId="4F895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382" w:type="pct"/>
                  <w:noWrap w:val="0"/>
                  <w:vAlign w:val="center"/>
                </w:tcPr>
                <w:p w14:paraId="6D89980E">
                  <w:pPr>
                    <w:spacing w:line="240" w:lineRule="auto"/>
                    <w:ind w:firstLine="0" w:firstLineChars="0"/>
                    <w:jc w:val="center"/>
                    <w:rPr>
                      <w:b/>
                      <w:bCs/>
                      <w:color w:val="auto"/>
                      <w:sz w:val="21"/>
                      <w:szCs w:val="18"/>
                      <w:shd w:val="clear" w:color="auto" w:fill="FFFFFF"/>
                      <w:lang w:bidi="ar"/>
                    </w:rPr>
                  </w:pPr>
                  <w:r>
                    <w:rPr>
                      <w:b/>
                      <w:bCs/>
                      <w:color w:val="auto"/>
                      <w:sz w:val="21"/>
                      <w:szCs w:val="18"/>
                      <w:shd w:val="clear" w:color="auto" w:fill="FFFFFF"/>
                      <w:lang w:bidi="ar"/>
                    </w:rPr>
                    <w:t>序号</w:t>
                  </w:r>
                </w:p>
              </w:tc>
              <w:tc>
                <w:tcPr>
                  <w:tcW w:w="2508" w:type="pct"/>
                  <w:noWrap w:val="0"/>
                  <w:vAlign w:val="center"/>
                </w:tcPr>
                <w:p w14:paraId="53BEDE7D">
                  <w:pPr>
                    <w:spacing w:line="240" w:lineRule="auto"/>
                    <w:ind w:firstLine="0" w:firstLineChars="0"/>
                    <w:jc w:val="center"/>
                    <w:rPr>
                      <w:b/>
                      <w:bCs/>
                      <w:color w:val="auto"/>
                      <w:sz w:val="21"/>
                      <w:szCs w:val="18"/>
                      <w:shd w:val="clear" w:color="auto" w:fill="FFFFFF"/>
                      <w:lang w:bidi="ar"/>
                    </w:rPr>
                  </w:pPr>
                  <w:r>
                    <w:rPr>
                      <w:b/>
                      <w:bCs/>
                      <w:color w:val="auto"/>
                      <w:sz w:val="21"/>
                      <w:szCs w:val="18"/>
                      <w:shd w:val="clear" w:color="auto" w:fill="FFFFFF"/>
                      <w:lang w:bidi="ar"/>
                    </w:rPr>
                    <w:t>方案要求</w:t>
                  </w:r>
                </w:p>
              </w:tc>
              <w:tc>
                <w:tcPr>
                  <w:tcW w:w="1634" w:type="pct"/>
                  <w:noWrap w:val="0"/>
                  <w:vAlign w:val="center"/>
                </w:tcPr>
                <w:p w14:paraId="6A407669">
                  <w:pPr>
                    <w:spacing w:line="240" w:lineRule="auto"/>
                    <w:ind w:firstLine="0" w:firstLineChars="0"/>
                    <w:jc w:val="center"/>
                    <w:rPr>
                      <w:b/>
                      <w:bCs/>
                      <w:color w:val="auto"/>
                      <w:sz w:val="21"/>
                      <w:szCs w:val="18"/>
                      <w:shd w:val="clear" w:color="auto" w:fill="FFFFFF"/>
                      <w:lang w:bidi="ar"/>
                    </w:rPr>
                  </w:pPr>
                  <w:r>
                    <w:rPr>
                      <w:b/>
                      <w:bCs/>
                      <w:color w:val="auto"/>
                      <w:sz w:val="21"/>
                      <w:szCs w:val="18"/>
                      <w:shd w:val="clear" w:color="auto" w:fill="FFFFFF"/>
                      <w:lang w:bidi="ar"/>
                    </w:rPr>
                    <w:t>本项目情况</w:t>
                  </w:r>
                </w:p>
              </w:tc>
              <w:tc>
                <w:tcPr>
                  <w:tcW w:w="475" w:type="pct"/>
                  <w:noWrap w:val="0"/>
                  <w:vAlign w:val="center"/>
                </w:tcPr>
                <w:p w14:paraId="1C43D24D">
                  <w:pPr>
                    <w:spacing w:line="240" w:lineRule="auto"/>
                    <w:ind w:firstLine="0" w:firstLineChars="0"/>
                    <w:jc w:val="center"/>
                    <w:rPr>
                      <w:rFonts w:hint="eastAsia"/>
                      <w:b/>
                      <w:bCs/>
                      <w:color w:val="auto"/>
                      <w:sz w:val="21"/>
                      <w:szCs w:val="18"/>
                      <w:shd w:val="clear" w:color="auto" w:fill="FFFFFF"/>
                      <w:lang w:bidi="ar"/>
                    </w:rPr>
                  </w:pPr>
                  <w:r>
                    <w:rPr>
                      <w:rFonts w:hint="eastAsia"/>
                      <w:b/>
                      <w:bCs/>
                      <w:color w:val="auto"/>
                      <w:sz w:val="21"/>
                      <w:szCs w:val="18"/>
                      <w:shd w:val="clear" w:color="auto" w:fill="FFFFFF"/>
                      <w:lang w:bidi="ar"/>
                    </w:rPr>
                    <w:t>符合分析</w:t>
                  </w:r>
                </w:p>
              </w:tc>
            </w:tr>
            <w:tr w14:paraId="4B3A2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382" w:type="pct"/>
                  <w:noWrap w:val="0"/>
                  <w:vAlign w:val="center"/>
                </w:tcPr>
                <w:p w14:paraId="7136E26E">
                  <w:pPr>
                    <w:spacing w:line="240" w:lineRule="auto"/>
                    <w:ind w:firstLine="0" w:firstLineChars="0"/>
                    <w:jc w:val="center"/>
                    <w:rPr>
                      <w:rFonts w:hint="eastAsia"/>
                      <w:color w:val="auto"/>
                      <w:sz w:val="21"/>
                      <w:szCs w:val="18"/>
                      <w:shd w:val="clear" w:color="auto" w:fill="FFFFFF"/>
                      <w:lang w:bidi="ar"/>
                    </w:rPr>
                  </w:pPr>
                  <w:r>
                    <w:rPr>
                      <w:rFonts w:hint="eastAsia"/>
                      <w:color w:val="auto"/>
                      <w:sz w:val="21"/>
                      <w:szCs w:val="18"/>
                      <w:shd w:val="clear" w:color="auto" w:fill="FFFFFF"/>
                      <w:lang w:bidi="ar"/>
                    </w:rPr>
                    <w:t>1</w:t>
                  </w:r>
                </w:p>
              </w:tc>
              <w:tc>
                <w:tcPr>
                  <w:tcW w:w="2508" w:type="pct"/>
                  <w:noWrap w:val="0"/>
                  <w:vAlign w:val="center"/>
                </w:tcPr>
                <w:p w14:paraId="168E5E17">
                  <w:pPr>
                    <w:spacing w:line="240" w:lineRule="auto"/>
                    <w:ind w:firstLine="0" w:firstLineChars="0"/>
                    <w:jc w:val="center"/>
                    <w:rPr>
                      <w:color w:val="auto"/>
                      <w:sz w:val="21"/>
                      <w:szCs w:val="18"/>
                      <w:shd w:val="clear" w:color="auto" w:fill="FFFFFF"/>
                      <w:lang w:bidi="ar"/>
                    </w:rPr>
                  </w:pPr>
                  <w:r>
                    <w:rPr>
                      <w:rFonts w:hint="eastAsia"/>
                      <w:color w:val="auto"/>
                      <w:sz w:val="21"/>
                      <w:szCs w:val="18"/>
                      <w:shd w:val="clear" w:color="auto" w:fill="FFFFFF"/>
                      <w:lang w:bidi="ar"/>
                    </w:rPr>
                    <w:t>17、实施排污许可。建立健全以排污许可核发为中心的VOCs管控依据，在石油、化工、工业涂装、包装印刷、油品储运销五大领域全面推行排污许可制度，不断规范涉VOCs工业企业的排污许可登记管理，落实企业VOCs源头削减、过程控制和末端污染治理工作，推进企业自行监测、台账落实和定期报告的具体规定落地，严厉处罚无证和不按证排污行为。</w:t>
                  </w:r>
                </w:p>
              </w:tc>
              <w:tc>
                <w:tcPr>
                  <w:tcW w:w="1634" w:type="pct"/>
                  <w:noWrap w:val="0"/>
                  <w:vAlign w:val="center"/>
                </w:tcPr>
                <w:p w14:paraId="738EA16D">
                  <w:pPr>
                    <w:spacing w:line="240" w:lineRule="auto"/>
                    <w:ind w:firstLine="0" w:firstLineChars="0"/>
                    <w:jc w:val="center"/>
                    <w:rPr>
                      <w:color w:val="auto"/>
                      <w:sz w:val="21"/>
                      <w:szCs w:val="18"/>
                      <w:shd w:val="clear" w:color="auto" w:fill="FFFFFF"/>
                      <w:lang w:bidi="ar"/>
                    </w:rPr>
                  </w:pPr>
                  <w:r>
                    <w:rPr>
                      <w:rFonts w:hint="eastAsia"/>
                      <w:color w:val="auto"/>
                      <w:sz w:val="21"/>
                      <w:szCs w:val="18"/>
                      <w:shd w:val="clear" w:color="auto" w:fill="FFFFFF"/>
                      <w:lang w:bidi="ar"/>
                    </w:rPr>
                    <w:t>本项目落实企业自行监测、台账和定期报告的具体规定</w:t>
                  </w:r>
                </w:p>
              </w:tc>
              <w:tc>
                <w:tcPr>
                  <w:tcW w:w="475" w:type="pct"/>
                  <w:noWrap w:val="0"/>
                  <w:vAlign w:val="center"/>
                </w:tcPr>
                <w:p w14:paraId="5B35E414">
                  <w:pPr>
                    <w:spacing w:line="240" w:lineRule="auto"/>
                    <w:ind w:firstLine="0" w:firstLineChars="0"/>
                    <w:jc w:val="center"/>
                    <w:rPr>
                      <w:color w:val="auto"/>
                      <w:sz w:val="21"/>
                      <w:szCs w:val="18"/>
                      <w:shd w:val="clear" w:color="auto" w:fill="FFFFFF"/>
                      <w:lang w:bidi="ar"/>
                    </w:rPr>
                  </w:pPr>
                  <w:r>
                    <w:rPr>
                      <w:color w:val="auto"/>
                      <w:sz w:val="21"/>
                      <w:szCs w:val="18"/>
                      <w:shd w:val="clear" w:color="auto" w:fill="FFFFFF"/>
                      <w:lang w:bidi="ar"/>
                    </w:rPr>
                    <w:t>符合</w:t>
                  </w:r>
                </w:p>
                <w:p w14:paraId="10DE3B69">
                  <w:pPr>
                    <w:spacing w:line="240" w:lineRule="auto"/>
                    <w:ind w:firstLine="0" w:firstLineChars="0"/>
                    <w:jc w:val="center"/>
                    <w:rPr>
                      <w:color w:val="auto"/>
                      <w:sz w:val="21"/>
                      <w:szCs w:val="18"/>
                      <w:shd w:val="clear" w:color="auto" w:fill="FFFFFF"/>
                      <w:lang w:bidi="ar"/>
                    </w:rPr>
                  </w:pPr>
                </w:p>
              </w:tc>
            </w:tr>
          </w:tbl>
          <w:p w14:paraId="5467E26C">
            <w:pPr>
              <w:numPr>
                <w:ilvl w:val="0"/>
                <w:numId w:val="0"/>
              </w:numPr>
              <w:ind w:firstLine="480" w:firstLineChars="0"/>
              <w:rPr>
                <w:rFonts w:hint="eastAsia"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（3）</w:t>
            </w:r>
            <w:r>
              <w:rPr>
                <w:rFonts w:hint="eastAsia" w:ascii="Times New Roman" w:hAnsi="Times New Roman" w:eastAsia="宋体" w:cs="Times New Roman"/>
                <w:color w:val="auto"/>
                <w:kern w:val="2"/>
                <w:sz w:val="24"/>
                <w:szCs w:val="24"/>
                <w:lang w:val="en-US" w:eastAsia="zh-CN" w:bidi="ar-SA"/>
              </w:rPr>
              <w:t>与《安徽省低挥发性有机物含量原辅材料替代工作方案》（皖环发[2024]1号）的相符性分析</w:t>
            </w:r>
          </w:p>
          <w:p w14:paraId="113C2D8F">
            <w:pPr>
              <w:numPr>
                <w:ilvl w:val="0"/>
                <w:numId w:val="0"/>
              </w:numPr>
              <w:jc w:val="center"/>
              <w:rPr>
                <w:rFonts w:hint="eastAsia" w:ascii="Times New Roman" w:hAnsi="Times New Roman" w:eastAsia="宋体" w:cs="Times New Roman"/>
                <w:b/>
                <w:bCs/>
                <w:color w:val="auto"/>
                <w:kern w:val="2"/>
                <w:sz w:val="24"/>
                <w:szCs w:val="24"/>
                <w:lang w:val="en-US" w:eastAsia="zh-CN" w:bidi="ar-SA"/>
              </w:rPr>
            </w:pPr>
            <w:r>
              <w:rPr>
                <w:rFonts w:hint="eastAsia"/>
                <w:b/>
                <w:bCs/>
                <w:color w:val="auto"/>
                <w:lang w:val="en-US" w:eastAsia="zh-CN"/>
              </w:rPr>
              <w:t>表1-4</w:t>
            </w:r>
            <w:r>
              <w:rPr>
                <w:rFonts w:hint="eastAsia" w:ascii="Times New Roman" w:hAnsi="Times New Roman" w:eastAsia="宋体" w:cs="Times New Roman"/>
                <w:b/>
                <w:bCs/>
                <w:color w:val="auto"/>
                <w:kern w:val="2"/>
                <w:sz w:val="24"/>
                <w:szCs w:val="24"/>
                <w:lang w:val="en-US" w:eastAsia="zh-CN" w:bidi="ar-SA"/>
              </w:rPr>
              <w:t>本项目与皖环发[2024]1号文符合性分析</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295"/>
              <w:gridCol w:w="2779"/>
              <w:gridCol w:w="797"/>
            </w:tblGrid>
            <w:tr w14:paraId="4C882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0E2B0BD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序号</w:t>
                  </w:r>
                </w:p>
              </w:tc>
              <w:tc>
                <w:tcPr>
                  <w:tcW w:w="2183" w:type="pct"/>
                  <w:noWrap w:val="0"/>
                  <w:vAlign w:val="center"/>
                </w:tcPr>
                <w:p w14:paraId="0E49757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工作任务要求</w:t>
                  </w:r>
                </w:p>
              </w:tc>
              <w:tc>
                <w:tcPr>
                  <w:tcW w:w="1841" w:type="pct"/>
                  <w:noWrap w:val="0"/>
                  <w:vAlign w:val="center"/>
                </w:tcPr>
                <w:p w14:paraId="7894C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本项目情况</w:t>
                  </w:r>
                </w:p>
              </w:tc>
              <w:tc>
                <w:tcPr>
                  <w:tcW w:w="528" w:type="pct"/>
                  <w:noWrap w:val="0"/>
                  <w:vAlign w:val="center"/>
                </w:tcPr>
                <w:p w14:paraId="491CA84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符合分析</w:t>
                  </w:r>
                </w:p>
              </w:tc>
            </w:tr>
            <w:tr w14:paraId="670D9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7B0CA12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2183" w:type="pct"/>
                  <w:noWrap w:val="0"/>
                  <w:vAlign w:val="center"/>
                </w:tcPr>
                <w:p w14:paraId="6F24063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聚焦重点领域、重点行业、重点产业集群和重点企业，坚持“统筹兼顾、分类管理、梯次推进”的工作原则，围绕含VOCs原辅材料使用和含VOCs产品生产、销售、流通环节，积极推进使用低（无）VOCs含量原辅材料和环境友好型技术替代，全面落实含VOCs产品质量标准，源头推进VOCs排放量削减，持续改善全省环境空气质量，助力推动减污降碳协同增效</w:t>
                  </w:r>
                </w:p>
              </w:tc>
              <w:tc>
                <w:tcPr>
                  <w:tcW w:w="1841" w:type="pct"/>
                  <w:noWrap w:val="0"/>
                  <w:vAlign w:val="center"/>
                </w:tcPr>
                <w:p w14:paraId="792155F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根据建设单位提供的资料以及检测报告可知在即用状态下，本项目使用的胶黏剂VOCs含量为630g/L。能够满足《胶粘剂挥发性有机化合物限量》（GB33372-2020）规定溶剂型胶粘剂-汽车桥梁减震用热硫化胶粘剂VOCs含量700g/L的限值要求</w:t>
                  </w:r>
                </w:p>
              </w:tc>
              <w:tc>
                <w:tcPr>
                  <w:tcW w:w="528" w:type="pct"/>
                  <w:noWrap w:val="0"/>
                  <w:vAlign w:val="center"/>
                </w:tcPr>
                <w:p w14:paraId="31E6DE3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符合</w:t>
                  </w:r>
                </w:p>
              </w:tc>
            </w:tr>
            <w:tr w14:paraId="390CE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77FA997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2183" w:type="pct"/>
                  <w:noWrap w:val="0"/>
                  <w:vAlign w:val="center"/>
                </w:tcPr>
                <w:p w14:paraId="691E0EB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严格项目准入。根据《低挥发性有机化合物含量涂料产品技术要求》（GB/T38597-2020）要求，进一步完善VOCs排放管控地方标准建设，细化相关行业涂料种类及各项污染物指标限值，编制实施固定源挥发性有机物综合排放标准和制鞋、汽修、木材等行业大气污染物排放标准。禁止建设生产和使用高VOCs含量的溶剂型涂料、油墨、胶黏剂等项目</w:t>
                  </w:r>
                </w:p>
              </w:tc>
              <w:tc>
                <w:tcPr>
                  <w:tcW w:w="1841" w:type="pct"/>
                  <w:noWrap w:val="0"/>
                  <w:vAlign w:val="center"/>
                </w:tcPr>
                <w:p w14:paraId="397D48A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根据建设单位提供的资料以及检测报告可知在即用状态下，本项目使用的胶黏剂VOCs含量为630g/L。能够满足《胶粘剂挥发性有机化合物限量》（GB33372-2020）规定溶剂型胶粘剂-汽车桥梁减震用热硫化胶粘剂VOCs含量700g/L的限值要求；本项目挥发性有机物排放执行安徽省《固定源挥发性有机物综合排放标准 第6部分 其他行业》（DB34/4812.6-2024）排放限值要求</w:t>
                  </w:r>
                </w:p>
              </w:tc>
              <w:tc>
                <w:tcPr>
                  <w:tcW w:w="528" w:type="pct"/>
                  <w:noWrap w:val="0"/>
                  <w:vAlign w:val="center"/>
                </w:tcPr>
                <w:p w14:paraId="3ACE148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符合</w:t>
                  </w:r>
                </w:p>
              </w:tc>
            </w:tr>
          </w:tbl>
          <w:p w14:paraId="3856CA2A">
            <w:pPr>
              <w:numPr>
                <w:ilvl w:val="0"/>
                <w:numId w:val="0"/>
              </w:numPr>
              <w:ind w:firstLine="480" w:firstLineChars="0"/>
              <w:rPr>
                <w:rFonts w:hint="eastAsia"/>
                <w:color w:val="auto"/>
              </w:rPr>
            </w:pP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4</w:t>
            </w:r>
            <w:r>
              <w:rPr>
                <w:rFonts w:hint="eastAsia" w:ascii="Times New Roman" w:hAnsi="Times New Roman" w:eastAsia="宋体" w:cs="Times New Roman"/>
                <w:color w:val="auto"/>
                <w:kern w:val="2"/>
                <w:sz w:val="24"/>
                <w:szCs w:val="24"/>
                <w:lang w:val="en-US" w:eastAsia="zh-CN" w:bidi="ar-SA"/>
              </w:rPr>
              <w:t>）</w:t>
            </w:r>
            <w:r>
              <w:rPr>
                <w:rFonts w:hint="eastAsia"/>
                <w:color w:val="auto"/>
              </w:rPr>
              <w:t>与《安徽省淮河流域水污染防治条例》相符性分析</w:t>
            </w:r>
          </w:p>
          <w:p w14:paraId="31D5244D">
            <w:pPr>
              <w:ind w:firstLine="0" w:firstLineChars="0"/>
              <w:jc w:val="center"/>
              <w:rPr>
                <w:rFonts w:hint="eastAsia"/>
                <w:color w:val="auto"/>
              </w:rPr>
            </w:pPr>
            <w:r>
              <w:rPr>
                <w:rFonts w:hint="eastAsia"/>
                <w:b/>
                <w:bCs/>
                <w:color w:val="auto"/>
              </w:rPr>
              <w:t>表</w:t>
            </w:r>
            <w:r>
              <w:rPr>
                <w:rFonts w:hint="eastAsia"/>
                <w:b/>
                <w:bCs/>
                <w:color w:val="auto"/>
                <w:lang w:val="en-US" w:eastAsia="zh-CN"/>
              </w:rPr>
              <w:t>6</w:t>
            </w:r>
            <w:r>
              <w:rPr>
                <w:rFonts w:hint="eastAsia"/>
                <w:b/>
                <w:bCs/>
                <w:color w:val="auto"/>
              </w:rPr>
              <w:t xml:space="preserve"> 本项目与《安徽省淮河流域水污染防治条例》的符合性分析</w:t>
            </w:r>
          </w:p>
          <w:tbl>
            <w:tblPr>
              <w:tblStyle w:val="23"/>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3223"/>
              <w:gridCol w:w="2534"/>
              <w:gridCol w:w="725"/>
            </w:tblGrid>
            <w:tr w14:paraId="71A41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02" w:type="pct"/>
                  <w:noWrap w:val="0"/>
                  <w:vAlign w:val="center"/>
                </w:tcPr>
                <w:p w14:paraId="7AD755A6">
                  <w:pPr>
                    <w:spacing w:line="240" w:lineRule="auto"/>
                    <w:ind w:firstLine="0" w:firstLineChars="0"/>
                    <w:jc w:val="center"/>
                    <w:rPr>
                      <w:rFonts w:hint="eastAsia"/>
                      <w:b/>
                      <w:bCs/>
                      <w:color w:val="auto"/>
                      <w:sz w:val="21"/>
                      <w:szCs w:val="18"/>
                      <w:shd w:val="clear" w:color="auto" w:fill="FFFFFF"/>
                      <w:lang w:bidi="ar"/>
                    </w:rPr>
                  </w:pPr>
                  <w:r>
                    <w:rPr>
                      <w:rFonts w:hint="eastAsia"/>
                      <w:b/>
                      <w:bCs/>
                      <w:color w:val="auto"/>
                      <w:sz w:val="21"/>
                      <w:szCs w:val="18"/>
                      <w:shd w:val="clear" w:color="auto" w:fill="FFFFFF"/>
                      <w:lang w:bidi="ar"/>
                    </w:rPr>
                    <w:t>项目</w:t>
                  </w:r>
                </w:p>
              </w:tc>
              <w:tc>
                <w:tcPr>
                  <w:tcW w:w="2136" w:type="pct"/>
                  <w:noWrap w:val="0"/>
                  <w:vAlign w:val="center"/>
                </w:tcPr>
                <w:p w14:paraId="1C3D1C51">
                  <w:pPr>
                    <w:spacing w:line="240" w:lineRule="auto"/>
                    <w:ind w:firstLine="0" w:firstLineChars="0"/>
                    <w:jc w:val="center"/>
                    <w:rPr>
                      <w:rFonts w:hint="eastAsia"/>
                      <w:b/>
                      <w:bCs/>
                      <w:color w:val="auto"/>
                      <w:sz w:val="21"/>
                      <w:szCs w:val="18"/>
                      <w:shd w:val="clear" w:color="auto" w:fill="FFFFFF"/>
                      <w:lang w:bidi="ar"/>
                    </w:rPr>
                  </w:pPr>
                  <w:r>
                    <w:rPr>
                      <w:rFonts w:hint="eastAsia"/>
                      <w:b/>
                      <w:bCs/>
                      <w:color w:val="auto"/>
                      <w:sz w:val="21"/>
                      <w:szCs w:val="18"/>
                      <w:shd w:val="clear" w:color="auto" w:fill="FFFFFF"/>
                      <w:lang w:bidi="ar"/>
                    </w:rPr>
                    <w:t>巢湖流域水污染防治条例</w:t>
                  </w:r>
                </w:p>
              </w:tc>
              <w:tc>
                <w:tcPr>
                  <w:tcW w:w="1680" w:type="pct"/>
                  <w:noWrap w:val="0"/>
                  <w:vAlign w:val="center"/>
                </w:tcPr>
                <w:p w14:paraId="79288D9A">
                  <w:pPr>
                    <w:spacing w:line="240" w:lineRule="auto"/>
                    <w:ind w:firstLine="0" w:firstLineChars="0"/>
                    <w:jc w:val="center"/>
                    <w:rPr>
                      <w:rFonts w:hint="eastAsia"/>
                      <w:b/>
                      <w:bCs/>
                      <w:color w:val="auto"/>
                      <w:sz w:val="21"/>
                      <w:szCs w:val="18"/>
                      <w:shd w:val="clear" w:color="auto" w:fill="FFFFFF"/>
                      <w:lang w:bidi="ar"/>
                    </w:rPr>
                  </w:pPr>
                  <w:r>
                    <w:rPr>
                      <w:rFonts w:hint="eastAsia"/>
                      <w:b/>
                      <w:bCs/>
                      <w:color w:val="auto"/>
                      <w:sz w:val="21"/>
                      <w:szCs w:val="18"/>
                      <w:shd w:val="clear" w:color="auto" w:fill="FFFFFF"/>
                      <w:lang w:bidi="ar"/>
                    </w:rPr>
                    <w:t>本项目情况</w:t>
                  </w:r>
                </w:p>
              </w:tc>
              <w:tc>
                <w:tcPr>
                  <w:tcW w:w="480" w:type="pct"/>
                  <w:noWrap w:val="0"/>
                  <w:vAlign w:val="center"/>
                </w:tcPr>
                <w:p w14:paraId="63DA1B58">
                  <w:pPr>
                    <w:spacing w:line="240" w:lineRule="auto"/>
                    <w:ind w:firstLine="0" w:firstLineChars="0"/>
                    <w:jc w:val="center"/>
                    <w:rPr>
                      <w:rFonts w:hint="eastAsia"/>
                      <w:b/>
                      <w:bCs/>
                      <w:color w:val="auto"/>
                      <w:sz w:val="21"/>
                      <w:szCs w:val="18"/>
                      <w:shd w:val="clear" w:color="auto" w:fill="FFFFFF"/>
                      <w:lang w:bidi="ar"/>
                    </w:rPr>
                  </w:pPr>
                  <w:r>
                    <w:rPr>
                      <w:rFonts w:hint="eastAsia"/>
                      <w:b/>
                      <w:bCs/>
                      <w:color w:val="auto"/>
                      <w:sz w:val="21"/>
                      <w:szCs w:val="18"/>
                      <w:shd w:val="clear" w:color="auto" w:fill="FFFFFF"/>
                      <w:lang w:bidi="ar"/>
                    </w:rPr>
                    <w:t>符合分析</w:t>
                  </w:r>
                </w:p>
              </w:tc>
            </w:tr>
            <w:tr w14:paraId="484C1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702" w:type="pct"/>
                  <w:shd w:val="clear" w:color="auto" w:fill="auto"/>
                  <w:noWrap w:val="0"/>
                  <w:vAlign w:val="center"/>
                </w:tcPr>
                <w:p w14:paraId="5951A807">
                  <w:pPr>
                    <w:widowControl/>
                    <w:adjustRightInd w:val="0"/>
                    <w:snapToGrid w:val="0"/>
                    <w:spacing w:line="240" w:lineRule="auto"/>
                    <w:ind w:firstLine="0" w:firstLineChars="0"/>
                    <w:jc w:val="center"/>
                    <w:rPr>
                      <w:rFonts w:hint="eastAsia" w:ascii="Times New Roman" w:hAnsi="Times New Roman" w:eastAsia="宋体" w:cs="Times New Roman"/>
                      <w:color w:val="auto"/>
                      <w:kern w:val="0"/>
                      <w:sz w:val="21"/>
                      <w:szCs w:val="18"/>
                      <w:lang w:val="en-US" w:eastAsia="zh-CN" w:bidi="ar-SA"/>
                    </w:rPr>
                  </w:pPr>
                  <w:r>
                    <w:rPr>
                      <w:rFonts w:hint="eastAsia"/>
                      <w:color w:val="auto"/>
                      <w:kern w:val="0"/>
                      <w:sz w:val="21"/>
                      <w:szCs w:val="18"/>
                    </w:rPr>
                    <w:t>1</w:t>
                  </w:r>
                </w:p>
              </w:tc>
              <w:tc>
                <w:tcPr>
                  <w:tcW w:w="2136" w:type="pct"/>
                  <w:shd w:val="clear" w:color="auto" w:fill="auto"/>
                  <w:noWrap w:val="0"/>
                  <w:vAlign w:val="center"/>
                </w:tcPr>
                <w:p w14:paraId="6BAB6697">
                  <w:pPr>
                    <w:widowControl/>
                    <w:adjustRightInd w:val="0"/>
                    <w:snapToGrid w:val="0"/>
                    <w:spacing w:line="240" w:lineRule="auto"/>
                    <w:ind w:firstLine="0" w:firstLineChars="0"/>
                    <w:jc w:val="center"/>
                    <w:rPr>
                      <w:rFonts w:hint="eastAsia" w:ascii="Times New Roman" w:hAnsi="Times New Roman" w:eastAsia="宋体" w:cs="Times New Roman"/>
                      <w:color w:val="auto"/>
                      <w:kern w:val="0"/>
                      <w:sz w:val="21"/>
                      <w:szCs w:val="18"/>
                      <w:lang w:val="en-US" w:eastAsia="zh-CN" w:bidi="ar-SA"/>
                    </w:rPr>
                  </w:pPr>
                  <w:r>
                    <w:rPr>
                      <w:rFonts w:hint="eastAsia"/>
                      <w:color w:val="auto"/>
                      <w:kern w:val="0"/>
                      <w:sz w:val="21"/>
                      <w:szCs w:val="18"/>
                    </w:rPr>
                    <w:t>禁止在淮河流域新建化学制浆造纸企业和印染、制革、化工、电镀、酿造等污染严重的小型企业。严格限制在淮河流域新建印染、制革、化工、电镀、酿造等大中型项目或者其他污染严重的项目；建设该类项目的，应当事前征得省人民政府生态环境行政主管部门的同意，并按照规定办理有关手续。</w:t>
                  </w:r>
                </w:p>
              </w:tc>
              <w:tc>
                <w:tcPr>
                  <w:tcW w:w="1680" w:type="pct"/>
                  <w:shd w:val="clear" w:color="auto" w:fill="auto"/>
                  <w:noWrap w:val="0"/>
                  <w:vAlign w:val="center"/>
                </w:tcPr>
                <w:p w14:paraId="20ED1F2A">
                  <w:pPr>
                    <w:widowControl/>
                    <w:adjustRightInd w:val="0"/>
                    <w:snapToGrid w:val="0"/>
                    <w:spacing w:line="240" w:lineRule="auto"/>
                    <w:ind w:firstLine="0" w:firstLineChars="0"/>
                    <w:jc w:val="center"/>
                    <w:rPr>
                      <w:rFonts w:hint="eastAsia" w:ascii="Times New Roman" w:hAnsi="Times New Roman" w:eastAsia="宋体" w:cs="Times New Roman"/>
                      <w:color w:val="auto"/>
                      <w:kern w:val="0"/>
                      <w:sz w:val="21"/>
                      <w:szCs w:val="18"/>
                      <w:lang w:val="en-US" w:eastAsia="zh-CN" w:bidi="ar-SA"/>
                    </w:rPr>
                  </w:pPr>
                  <w:r>
                    <w:rPr>
                      <w:rFonts w:hint="eastAsia"/>
                      <w:color w:val="auto"/>
                      <w:kern w:val="0"/>
                      <w:sz w:val="21"/>
                      <w:szCs w:val="18"/>
                    </w:rPr>
                    <w:t>本项目不属于化学制浆造纸企业和印染、制革、化工、电镀、酿造等禁止类和限制类企业。</w:t>
                  </w:r>
                </w:p>
              </w:tc>
              <w:tc>
                <w:tcPr>
                  <w:tcW w:w="480" w:type="pct"/>
                  <w:noWrap w:val="0"/>
                  <w:vAlign w:val="center"/>
                </w:tcPr>
                <w:p w14:paraId="0119B3DD">
                  <w:pPr>
                    <w:spacing w:line="240" w:lineRule="auto"/>
                    <w:ind w:firstLine="0" w:firstLineChars="0"/>
                    <w:jc w:val="center"/>
                    <w:rPr>
                      <w:rFonts w:hint="eastAsia"/>
                      <w:color w:val="auto"/>
                      <w:sz w:val="21"/>
                      <w:szCs w:val="18"/>
                      <w:shd w:val="clear" w:color="auto" w:fill="FFFFFF"/>
                      <w:lang w:bidi="ar"/>
                    </w:rPr>
                  </w:pPr>
                  <w:r>
                    <w:rPr>
                      <w:rFonts w:hint="eastAsia"/>
                      <w:color w:val="auto"/>
                      <w:sz w:val="21"/>
                      <w:szCs w:val="18"/>
                      <w:shd w:val="clear" w:color="auto" w:fill="FFFFFF"/>
                      <w:lang w:bidi="ar"/>
                    </w:rPr>
                    <w:t>符合</w:t>
                  </w:r>
                </w:p>
              </w:tc>
            </w:tr>
            <w:tr w14:paraId="0FECA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702" w:type="pct"/>
                  <w:shd w:val="clear" w:color="auto" w:fill="auto"/>
                  <w:noWrap w:val="0"/>
                  <w:vAlign w:val="center"/>
                </w:tcPr>
                <w:p w14:paraId="7D1DFCE4">
                  <w:pPr>
                    <w:widowControl/>
                    <w:adjustRightInd w:val="0"/>
                    <w:snapToGrid w:val="0"/>
                    <w:spacing w:line="240" w:lineRule="auto"/>
                    <w:ind w:firstLine="0" w:firstLineChars="0"/>
                    <w:jc w:val="center"/>
                    <w:rPr>
                      <w:rFonts w:hint="eastAsia" w:ascii="Times New Roman" w:hAnsi="Times New Roman" w:eastAsia="宋体" w:cs="Times New Roman"/>
                      <w:color w:val="auto"/>
                      <w:kern w:val="0"/>
                      <w:sz w:val="21"/>
                      <w:szCs w:val="18"/>
                      <w:lang w:val="en-US" w:eastAsia="zh-CN" w:bidi="ar-SA"/>
                    </w:rPr>
                  </w:pPr>
                  <w:r>
                    <w:rPr>
                      <w:rFonts w:hint="eastAsia"/>
                      <w:color w:val="auto"/>
                      <w:kern w:val="0"/>
                      <w:sz w:val="21"/>
                      <w:szCs w:val="18"/>
                    </w:rPr>
                    <w:t>2</w:t>
                  </w:r>
                </w:p>
              </w:tc>
              <w:tc>
                <w:tcPr>
                  <w:tcW w:w="2136" w:type="pct"/>
                  <w:shd w:val="clear" w:color="auto" w:fill="auto"/>
                  <w:noWrap w:val="0"/>
                  <w:vAlign w:val="center"/>
                </w:tcPr>
                <w:p w14:paraId="1554922C">
                  <w:pPr>
                    <w:widowControl/>
                    <w:adjustRightInd w:val="0"/>
                    <w:snapToGrid w:val="0"/>
                    <w:spacing w:line="240" w:lineRule="auto"/>
                    <w:ind w:firstLine="0" w:firstLineChars="0"/>
                    <w:jc w:val="center"/>
                    <w:rPr>
                      <w:rFonts w:hint="eastAsia" w:ascii="Times New Roman" w:hAnsi="Times New Roman" w:eastAsia="宋体" w:cs="Times New Roman"/>
                      <w:color w:val="auto"/>
                      <w:kern w:val="0"/>
                      <w:sz w:val="21"/>
                      <w:szCs w:val="18"/>
                      <w:lang w:val="en-US" w:eastAsia="zh-CN" w:bidi="ar-SA"/>
                    </w:rPr>
                  </w:pPr>
                  <w:r>
                    <w:rPr>
                      <w:rFonts w:hint="eastAsia"/>
                      <w:color w:val="auto"/>
                      <w:kern w:val="0"/>
                      <w:sz w:val="21"/>
                      <w:szCs w:val="18"/>
                    </w:rPr>
                    <w:t>(一)新建项目的选址应符合城市总体规划，避开饮用水水源地和对环境有特殊要求的功能区；(二)采用资源利用率高、污染物排放量少的先进设备和先进工艺。</w:t>
                  </w:r>
                </w:p>
              </w:tc>
              <w:tc>
                <w:tcPr>
                  <w:tcW w:w="1680" w:type="pct"/>
                  <w:shd w:val="clear" w:color="auto" w:fill="auto"/>
                  <w:noWrap w:val="0"/>
                  <w:vAlign w:val="center"/>
                </w:tcPr>
                <w:p w14:paraId="4053D9BA">
                  <w:pPr>
                    <w:widowControl/>
                    <w:adjustRightInd w:val="0"/>
                    <w:snapToGrid w:val="0"/>
                    <w:spacing w:line="240" w:lineRule="auto"/>
                    <w:ind w:firstLine="0" w:firstLineChars="0"/>
                    <w:jc w:val="center"/>
                    <w:rPr>
                      <w:rFonts w:hint="eastAsia" w:ascii="Times New Roman" w:hAnsi="Times New Roman" w:eastAsia="宋体" w:cs="Times New Roman"/>
                      <w:color w:val="auto"/>
                      <w:kern w:val="0"/>
                      <w:sz w:val="21"/>
                      <w:szCs w:val="18"/>
                      <w:lang w:val="en-US" w:eastAsia="zh-CN" w:bidi="ar-SA"/>
                    </w:rPr>
                  </w:pPr>
                  <w:r>
                    <w:rPr>
                      <w:rFonts w:hint="eastAsia"/>
                      <w:color w:val="auto"/>
                      <w:kern w:val="0"/>
                      <w:sz w:val="21"/>
                      <w:szCs w:val="18"/>
                    </w:rPr>
                    <w:t>本项目不涉及饮用水水源地和对环境有特殊要求的功能区，项目采用资源利用率高、污染物排放量少的先进设备和先进工艺，确保各类污染物稳定达标排放。</w:t>
                  </w:r>
                </w:p>
              </w:tc>
              <w:tc>
                <w:tcPr>
                  <w:tcW w:w="480" w:type="pct"/>
                  <w:noWrap w:val="0"/>
                  <w:vAlign w:val="center"/>
                </w:tcPr>
                <w:p w14:paraId="1541E642">
                  <w:pPr>
                    <w:spacing w:line="240" w:lineRule="auto"/>
                    <w:ind w:firstLine="0" w:firstLineChars="0"/>
                    <w:jc w:val="center"/>
                    <w:rPr>
                      <w:rFonts w:hint="eastAsia"/>
                      <w:color w:val="auto"/>
                      <w:sz w:val="21"/>
                      <w:szCs w:val="18"/>
                      <w:shd w:val="clear" w:color="auto" w:fill="FFFFFF"/>
                      <w:lang w:bidi="ar"/>
                    </w:rPr>
                  </w:pPr>
                </w:p>
              </w:tc>
            </w:tr>
            <w:tr w14:paraId="5EF0D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702" w:type="pct"/>
                  <w:shd w:val="clear" w:color="auto" w:fill="auto"/>
                  <w:noWrap w:val="0"/>
                  <w:vAlign w:val="center"/>
                </w:tcPr>
                <w:p w14:paraId="4BFA0248">
                  <w:pPr>
                    <w:widowControl/>
                    <w:adjustRightInd w:val="0"/>
                    <w:snapToGrid w:val="0"/>
                    <w:spacing w:line="240" w:lineRule="auto"/>
                    <w:ind w:firstLine="0" w:firstLineChars="0"/>
                    <w:jc w:val="center"/>
                    <w:rPr>
                      <w:rFonts w:hint="eastAsia" w:ascii="Times New Roman" w:hAnsi="Times New Roman" w:eastAsia="宋体" w:cs="Times New Roman"/>
                      <w:color w:val="auto"/>
                      <w:kern w:val="0"/>
                      <w:sz w:val="21"/>
                      <w:szCs w:val="18"/>
                      <w:lang w:val="en-US" w:eastAsia="zh-CN" w:bidi="ar-SA"/>
                    </w:rPr>
                  </w:pPr>
                  <w:r>
                    <w:rPr>
                      <w:rFonts w:hint="eastAsia"/>
                      <w:color w:val="auto"/>
                      <w:kern w:val="0"/>
                      <w:sz w:val="21"/>
                      <w:szCs w:val="18"/>
                    </w:rPr>
                    <w:t>3</w:t>
                  </w:r>
                </w:p>
              </w:tc>
              <w:tc>
                <w:tcPr>
                  <w:tcW w:w="2136" w:type="pct"/>
                  <w:shd w:val="clear" w:color="auto" w:fill="auto"/>
                  <w:noWrap w:val="0"/>
                  <w:vAlign w:val="center"/>
                </w:tcPr>
                <w:p w14:paraId="79CD24DE">
                  <w:pPr>
                    <w:widowControl/>
                    <w:adjustRightInd w:val="0"/>
                    <w:snapToGrid w:val="0"/>
                    <w:spacing w:line="240" w:lineRule="auto"/>
                    <w:ind w:firstLine="0" w:firstLineChars="0"/>
                    <w:jc w:val="center"/>
                    <w:rPr>
                      <w:rFonts w:hint="eastAsia" w:ascii="Times New Roman" w:hAnsi="Times New Roman" w:eastAsia="宋体" w:cs="Times New Roman"/>
                      <w:color w:val="auto"/>
                      <w:kern w:val="0"/>
                      <w:sz w:val="21"/>
                      <w:szCs w:val="18"/>
                      <w:lang w:val="en-US" w:eastAsia="zh-CN" w:bidi="ar-SA"/>
                    </w:rPr>
                  </w:pPr>
                  <w:r>
                    <w:rPr>
                      <w:rFonts w:hint="eastAsia"/>
                      <w:color w:val="auto"/>
                      <w:kern w:val="0"/>
                      <w:sz w:val="21"/>
                      <w:szCs w:val="18"/>
                    </w:rPr>
                    <w:t>直接或者间接向水体排放污染物的，应当按照规定取得排污许可证；城镇污水集中处理设施的运营单位，也应当取得排污许可证。</w:t>
                  </w:r>
                </w:p>
              </w:tc>
              <w:tc>
                <w:tcPr>
                  <w:tcW w:w="1680" w:type="pct"/>
                  <w:shd w:val="clear" w:color="auto" w:fill="auto"/>
                  <w:noWrap w:val="0"/>
                  <w:vAlign w:val="center"/>
                </w:tcPr>
                <w:p w14:paraId="5D2D9055">
                  <w:pPr>
                    <w:widowControl/>
                    <w:adjustRightInd w:val="0"/>
                    <w:snapToGrid w:val="0"/>
                    <w:spacing w:line="240" w:lineRule="auto"/>
                    <w:ind w:firstLine="0" w:firstLineChars="0"/>
                    <w:jc w:val="center"/>
                    <w:rPr>
                      <w:rFonts w:hint="eastAsia" w:ascii="Times New Roman" w:hAnsi="Times New Roman" w:eastAsia="宋体" w:cs="Times New Roman"/>
                      <w:color w:val="auto"/>
                      <w:kern w:val="0"/>
                      <w:sz w:val="21"/>
                      <w:szCs w:val="18"/>
                      <w:lang w:val="en-US" w:eastAsia="zh-CN" w:bidi="ar-SA"/>
                    </w:rPr>
                  </w:pPr>
                  <w:r>
                    <w:rPr>
                      <w:rFonts w:hint="eastAsia"/>
                      <w:color w:val="auto"/>
                      <w:kern w:val="0"/>
                      <w:sz w:val="21"/>
                      <w:szCs w:val="18"/>
                    </w:rPr>
                    <w:t>建设单位在项目建成投运前依法申领排污许可登记。</w:t>
                  </w:r>
                </w:p>
              </w:tc>
              <w:tc>
                <w:tcPr>
                  <w:tcW w:w="480" w:type="pct"/>
                  <w:noWrap w:val="0"/>
                  <w:vAlign w:val="center"/>
                </w:tcPr>
                <w:p w14:paraId="584BC41B">
                  <w:pPr>
                    <w:spacing w:line="240" w:lineRule="auto"/>
                    <w:ind w:firstLine="0" w:firstLineChars="0"/>
                    <w:jc w:val="center"/>
                    <w:rPr>
                      <w:rFonts w:hint="eastAsia"/>
                      <w:color w:val="auto"/>
                      <w:sz w:val="21"/>
                      <w:szCs w:val="18"/>
                      <w:shd w:val="clear" w:color="auto" w:fill="FFFFFF"/>
                      <w:lang w:bidi="ar"/>
                    </w:rPr>
                  </w:pPr>
                </w:p>
              </w:tc>
            </w:tr>
          </w:tbl>
          <w:p w14:paraId="2E3498B4">
            <w:pPr>
              <w:numPr>
                <w:ilvl w:val="0"/>
                <w:numId w:val="0"/>
              </w:numPr>
              <w:ind w:firstLine="480" w:firstLineChars="0"/>
              <w:rPr>
                <w:rFonts w:hint="eastAsia"/>
                <w:color w:val="auto"/>
              </w:rPr>
            </w:pP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5</w:t>
            </w:r>
            <w:r>
              <w:rPr>
                <w:rFonts w:hint="eastAsia" w:ascii="Times New Roman" w:hAnsi="Times New Roman" w:eastAsia="宋体" w:cs="Times New Roman"/>
                <w:color w:val="auto"/>
                <w:kern w:val="2"/>
                <w:sz w:val="24"/>
                <w:szCs w:val="24"/>
                <w:lang w:val="en-US" w:eastAsia="zh-CN" w:bidi="ar-SA"/>
              </w:rPr>
              <w:t>）与《淮北市生态环境保护“十四五”规划》（2022年1月，淮环〔2022〕1号）相符性分析</w:t>
            </w:r>
          </w:p>
          <w:p w14:paraId="2857C7AC">
            <w:pPr>
              <w:ind w:firstLine="0" w:firstLineChars="0"/>
              <w:jc w:val="center"/>
              <w:rPr>
                <w:rFonts w:hint="eastAsia"/>
                <w:b/>
                <w:bCs/>
                <w:color w:val="auto"/>
              </w:rPr>
            </w:pPr>
            <w:r>
              <w:rPr>
                <w:rFonts w:hint="eastAsia"/>
                <w:b/>
                <w:bCs/>
                <w:color w:val="auto"/>
              </w:rPr>
              <w:t>表</w:t>
            </w:r>
            <w:r>
              <w:rPr>
                <w:rFonts w:hint="eastAsia"/>
                <w:b/>
                <w:bCs/>
                <w:color w:val="auto"/>
                <w:lang w:val="en-US" w:eastAsia="zh-CN"/>
              </w:rPr>
              <w:t>7</w:t>
            </w:r>
            <w:r>
              <w:rPr>
                <w:rFonts w:hint="eastAsia"/>
                <w:b/>
                <w:bCs/>
                <w:color w:val="auto"/>
              </w:rPr>
              <w:t xml:space="preserve"> 本项目与</w:t>
            </w:r>
            <w:r>
              <w:rPr>
                <w:rFonts w:hint="eastAsia"/>
                <w:b/>
                <w:bCs/>
                <w:color w:val="auto"/>
                <w:lang w:val="en-US" w:eastAsia="zh-CN"/>
              </w:rPr>
              <w:t>《淮北市生态环境保护“十四五”规划》</w:t>
            </w:r>
            <w:r>
              <w:rPr>
                <w:rFonts w:hint="eastAsia"/>
                <w:b/>
                <w:bCs/>
                <w:color w:val="auto"/>
              </w:rPr>
              <w:t>符合性分析</w:t>
            </w:r>
          </w:p>
          <w:tbl>
            <w:tblPr>
              <w:tblStyle w:val="23"/>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1"/>
              <w:gridCol w:w="4344"/>
              <w:gridCol w:w="1704"/>
              <w:gridCol w:w="807"/>
            </w:tblGrid>
            <w:tr w14:paraId="6E830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457" w:type="pct"/>
                  <w:shd w:val="clear" w:color="auto" w:fill="auto"/>
                  <w:noWrap w:val="0"/>
                  <w:vAlign w:val="center"/>
                </w:tcPr>
                <w:p w14:paraId="0CECF9B2">
                  <w:pPr>
                    <w:bidi w:val="0"/>
                    <w:spacing w:line="240" w:lineRule="auto"/>
                    <w:jc w:val="center"/>
                    <w:rPr>
                      <w:rFonts w:hint="eastAsia"/>
                      <w:sz w:val="21"/>
                      <w:szCs w:val="21"/>
                      <w:lang w:val="en-US" w:eastAsia="zh-CN"/>
                    </w:rPr>
                  </w:pPr>
                  <w:r>
                    <w:rPr>
                      <w:rFonts w:hint="eastAsia"/>
                      <w:sz w:val="21"/>
                      <w:szCs w:val="21"/>
                    </w:rPr>
                    <w:t>序号</w:t>
                  </w:r>
                </w:p>
              </w:tc>
              <w:tc>
                <w:tcPr>
                  <w:tcW w:w="2878" w:type="pct"/>
                  <w:shd w:val="clear" w:color="auto" w:fill="auto"/>
                  <w:noWrap w:val="0"/>
                  <w:vAlign w:val="center"/>
                </w:tcPr>
                <w:p w14:paraId="0230AEE0">
                  <w:pPr>
                    <w:bidi w:val="0"/>
                    <w:spacing w:line="240" w:lineRule="auto"/>
                    <w:jc w:val="center"/>
                    <w:rPr>
                      <w:rFonts w:hint="eastAsia"/>
                      <w:sz w:val="21"/>
                      <w:szCs w:val="21"/>
                      <w:lang w:val="en-US" w:eastAsia="zh-CN"/>
                    </w:rPr>
                  </w:pPr>
                  <w:r>
                    <w:rPr>
                      <w:rFonts w:hint="eastAsia"/>
                      <w:sz w:val="21"/>
                      <w:szCs w:val="21"/>
                    </w:rPr>
                    <w:t>规划要求</w:t>
                  </w:r>
                </w:p>
              </w:tc>
              <w:tc>
                <w:tcPr>
                  <w:tcW w:w="1129" w:type="pct"/>
                  <w:shd w:val="clear" w:color="auto" w:fill="auto"/>
                  <w:noWrap w:val="0"/>
                  <w:vAlign w:val="center"/>
                </w:tcPr>
                <w:p w14:paraId="55AC039D">
                  <w:pPr>
                    <w:bidi w:val="0"/>
                    <w:spacing w:line="240" w:lineRule="auto"/>
                    <w:jc w:val="center"/>
                    <w:rPr>
                      <w:rFonts w:hint="eastAsia"/>
                      <w:sz w:val="21"/>
                      <w:szCs w:val="21"/>
                      <w:lang w:val="en-US" w:eastAsia="zh-CN"/>
                    </w:rPr>
                  </w:pPr>
                  <w:r>
                    <w:rPr>
                      <w:rFonts w:hint="eastAsia"/>
                      <w:sz w:val="21"/>
                      <w:szCs w:val="21"/>
                    </w:rPr>
                    <w:t>本项目情况</w:t>
                  </w:r>
                </w:p>
              </w:tc>
              <w:tc>
                <w:tcPr>
                  <w:tcW w:w="534" w:type="pct"/>
                  <w:shd w:val="clear" w:color="auto" w:fill="auto"/>
                  <w:noWrap w:val="0"/>
                  <w:vAlign w:val="center"/>
                </w:tcPr>
                <w:p w14:paraId="092566E3">
                  <w:pPr>
                    <w:bidi w:val="0"/>
                    <w:spacing w:line="240" w:lineRule="auto"/>
                    <w:jc w:val="center"/>
                    <w:rPr>
                      <w:rFonts w:hint="eastAsia"/>
                      <w:sz w:val="21"/>
                      <w:szCs w:val="21"/>
                      <w:lang w:val="en-US" w:eastAsia="zh-CN"/>
                    </w:rPr>
                  </w:pPr>
                  <w:r>
                    <w:rPr>
                      <w:rFonts w:hint="eastAsia"/>
                      <w:sz w:val="21"/>
                      <w:szCs w:val="21"/>
                    </w:rPr>
                    <w:t>是否符合</w:t>
                  </w:r>
                </w:p>
              </w:tc>
            </w:tr>
            <w:tr w14:paraId="539EF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0" w:hRule="atLeast"/>
                <w:jc w:val="center"/>
              </w:trPr>
              <w:tc>
                <w:tcPr>
                  <w:tcW w:w="457" w:type="pct"/>
                  <w:shd w:val="clear" w:color="auto" w:fill="auto"/>
                  <w:noWrap w:val="0"/>
                  <w:vAlign w:val="center"/>
                </w:tcPr>
                <w:p w14:paraId="5FBD364F">
                  <w:pPr>
                    <w:bidi w:val="0"/>
                    <w:spacing w:line="240" w:lineRule="auto"/>
                    <w:jc w:val="center"/>
                    <w:rPr>
                      <w:rFonts w:hint="eastAsia"/>
                      <w:sz w:val="21"/>
                      <w:szCs w:val="21"/>
                      <w:lang w:val="en-US" w:eastAsia="zh-CN"/>
                    </w:rPr>
                  </w:pPr>
                  <w:r>
                    <w:rPr>
                      <w:sz w:val="21"/>
                      <w:szCs w:val="21"/>
                    </w:rPr>
                    <w:t>1</w:t>
                  </w:r>
                </w:p>
              </w:tc>
              <w:tc>
                <w:tcPr>
                  <w:tcW w:w="2878" w:type="pct"/>
                  <w:shd w:val="clear" w:color="auto" w:fill="auto"/>
                  <w:noWrap w:val="0"/>
                  <w:vAlign w:val="center"/>
                </w:tcPr>
                <w:p w14:paraId="64FF7AE4">
                  <w:pPr>
                    <w:bidi w:val="0"/>
                    <w:spacing w:line="240" w:lineRule="auto"/>
                    <w:jc w:val="center"/>
                    <w:rPr>
                      <w:rFonts w:hint="eastAsia"/>
                      <w:sz w:val="21"/>
                      <w:szCs w:val="21"/>
                      <w:lang w:val="en-US" w:eastAsia="zh-CN"/>
                    </w:rPr>
                  </w:pPr>
                  <w:r>
                    <w:rPr>
                      <w:rFonts w:hint="eastAsia"/>
                      <w:sz w:val="21"/>
                      <w:szCs w:val="21"/>
                    </w:rPr>
                    <w:t>协同推进，持续改善环境空气质量。以降低</w:t>
                  </w:r>
                  <w:r>
                    <w:rPr>
                      <w:sz w:val="21"/>
                      <w:szCs w:val="21"/>
                    </w:rPr>
                    <w:t>PM2.5</w:t>
                  </w:r>
                  <w:r>
                    <w:rPr>
                      <w:rFonts w:hint="eastAsia"/>
                      <w:sz w:val="21"/>
                      <w:szCs w:val="21"/>
                    </w:rPr>
                    <w:t>污染为环境空气质量改善的核心目标，推动</w:t>
                  </w:r>
                  <w:r>
                    <w:rPr>
                      <w:sz w:val="21"/>
                      <w:szCs w:val="21"/>
                    </w:rPr>
                    <w:t>O3</w:t>
                  </w:r>
                  <w:r>
                    <w:rPr>
                      <w:rFonts w:hint="eastAsia"/>
                      <w:sz w:val="21"/>
                      <w:szCs w:val="21"/>
                    </w:rPr>
                    <w:t>污染的协同控制，以质量改善目标引领大气污染防治布局，采取多种手段推动环境空气质量持续改善。</w:t>
                  </w:r>
                </w:p>
              </w:tc>
              <w:tc>
                <w:tcPr>
                  <w:tcW w:w="1129" w:type="pct"/>
                  <w:shd w:val="clear" w:color="auto" w:fill="auto"/>
                  <w:noWrap w:val="0"/>
                  <w:vAlign w:val="center"/>
                </w:tcPr>
                <w:p w14:paraId="60431E6D">
                  <w:pPr>
                    <w:bidi w:val="0"/>
                    <w:spacing w:line="240" w:lineRule="auto"/>
                    <w:jc w:val="center"/>
                    <w:rPr>
                      <w:rFonts w:hint="eastAsia"/>
                      <w:sz w:val="21"/>
                      <w:szCs w:val="21"/>
                      <w:lang w:val="en-US" w:eastAsia="zh-CN"/>
                    </w:rPr>
                  </w:pPr>
                  <w:r>
                    <w:rPr>
                      <w:rFonts w:hint="eastAsia"/>
                      <w:sz w:val="21"/>
                      <w:szCs w:val="21"/>
                    </w:rPr>
                    <w:t>本项目颗粒物</w:t>
                  </w:r>
                  <w:r>
                    <w:rPr>
                      <w:rFonts w:hint="eastAsia"/>
                      <w:sz w:val="21"/>
                      <w:szCs w:val="21"/>
                      <w:lang w:eastAsia="zh-CN"/>
                    </w:rPr>
                    <w:t>、</w:t>
                  </w:r>
                  <w:r>
                    <w:rPr>
                      <w:rFonts w:hint="eastAsia"/>
                      <w:sz w:val="21"/>
                      <w:szCs w:val="21"/>
                      <w:lang w:val="en-US" w:eastAsia="zh-CN"/>
                    </w:rPr>
                    <w:t>挥发性有机物、硫化氢、臭气浓度</w:t>
                  </w:r>
                  <w:r>
                    <w:rPr>
                      <w:rFonts w:hint="eastAsia"/>
                      <w:sz w:val="21"/>
                      <w:szCs w:val="21"/>
                    </w:rPr>
                    <w:t>通过配套废气处理装置处理后能够实现达标排放，不会对区域大气环境产生明显影响</w:t>
                  </w:r>
                </w:p>
              </w:tc>
              <w:tc>
                <w:tcPr>
                  <w:tcW w:w="534" w:type="pct"/>
                  <w:shd w:val="clear" w:color="auto" w:fill="auto"/>
                  <w:noWrap w:val="0"/>
                  <w:vAlign w:val="center"/>
                </w:tcPr>
                <w:p w14:paraId="5F4FF6BB">
                  <w:pPr>
                    <w:bidi w:val="0"/>
                    <w:spacing w:line="240" w:lineRule="auto"/>
                    <w:jc w:val="center"/>
                    <w:rPr>
                      <w:rFonts w:hint="eastAsia"/>
                      <w:sz w:val="21"/>
                      <w:szCs w:val="21"/>
                      <w:lang w:val="en-US" w:eastAsia="zh-CN"/>
                    </w:rPr>
                  </w:pPr>
                  <w:r>
                    <w:rPr>
                      <w:rFonts w:hint="eastAsia"/>
                      <w:sz w:val="21"/>
                      <w:szCs w:val="21"/>
                    </w:rPr>
                    <w:t>相符</w:t>
                  </w:r>
                </w:p>
              </w:tc>
            </w:tr>
            <w:tr w14:paraId="5B4EB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457" w:type="pct"/>
                  <w:shd w:val="clear" w:color="auto" w:fill="auto"/>
                  <w:noWrap w:val="0"/>
                  <w:vAlign w:val="center"/>
                </w:tcPr>
                <w:p w14:paraId="2E2804D2">
                  <w:pPr>
                    <w:bidi w:val="0"/>
                    <w:spacing w:line="240" w:lineRule="auto"/>
                    <w:jc w:val="center"/>
                    <w:rPr>
                      <w:rFonts w:hint="eastAsia"/>
                      <w:sz w:val="21"/>
                      <w:szCs w:val="21"/>
                      <w:lang w:val="en-US" w:eastAsia="zh-CN"/>
                    </w:rPr>
                  </w:pPr>
                  <w:r>
                    <w:rPr>
                      <w:sz w:val="21"/>
                      <w:szCs w:val="21"/>
                    </w:rPr>
                    <w:t>2</w:t>
                  </w:r>
                </w:p>
              </w:tc>
              <w:tc>
                <w:tcPr>
                  <w:tcW w:w="2878" w:type="pct"/>
                  <w:shd w:val="clear" w:color="auto" w:fill="auto"/>
                  <w:noWrap w:val="0"/>
                  <w:vAlign w:val="center"/>
                </w:tcPr>
                <w:p w14:paraId="3DF856EC">
                  <w:pPr>
                    <w:bidi w:val="0"/>
                    <w:spacing w:line="240" w:lineRule="auto"/>
                    <w:jc w:val="center"/>
                    <w:rPr>
                      <w:sz w:val="21"/>
                      <w:szCs w:val="21"/>
                    </w:rPr>
                  </w:pPr>
                  <w:r>
                    <w:rPr>
                      <w:sz w:val="21"/>
                      <w:szCs w:val="21"/>
                    </w:rPr>
                    <w:t>加强环境风险源管理。加强环境风险源分类管控，重点加强危险化学品、危险废物、含重金属、放射源等环境风险源监控。加强突出类别危险废物的安全处置，开展危险废物产生和经营单位规</w:t>
                  </w:r>
                </w:p>
                <w:p w14:paraId="0EBCC215">
                  <w:pPr>
                    <w:bidi w:val="0"/>
                    <w:spacing w:line="240" w:lineRule="auto"/>
                    <w:jc w:val="center"/>
                    <w:rPr>
                      <w:rFonts w:hint="eastAsia"/>
                      <w:sz w:val="21"/>
                      <w:szCs w:val="21"/>
                      <w:lang w:val="en-US" w:eastAsia="zh-CN"/>
                    </w:rPr>
                  </w:pPr>
                  <w:r>
                    <w:rPr>
                      <w:sz w:val="21"/>
                      <w:szCs w:val="21"/>
                    </w:rPr>
                    <w:t>范化整治。强化涉重金属风险源管理。加大日常监管力度，防范有毒有害危险品企业违法排污，降低环境风险。</w:t>
                  </w:r>
                </w:p>
              </w:tc>
              <w:tc>
                <w:tcPr>
                  <w:tcW w:w="1129" w:type="pct"/>
                  <w:shd w:val="clear" w:color="auto" w:fill="auto"/>
                  <w:noWrap w:val="0"/>
                  <w:vAlign w:val="center"/>
                </w:tcPr>
                <w:p w14:paraId="48774411">
                  <w:pPr>
                    <w:bidi w:val="0"/>
                    <w:spacing w:line="240" w:lineRule="auto"/>
                    <w:jc w:val="center"/>
                    <w:rPr>
                      <w:rFonts w:hint="eastAsia"/>
                      <w:sz w:val="21"/>
                      <w:szCs w:val="21"/>
                      <w:lang w:val="en-US" w:eastAsia="zh-CN"/>
                    </w:rPr>
                  </w:pPr>
                  <w:r>
                    <w:rPr>
                      <w:sz w:val="21"/>
                      <w:szCs w:val="21"/>
                    </w:rPr>
                    <w:t>本项目设置符合要求的</w:t>
                  </w:r>
                  <w:r>
                    <w:rPr>
                      <w:rFonts w:hint="eastAsia"/>
                      <w:sz w:val="21"/>
                      <w:szCs w:val="21"/>
                    </w:rPr>
                    <w:t>危废间</w:t>
                  </w:r>
                  <w:r>
                    <w:rPr>
                      <w:sz w:val="21"/>
                      <w:szCs w:val="21"/>
                    </w:rPr>
                    <w:t>，加强建设单位与危废处置单位之间的管控，降低环境风险。</w:t>
                  </w:r>
                </w:p>
              </w:tc>
              <w:tc>
                <w:tcPr>
                  <w:tcW w:w="534" w:type="pct"/>
                  <w:shd w:val="clear" w:color="auto" w:fill="auto"/>
                  <w:noWrap w:val="0"/>
                  <w:vAlign w:val="center"/>
                </w:tcPr>
                <w:p w14:paraId="1CB8644F">
                  <w:pPr>
                    <w:bidi w:val="0"/>
                    <w:spacing w:line="240" w:lineRule="auto"/>
                    <w:jc w:val="center"/>
                    <w:rPr>
                      <w:rFonts w:hint="eastAsia"/>
                      <w:sz w:val="21"/>
                      <w:szCs w:val="21"/>
                      <w:lang w:val="en-US" w:eastAsia="zh-CN"/>
                    </w:rPr>
                  </w:pPr>
                  <w:r>
                    <w:rPr>
                      <w:sz w:val="21"/>
                      <w:szCs w:val="21"/>
                    </w:rPr>
                    <w:t>符合</w:t>
                  </w:r>
                </w:p>
              </w:tc>
            </w:tr>
            <w:tr w14:paraId="31A5B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0" w:type="auto"/>
                  <w:shd w:val="clear" w:color="auto" w:fill="auto"/>
                  <w:vAlign w:val="center"/>
                </w:tcPr>
                <w:p w14:paraId="6C7C5B9E">
                  <w:pPr>
                    <w:bidi w:val="0"/>
                    <w:spacing w:line="240" w:lineRule="auto"/>
                    <w:jc w:val="center"/>
                    <w:rPr>
                      <w:rFonts w:hint="eastAsia"/>
                      <w:sz w:val="21"/>
                      <w:szCs w:val="21"/>
                      <w:lang w:val="en-US" w:eastAsia="zh-CN"/>
                    </w:rPr>
                  </w:pPr>
                  <w:r>
                    <w:rPr>
                      <w:sz w:val="21"/>
                      <w:szCs w:val="21"/>
                    </w:rPr>
                    <w:t>3</w:t>
                  </w:r>
                </w:p>
              </w:tc>
              <w:tc>
                <w:tcPr>
                  <w:tcW w:w="0" w:type="auto"/>
                  <w:shd w:val="clear" w:color="auto" w:fill="auto"/>
                  <w:vAlign w:val="center"/>
                </w:tcPr>
                <w:p w14:paraId="56FF65AB">
                  <w:pPr>
                    <w:bidi w:val="0"/>
                    <w:spacing w:line="240" w:lineRule="auto"/>
                    <w:jc w:val="center"/>
                    <w:rPr>
                      <w:rFonts w:hint="eastAsia"/>
                      <w:sz w:val="21"/>
                      <w:szCs w:val="21"/>
                      <w:lang w:val="en-US" w:eastAsia="zh-CN"/>
                    </w:rPr>
                  </w:pPr>
                  <w:r>
                    <w:rPr>
                      <w:rFonts w:hint="eastAsia"/>
                      <w:sz w:val="21"/>
                      <w:szCs w:val="21"/>
                    </w:rPr>
                    <w:t>强化面源污染治理。加强施工扬尘综合治理，严格落实“六个百分之百”扬尘防控长效机制。</w:t>
                  </w:r>
                </w:p>
              </w:tc>
              <w:tc>
                <w:tcPr>
                  <w:tcW w:w="0" w:type="auto"/>
                  <w:shd w:val="clear" w:color="auto" w:fill="auto"/>
                  <w:vAlign w:val="center"/>
                </w:tcPr>
                <w:p w14:paraId="451CBFA8">
                  <w:pPr>
                    <w:bidi w:val="0"/>
                    <w:spacing w:line="240" w:lineRule="auto"/>
                    <w:jc w:val="center"/>
                    <w:rPr>
                      <w:rFonts w:hint="eastAsia"/>
                      <w:sz w:val="21"/>
                      <w:szCs w:val="21"/>
                      <w:lang w:val="en-US" w:eastAsia="zh-CN"/>
                    </w:rPr>
                  </w:pPr>
                  <w:r>
                    <w:rPr>
                      <w:rFonts w:hint="eastAsia"/>
                      <w:sz w:val="21"/>
                      <w:szCs w:val="21"/>
                    </w:rPr>
                    <w:t>本项目施工期严格落实“六个百分之百”扬尘</w:t>
                  </w:r>
                </w:p>
              </w:tc>
              <w:tc>
                <w:tcPr>
                  <w:tcW w:w="0" w:type="auto"/>
                  <w:shd w:val="clear" w:color="auto" w:fill="auto"/>
                  <w:vAlign w:val="center"/>
                </w:tcPr>
                <w:p w14:paraId="1E784C00">
                  <w:pPr>
                    <w:bidi w:val="0"/>
                    <w:spacing w:line="240" w:lineRule="auto"/>
                    <w:jc w:val="center"/>
                    <w:rPr>
                      <w:rFonts w:hint="eastAsia"/>
                      <w:sz w:val="21"/>
                      <w:szCs w:val="21"/>
                      <w:lang w:val="en-US" w:eastAsia="zh-CN"/>
                    </w:rPr>
                  </w:pPr>
                  <w:r>
                    <w:rPr>
                      <w:rFonts w:hint="eastAsia"/>
                      <w:sz w:val="21"/>
                      <w:szCs w:val="21"/>
                    </w:rPr>
                    <w:t>相符</w:t>
                  </w:r>
                </w:p>
              </w:tc>
            </w:tr>
            <w:tr w14:paraId="47C47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0" w:type="auto"/>
                  <w:shd w:val="clear" w:color="auto" w:fill="auto"/>
                  <w:vAlign w:val="center"/>
                </w:tcPr>
                <w:p w14:paraId="4FCC1EAD">
                  <w:pPr>
                    <w:bidi w:val="0"/>
                    <w:spacing w:line="240" w:lineRule="auto"/>
                    <w:jc w:val="center"/>
                    <w:rPr>
                      <w:rFonts w:hint="eastAsia"/>
                      <w:sz w:val="21"/>
                      <w:szCs w:val="21"/>
                      <w:lang w:val="en-US" w:eastAsia="zh-CN"/>
                    </w:rPr>
                  </w:pPr>
                  <w:r>
                    <w:rPr>
                      <w:rFonts w:hint="eastAsia"/>
                      <w:sz w:val="21"/>
                      <w:szCs w:val="21"/>
                    </w:rPr>
                    <w:t>4</w:t>
                  </w:r>
                </w:p>
              </w:tc>
              <w:tc>
                <w:tcPr>
                  <w:tcW w:w="0" w:type="auto"/>
                  <w:shd w:val="clear" w:color="auto" w:fill="auto"/>
                  <w:vAlign w:val="center"/>
                </w:tcPr>
                <w:p w14:paraId="0B394C27">
                  <w:pPr>
                    <w:bidi w:val="0"/>
                    <w:spacing w:line="240" w:lineRule="auto"/>
                    <w:jc w:val="center"/>
                    <w:rPr>
                      <w:rFonts w:hint="eastAsia"/>
                      <w:sz w:val="21"/>
                      <w:szCs w:val="21"/>
                      <w:lang w:val="en-US" w:eastAsia="zh-CN"/>
                    </w:rPr>
                  </w:pPr>
                  <w:r>
                    <w:rPr>
                      <w:sz w:val="21"/>
                      <w:szCs w:val="21"/>
                    </w:rPr>
                    <w:t>加强固定源污染综合治理。深入开展锅炉综合整治，全面淘汰35蒸吨/小时以下燃煤锅炉，持续开展燃气锅炉低氮改造和建成区生物质锅炉超低排放改造或淘汰。城市建成区原则上不再新建每小时65蒸吨以下的燃煤锅炉，65蒸吨/小时及以上燃煤锅炉完成超低排放改造，主要污染物排放达到超低排放标准要求，安装大气污染源自动监控设备，并与省、市生态环境部门联网。</w:t>
                  </w:r>
                </w:p>
              </w:tc>
              <w:tc>
                <w:tcPr>
                  <w:tcW w:w="0" w:type="auto"/>
                  <w:shd w:val="clear" w:color="auto" w:fill="auto"/>
                  <w:vAlign w:val="center"/>
                </w:tcPr>
                <w:p w14:paraId="37AED7F4">
                  <w:pPr>
                    <w:bidi w:val="0"/>
                    <w:spacing w:line="240" w:lineRule="auto"/>
                    <w:jc w:val="center"/>
                    <w:rPr>
                      <w:rFonts w:hint="eastAsia"/>
                      <w:sz w:val="21"/>
                      <w:szCs w:val="21"/>
                      <w:lang w:val="en-US" w:eastAsia="zh-CN"/>
                    </w:rPr>
                  </w:pPr>
                  <w:r>
                    <w:rPr>
                      <w:rFonts w:hint="eastAsia"/>
                      <w:sz w:val="21"/>
                      <w:szCs w:val="21"/>
                    </w:rPr>
                    <w:t>本项目不使用燃煤锅炉</w:t>
                  </w:r>
                </w:p>
              </w:tc>
              <w:tc>
                <w:tcPr>
                  <w:tcW w:w="0" w:type="auto"/>
                  <w:shd w:val="clear" w:color="auto" w:fill="auto"/>
                  <w:vAlign w:val="center"/>
                </w:tcPr>
                <w:p w14:paraId="5CEE828E">
                  <w:pPr>
                    <w:bidi w:val="0"/>
                    <w:spacing w:line="240" w:lineRule="auto"/>
                    <w:jc w:val="center"/>
                    <w:rPr>
                      <w:rFonts w:hint="eastAsia"/>
                      <w:sz w:val="21"/>
                      <w:szCs w:val="21"/>
                      <w:lang w:val="en-US" w:eastAsia="zh-CN"/>
                    </w:rPr>
                  </w:pPr>
                  <w:r>
                    <w:rPr>
                      <w:rFonts w:hint="eastAsia"/>
                      <w:sz w:val="21"/>
                      <w:szCs w:val="21"/>
                    </w:rPr>
                    <w:t>相符</w:t>
                  </w:r>
                </w:p>
              </w:tc>
            </w:tr>
          </w:tbl>
          <w:p w14:paraId="3C404AB4">
            <w:pPr>
              <w:ind w:firstLine="0" w:firstLineChars="0"/>
              <w:jc w:val="center"/>
              <w:rPr>
                <w:color w:val="auto"/>
              </w:rPr>
            </w:pPr>
          </w:p>
        </w:tc>
      </w:tr>
    </w:tbl>
    <w:p w14:paraId="3E72B559">
      <w:pPr>
        <w:ind w:firstLine="600"/>
        <w:outlineLvl w:val="0"/>
        <w:rPr>
          <w:rFonts w:eastAsia="黑体"/>
          <w:color w:val="auto"/>
          <w:sz w:val="30"/>
        </w:rPr>
        <w:sectPr>
          <w:footerReference r:id="rId7" w:type="default"/>
          <w:pgSz w:w="11905" w:h="16838"/>
          <w:pgMar w:top="1701" w:right="1531" w:bottom="1701" w:left="1531" w:header="851" w:footer="850" w:gutter="0"/>
          <w:pgNumType w:fmt="decimal" w:start="1"/>
          <w:cols w:space="720" w:num="1"/>
          <w:docGrid w:type="linesAndChars" w:linePitch="312" w:charSpace="0"/>
        </w:sectPr>
      </w:pPr>
    </w:p>
    <w:p w14:paraId="33EE6806">
      <w:pPr>
        <w:pStyle w:val="20"/>
        <w:ind w:firstLine="600"/>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二、建设项目工程分析</w:t>
      </w:r>
    </w:p>
    <w:tbl>
      <w:tblPr>
        <w:tblStyle w:val="23"/>
        <w:tblW w:w="900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1"/>
        <w:gridCol w:w="8412"/>
      </w:tblGrid>
      <w:tr w14:paraId="2BD32E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98" w:hRule="atLeast"/>
          <w:jc w:val="center"/>
        </w:trPr>
        <w:tc>
          <w:tcPr>
            <w:tcW w:w="591" w:type="dxa"/>
            <w:noWrap w:val="0"/>
            <w:vAlign w:val="center"/>
          </w:tcPr>
          <w:p w14:paraId="3DB9131B">
            <w:pPr>
              <w:pStyle w:val="20"/>
              <w:adjustRightInd w:val="0"/>
              <w:snapToGrid w:val="0"/>
              <w:spacing w:before="0" w:beforeAutospacing="0" w:after="0" w:afterAutospacing="0" w:line="240" w:lineRule="auto"/>
              <w:ind w:firstLine="0" w:firstLineChars="0"/>
              <w:jc w:val="center"/>
              <w:rPr>
                <w:rFonts w:cs="宋体"/>
                <w:color w:val="auto"/>
                <w:szCs w:val="24"/>
              </w:rPr>
            </w:pPr>
            <w:r>
              <w:rPr>
                <w:rFonts w:hint="eastAsia" w:cs="宋体"/>
                <w:color w:val="auto"/>
                <w:szCs w:val="24"/>
              </w:rPr>
              <w:t>建设内容</w:t>
            </w:r>
          </w:p>
        </w:tc>
        <w:tc>
          <w:tcPr>
            <w:tcW w:w="8412" w:type="dxa"/>
            <w:noWrap w:val="0"/>
            <w:vAlign w:val="top"/>
          </w:tcPr>
          <w:p w14:paraId="6926F41B">
            <w:pPr>
              <w:numPr>
                <w:ilvl w:val="0"/>
                <w:numId w:val="0"/>
              </w:numPr>
              <w:ind w:firstLine="482" w:firstLineChars="0"/>
              <w:rPr>
                <w:rFonts w:hint="eastAsia"/>
                <w:b/>
                <w:bCs/>
                <w:color w:val="auto"/>
              </w:rPr>
            </w:pPr>
            <w:r>
              <w:rPr>
                <w:rFonts w:hint="eastAsia" w:ascii="Times New Roman" w:hAnsi="Times New Roman" w:eastAsia="宋体" w:cs="Times New Roman"/>
                <w:b/>
                <w:bCs/>
                <w:color w:val="auto"/>
                <w:kern w:val="2"/>
                <w:sz w:val="24"/>
                <w:szCs w:val="24"/>
                <w:lang w:val="en-US" w:eastAsia="zh-CN" w:bidi="ar-SA"/>
              </w:rPr>
              <w:t>1、</w:t>
            </w:r>
            <w:r>
              <w:rPr>
                <w:rFonts w:hint="eastAsia"/>
                <w:b/>
                <w:bCs/>
                <w:color w:val="auto"/>
              </w:rPr>
              <w:t>项目</w:t>
            </w:r>
            <w:r>
              <w:rPr>
                <w:rFonts w:hint="eastAsia"/>
                <w:b/>
                <w:bCs/>
                <w:color w:val="auto"/>
                <w:lang w:eastAsia="zh-CN"/>
              </w:rPr>
              <w:t>由来</w:t>
            </w:r>
          </w:p>
          <w:p w14:paraId="6732800A">
            <w:pPr>
              <w:ind w:firstLine="480"/>
              <w:rPr>
                <w:color w:val="auto"/>
                <w:kern w:val="0"/>
                <w:highlight w:val="none"/>
              </w:rPr>
            </w:pPr>
            <w:r>
              <w:rPr>
                <w:rFonts w:hint="eastAsia"/>
                <w:color w:val="auto"/>
                <w:kern w:val="0"/>
              </w:rPr>
              <w:t>淮北路宝橡塑制品有限公司成立于2020年01月09日</w:t>
            </w:r>
            <w:r>
              <w:rPr>
                <w:rFonts w:hint="eastAsia"/>
                <w:color w:val="auto"/>
                <w:kern w:val="0"/>
                <w:lang w:eastAsia="zh-CN"/>
              </w:rPr>
              <w:t>，公司的经营范围道路桥梁支座技术研发、技术推广，道路桥梁支座、橡胶止水带、盆式支座、桥梁伸缩缝胶条、橡胶防水板、密封膏、膨胀腻子胶条加工、销售。</w:t>
            </w:r>
            <w:r>
              <w:rPr>
                <w:rFonts w:hint="eastAsia"/>
                <w:color w:val="auto"/>
                <w:kern w:val="0"/>
                <w:lang w:val="en-US" w:eastAsia="zh-CN"/>
              </w:rPr>
              <w:t>因公司发展需要，</w:t>
            </w:r>
            <w:r>
              <w:rPr>
                <w:rFonts w:hint="default" w:ascii="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zh-CN" w:bidi="zh-TW"/>
              </w:rPr>
              <w:t>淮北路宝橡塑制品有限公司</w:t>
            </w:r>
            <w:r>
              <w:rPr>
                <w:rFonts w:hint="default" w:ascii="Times New Roman" w:hAnsi="Times New Roman" w:eastAsia="宋体" w:cs="Times New Roman"/>
                <w:color w:val="000000"/>
                <w:spacing w:val="0"/>
                <w:w w:val="100"/>
                <w:position w:val="0"/>
                <w:sz w:val="24"/>
                <w:szCs w:val="24"/>
                <w:u w:val="none"/>
              </w:rPr>
              <w:t>拟投资</w:t>
            </w:r>
            <w:r>
              <w:rPr>
                <w:rFonts w:hint="eastAsia" w:ascii="Times New Roman" w:hAnsi="Times New Roman" w:cs="Times New Roman"/>
                <w:color w:val="000000"/>
                <w:spacing w:val="0"/>
                <w:w w:val="100"/>
                <w:position w:val="0"/>
                <w:sz w:val="24"/>
                <w:szCs w:val="24"/>
                <w:u w:val="none"/>
                <w:lang w:val="en-US" w:eastAsia="zh-CN"/>
              </w:rPr>
              <w:t>10</w:t>
            </w:r>
            <w:r>
              <w:rPr>
                <w:rFonts w:hint="default" w:ascii="Times New Roman" w:hAnsi="Times New Roman" w:cs="Times New Roman"/>
                <w:color w:val="000000"/>
                <w:spacing w:val="0"/>
                <w:w w:val="100"/>
                <w:position w:val="0"/>
                <w:sz w:val="24"/>
                <w:szCs w:val="24"/>
                <w:u w:val="none"/>
                <w:lang w:val="en-US" w:eastAsia="zh-CN"/>
              </w:rPr>
              <w:t>0</w:t>
            </w:r>
            <w:r>
              <w:rPr>
                <w:rFonts w:hint="default" w:ascii="Times New Roman" w:hAnsi="Times New Roman" w:eastAsia="宋体" w:cs="Times New Roman"/>
                <w:color w:val="000000"/>
                <w:spacing w:val="0"/>
                <w:w w:val="100"/>
                <w:position w:val="0"/>
                <w:sz w:val="24"/>
                <w:szCs w:val="24"/>
                <w:u w:val="none"/>
              </w:rPr>
              <w:t>00万元，</w:t>
            </w:r>
            <w:r>
              <w:rPr>
                <w:rFonts w:hint="default" w:ascii="Times New Roman" w:hAnsi="Times New Roman" w:eastAsia="宋体" w:cs="Times New Roman"/>
                <w:color w:val="000000"/>
                <w:spacing w:val="0"/>
                <w:w w:val="100"/>
                <w:position w:val="0"/>
                <w:sz w:val="24"/>
                <w:szCs w:val="24"/>
                <w:highlight w:val="none"/>
                <w:u w:val="none"/>
              </w:rPr>
              <w:t>建</w:t>
            </w:r>
            <w:r>
              <w:rPr>
                <w:rFonts w:hint="default" w:ascii="Times New Roman" w:hAnsi="Times New Roman" w:eastAsia="宋体" w:cs="Times New Roman"/>
                <w:color w:val="000000"/>
                <w:spacing w:val="0"/>
                <w:w w:val="100"/>
                <w:position w:val="0"/>
                <w:sz w:val="24"/>
                <w:szCs w:val="24"/>
                <w:u w:val="none"/>
              </w:rPr>
              <w:t>设</w:t>
            </w:r>
            <w:r>
              <w:rPr>
                <w:rFonts w:hint="eastAsia" w:ascii="Times New Roman" w:hAnsi="Times New Roman" w:cs="Times New Roman"/>
                <w:color w:val="000000"/>
                <w:spacing w:val="0"/>
                <w:w w:val="100"/>
                <w:position w:val="0"/>
                <w:sz w:val="24"/>
                <w:szCs w:val="24"/>
                <w:u w:val="none"/>
                <w:lang w:eastAsia="zh-CN"/>
              </w:rPr>
              <w:t>年产4万吨道路桥梁支座项目。</w:t>
            </w:r>
            <w:r>
              <w:rPr>
                <w:rFonts w:hint="default" w:ascii="Times New Roman" w:hAnsi="Times New Roman" w:cs="Times New Roman"/>
                <w:color w:val="000000"/>
                <w:spacing w:val="0"/>
                <w:w w:val="100"/>
                <w:position w:val="0"/>
                <w:sz w:val="24"/>
                <w:szCs w:val="24"/>
                <w:u w:val="none"/>
                <w:lang w:eastAsia="zh-CN"/>
              </w:rPr>
              <w:t>租赁</w:t>
            </w:r>
            <w:r>
              <w:rPr>
                <w:rFonts w:hint="default" w:ascii="Times New Roman" w:hAnsi="Times New Roman" w:cs="Times New Roman"/>
                <w:color w:val="000000"/>
                <w:spacing w:val="0"/>
                <w:w w:val="100"/>
                <w:position w:val="0"/>
                <w:sz w:val="24"/>
                <w:szCs w:val="24"/>
                <w:u w:val="none"/>
                <w:lang w:val="en-US" w:eastAsia="zh-CN"/>
              </w:rPr>
              <w:t>并改造</w:t>
            </w:r>
            <w:r>
              <w:rPr>
                <w:rFonts w:hint="default" w:ascii="Times New Roman" w:hAnsi="Times New Roman" w:cs="Times New Roman"/>
                <w:color w:val="000000"/>
                <w:spacing w:val="0"/>
                <w:w w:val="100"/>
                <w:position w:val="0"/>
                <w:sz w:val="24"/>
                <w:szCs w:val="24"/>
                <w:u w:val="none"/>
                <w:lang w:eastAsia="zh-CN"/>
              </w:rPr>
              <w:t>石台镇乡村振兴厂房2号部分厂房及3号</w:t>
            </w:r>
            <w:r>
              <w:rPr>
                <w:rFonts w:hint="eastAsia" w:ascii="Times New Roman" w:hAnsi="Times New Roman" w:cs="Times New Roman"/>
                <w:color w:val="000000"/>
                <w:spacing w:val="0"/>
                <w:w w:val="100"/>
                <w:position w:val="0"/>
                <w:sz w:val="24"/>
                <w:szCs w:val="24"/>
                <w:u w:val="none"/>
                <w:lang w:val="en-US" w:eastAsia="zh-CN"/>
              </w:rPr>
              <w:t>厂房总计面积</w:t>
            </w:r>
            <w:r>
              <w:rPr>
                <w:rFonts w:hint="default" w:ascii="Times New Roman" w:hAnsi="Times New Roman" w:eastAsia="宋体" w:cs="Times New Roman"/>
                <w:color w:val="000000"/>
                <w:spacing w:val="0"/>
                <w:w w:val="100"/>
                <w:position w:val="0"/>
                <w:sz w:val="24"/>
                <w:szCs w:val="24"/>
                <w:highlight w:val="none"/>
                <w:u w:val="none"/>
              </w:rPr>
              <w:t>约</w:t>
            </w:r>
            <w:r>
              <w:rPr>
                <w:rFonts w:hint="eastAsia" w:ascii="Times New Roman" w:hAnsi="Times New Roman" w:cs="Times New Roman"/>
                <w:color w:val="000000"/>
                <w:spacing w:val="0"/>
                <w:w w:val="100"/>
                <w:position w:val="0"/>
                <w:sz w:val="24"/>
                <w:szCs w:val="24"/>
                <w:highlight w:val="none"/>
                <w:u w:val="none"/>
                <w:lang w:val="en-US" w:eastAsia="zh-CN"/>
              </w:rPr>
              <w:t>9500</w:t>
            </w:r>
            <w:r>
              <w:rPr>
                <w:rFonts w:hint="default" w:ascii="Times New Roman" w:hAnsi="Times New Roman" w:eastAsia="宋体" w:cs="Times New Roman"/>
                <w:color w:val="000000"/>
                <w:spacing w:val="0"/>
                <w:w w:val="100"/>
                <w:position w:val="0"/>
                <w:sz w:val="24"/>
                <w:szCs w:val="24"/>
                <w:highlight w:val="none"/>
                <w:u w:val="none"/>
                <w:lang w:val="en-US" w:eastAsia="en-US" w:bidi="en-US"/>
              </w:rPr>
              <w:t>m</w:t>
            </w:r>
            <w:r>
              <w:rPr>
                <w:rFonts w:hint="default" w:ascii="Times New Roman" w:hAnsi="Times New Roman" w:eastAsia="宋体" w:cs="Times New Roman"/>
                <w:color w:val="000000"/>
                <w:spacing w:val="0"/>
                <w:w w:val="100"/>
                <w:position w:val="0"/>
                <w:sz w:val="24"/>
                <w:szCs w:val="24"/>
                <w:highlight w:val="none"/>
                <w:u w:val="none"/>
                <w:vertAlign w:val="superscript"/>
                <w:lang w:val="en-US" w:eastAsia="en-US" w:bidi="en-US"/>
              </w:rPr>
              <w:t>2</w:t>
            </w:r>
            <w:r>
              <w:rPr>
                <w:rFonts w:hint="eastAsia" w:ascii="Times New Roman" w:hAnsi="Times New Roman" w:cs="Times New Roman"/>
                <w:color w:val="000000"/>
                <w:spacing w:val="0"/>
                <w:w w:val="100"/>
                <w:position w:val="0"/>
                <w:sz w:val="24"/>
                <w:szCs w:val="24"/>
                <w:highlight w:val="none"/>
                <w:u w:val="none"/>
                <w:lang w:val="en-US" w:eastAsia="zh-CN" w:bidi="en-US"/>
              </w:rPr>
              <w:t>，</w:t>
            </w:r>
            <w:r>
              <w:rPr>
                <w:rFonts w:hint="eastAsia" w:ascii="Times New Roman" w:hAnsi="Times New Roman" w:eastAsia="宋体" w:cs="Times New Roman"/>
                <w:color w:val="000000"/>
                <w:spacing w:val="0"/>
                <w:w w:val="100"/>
                <w:position w:val="0"/>
                <w:sz w:val="24"/>
                <w:szCs w:val="24"/>
                <w:u w:val="none"/>
                <w:lang w:val="en-US" w:eastAsia="zh-CN"/>
              </w:rPr>
              <w:t>购</w:t>
            </w:r>
            <w:r>
              <w:rPr>
                <w:rFonts w:hint="default" w:ascii="Times New Roman" w:hAnsi="Times New Roman" w:eastAsia="宋体" w:cs="Times New Roman"/>
                <w:color w:val="000000"/>
                <w:spacing w:val="0"/>
                <w:w w:val="100"/>
                <w:position w:val="0"/>
                <w:sz w:val="24"/>
                <w:szCs w:val="24"/>
                <w:u w:val="none"/>
                <w:lang w:val="en-US" w:eastAsia="zh-CN"/>
              </w:rPr>
              <w:t>置喷砂机</w:t>
            </w:r>
            <w:r>
              <w:rPr>
                <w:rFonts w:hint="eastAsia" w:ascii="Times New Roman" w:hAnsi="Times New Roman" w:eastAsia="宋体" w:cs="Times New Roman"/>
                <w:color w:val="000000"/>
                <w:spacing w:val="0"/>
                <w:w w:val="100"/>
                <w:position w:val="0"/>
                <w:sz w:val="24"/>
                <w:szCs w:val="24"/>
                <w:u w:val="none"/>
                <w:lang w:val="en-US" w:eastAsia="zh-CN"/>
              </w:rPr>
              <w:t>、</w:t>
            </w:r>
            <w:r>
              <w:rPr>
                <w:rFonts w:hint="default" w:ascii="Times New Roman" w:hAnsi="Times New Roman" w:eastAsia="宋体" w:cs="Times New Roman"/>
                <w:color w:val="000000"/>
                <w:spacing w:val="0"/>
                <w:w w:val="100"/>
                <w:position w:val="0"/>
                <w:sz w:val="24"/>
                <w:szCs w:val="24"/>
                <w:u w:val="none"/>
                <w:lang w:val="en-US" w:eastAsia="zh-CN"/>
              </w:rPr>
              <w:t>硫化机、密炼机、开炼机等设备，并设置</w:t>
            </w:r>
            <w:r>
              <w:rPr>
                <w:rFonts w:hint="eastAsia" w:ascii="Times New Roman" w:hAnsi="Times New Roman" w:eastAsia="宋体" w:cs="Times New Roman"/>
                <w:color w:val="000000"/>
                <w:spacing w:val="0"/>
                <w:w w:val="100"/>
                <w:position w:val="0"/>
                <w:sz w:val="24"/>
                <w:szCs w:val="24"/>
                <w:u w:val="none"/>
                <w:lang w:val="en-US" w:eastAsia="zh-CN"/>
              </w:rPr>
              <w:t>原料、</w:t>
            </w:r>
            <w:r>
              <w:rPr>
                <w:rFonts w:hint="default" w:ascii="Times New Roman" w:hAnsi="Times New Roman" w:eastAsia="宋体" w:cs="Times New Roman"/>
                <w:color w:val="000000"/>
                <w:spacing w:val="0"/>
                <w:w w:val="100"/>
                <w:position w:val="0"/>
                <w:sz w:val="24"/>
                <w:szCs w:val="24"/>
                <w:u w:val="none"/>
                <w:lang w:val="en-US" w:eastAsia="zh-CN"/>
              </w:rPr>
              <w:t>成品储存区</w:t>
            </w:r>
            <w:r>
              <w:rPr>
                <w:rFonts w:hint="eastAsia" w:ascii="Times New Roman" w:hAnsi="Times New Roman" w:eastAsia="宋体" w:cs="Times New Roman"/>
                <w:color w:val="000000"/>
                <w:spacing w:val="0"/>
                <w:w w:val="100"/>
                <w:position w:val="0"/>
                <w:sz w:val="24"/>
                <w:szCs w:val="24"/>
                <w:u w:val="none"/>
                <w:lang w:val="en-US" w:eastAsia="zh-CN"/>
              </w:rPr>
              <w:t>等配套附属设施</w:t>
            </w:r>
            <w:r>
              <w:rPr>
                <w:rFonts w:hint="default" w:ascii="Times New Roman" w:hAnsi="Times New Roman" w:eastAsia="宋体" w:cs="Times New Roman"/>
                <w:color w:val="000000"/>
                <w:spacing w:val="0"/>
                <w:w w:val="100"/>
                <w:position w:val="0"/>
                <w:sz w:val="24"/>
                <w:szCs w:val="24"/>
                <w:u w:val="none"/>
                <w:lang w:val="en-US" w:eastAsia="zh-CN"/>
              </w:rPr>
              <w:t>，</w:t>
            </w:r>
            <w:r>
              <w:rPr>
                <w:rFonts w:hint="eastAsia" w:ascii="Times New Roman" w:hAnsi="Times New Roman" w:eastAsia="宋体" w:cs="Times New Roman"/>
                <w:color w:val="000000"/>
                <w:spacing w:val="0"/>
                <w:w w:val="100"/>
                <w:position w:val="0"/>
                <w:sz w:val="24"/>
                <w:szCs w:val="24"/>
                <w:u w:val="none"/>
                <w:lang w:val="en-US" w:eastAsia="zh-CN"/>
              </w:rPr>
              <w:t>建设完成后将形成年产</w:t>
            </w:r>
            <w:r>
              <w:rPr>
                <w:rFonts w:hint="eastAsia"/>
                <w:b w:val="0"/>
                <w:bCs w:val="0"/>
                <w:color w:val="auto"/>
                <w:kern w:val="0"/>
                <w:highlight w:val="none"/>
                <w:lang w:val="en-US" w:eastAsia="zh-CN"/>
              </w:rPr>
              <w:t>道</w:t>
            </w:r>
            <w:r>
              <w:rPr>
                <w:rFonts w:hint="eastAsia" w:ascii="Times New Roman" w:hAnsi="Times New Roman" w:eastAsia="宋体" w:cs="Times New Roman"/>
                <w:color w:val="000000"/>
                <w:spacing w:val="0"/>
                <w:w w:val="100"/>
                <w:position w:val="0"/>
                <w:sz w:val="24"/>
                <w:szCs w:val="24"/>
                <w:u w:val="none"/>
                <w:lang w:eastAsia="zh-CN"/>
              </w:rPr>
              <w:t>路桥梁支座</w:t>
            </w:r>
            <w:r>
              <w:rPr>
                <w:rFonts w:hint="eastAsia" w:ascii="Times New Roman" w:hAnsi="Times New Roman" w:eastAsia="宋体" w:cs="Times New Roman"/>
                <w:color w:val="000000"/>
                <w:spacing w:val="0"/>
                <w:w w:val="100"/>
                <w:position w:val="0"/>
                <w:sz w:val="24"/>
                <w:szCs w:val="24"/>
                <w:u w:val="none"/>
                <w:lang w:val="en-US" w:eastAsia="zh-CN"/>
              </w:rPr>
              <w:t>40000吨的生产能力</w:t>
            </w:r>
            <w:r>
              <w:rPr>
                <w:rFonts w:hint="default" w:ascii="Times New Roman" w:hAnsi="Times New Roman" w:eastAsia="宋体" w:cs="Times New Roman"/>
                <w:color w:val="000000"/>
                <w:spacing w:val="0"/>
                <w:w w:val="100"/>
                <w:position w:val="0"/>
                <w:sz w:val="24"/>
                <w:szCs w:val="24"/>
                <w:u w:val="none"/>
                <w:lang w:val="en-US" w:eastAsia="zh-CN"/>
              </w:rPr>
              <w:t>。</w:t>
            </w:r>
          </w:p>
          <w:p w14:paraId="3C6E0FE1">
            <w:pPr>
              <w:ind w:firstLine="482"/>
              <w:rPr>
                <w:rFonts w:hint="eastAsia"/>
                <w:color w:val="auto"/>
                <w:kern w:val="0"/>
              </w:rPr>
            </w:pPr>
            <w:r>
              <w:rPr>
                <w:rFonts w:hint="eastAsia"/>
                <w:b/>
                <w:bCs/>
                <w:color w:val="auto"/>
                <w:kern w:val="0"/>
                <w:highlight w:val="none"/>
              </w:rPr>
              <w:t>项目环评管理类别判定：</w:t>
            </w:r>
            <w:bookmarkStart w:id="3" w:name="OLE_LINK2"/>
            <w:r>
              <w:rPr>
                <w:rFonts w:hint="eastAsia"/>
                <w:b w:val="0"/>
                <w:bCs w:val="0"/>
                <w:color w:val="auto"/>
                <w:kern w:val="0"/>
                <w:highlight w:val="none"/>
                <w:lang w:val="en-US" w:eastAsia="zh-CN"/>
              </w:rPr>
              <w:t>本项目产品为道路桥梁支座，</w:t>
            </w:r>
            <w:r>
              <w:rPr>
                <w:rFonts w:hint="eastAsia"/>
                <w:color w:val="auto"/>
                <w:kern w:val="0"/>
                <w:lang w:eastAsia="zh-CN"/>
              </w:rPr>
              <w:t>根据项目</w:t>
            </w:r>
            <w:r>
              <w:rPr>
                <w:rFonts w:hint="eastAsia"/>
                <w:color w:val="auto"/>
                <w:kern w:val="0"/>
                <w:lang w:val="en-US" w:eastAsia="zh-CN"/>
              </w:rPr>
              <w:t>产品</w:t>
            </w:r>
            <w:r>
              <w:rPr>
                <w:rFonts w:hint="eastAsia"/>
                <w:color w:val="auto"/>
                <w:kern w:val="0"/>
                <w:lang w:eastAsia="zh-CN"/>
              </w:rPr>
              <w:t>实际功能</w:t>
            </w:r>
            <w:r>
              <w:rPr>
                <w:rFonts w:hint="eastAsia"/>
                <w:color w:val="auto"/>
                <w:kern w:val="0"/>
                <w:lang w:val="en-US" w:eastAsia="zh-CN"/>
              </w:rPr>
              <w:t>及特性</w:t>
            </w:r>
            <w:r>
              <w:rPr>
                <w:rFonts w:hint="eastAsia"/>
                <w:color w:val="auto"/>
                <w:kern w:val="0"/>
                <w:lang w:eastAsia="zh-CN"/>
              </w:rPr>
              <w:t>，</w:t>
            </w:r>
            <w:r>
              <w:rPr>
                <w:rFonts w:hint="eastAsia"/>
                <w:color w:val="auto"/>
                <w:kern w:val="0"/>
              </w:rPr>
              <w:t>属于《国民经济行业分类》（2017年版）的</w:t>
            </w:r>
            <w:r>
              <w:rPr>
                <w:rFonts w:hint="eastAsia"/>
                <w:color w:val="auto"/>
                <w:kern w:val="0"/>
                <w:lang w:eastAsia="zh-CN"/>
              </w:rPr>
              <w:t>“</w:t>
            </w:r>
            <w:r>
              <w:rPr>
                <w:rFonts w:hint="eastAsia"/>
                <w:color w:val="auto"/>
                <w:kern w:val="0"/>
                <w:lang w:val="en-US" w:eastAsia="zh-CN"/>
              </w:rPr>
              <w:t>C2919 其他橡胶制品制造</w:t>
            </w:r>
            <w:r>
              <w:rPr>
                <w:rFonts w:hint="eastAsia"/>
                <w:color w:val="auto"/>
                <w:lang w:val="en-US" w:eastAsia="zh-CN"/>
              </w:rPr>
              <w:t>”</w:t>
            </w:r>
            <w:r>
              <w:rPr>
                <w:rFonts w:hint="eastAsia"/>
                <w:color w:val="auto"/>
                <w:kern w:val="0"/>
              </w:rPr>
              <w:t>。</w:t>
            </w:r>
            <w:bookmarkEnd w:id="3"/>
            <w:r>
              <w:rPr>
                <w:rFonts w:hint="eastAsia"/>
                <w:color w:val="auto"/>
                <w:kern w:val="0"/>
              </w:rPr>
              <w:t>根据《建设项目环境影响评价分类管理名录（2021年版）》可知，项目属于</w:t>
            </w:r>
            <w:r>
              <w:rPr>
                <w:rFonts w:hint="eastAsia"/>
                <w:color w:val="auto"/>
                <w:kern w:val="0"/>
                <w:lang w:eastAsia="zh-CN"/>
              </w:rPr>
              <w:t>“</w:t>
            </w:r>
            <w:r>
              <w:rPr>
                <w:rFonts w:hint="eastAsia"/>
                <w:color w:val="auto"/>
              </w:rPr>
              <w:t>二十六、橡胶和塑料制品业29—</w:t>
            </w:r>
            <w:r>
              <w:rPr>
                <w:rFonts w:hint="eastAsia"/>
                <w:color w:val="auto"/>
                <w:lang w:val="en-US" w:eastAsia="zh-CN"/>
              </w:rPr>
              <w:t>52</w:t>
            </w:r>
            <w:r>
              <w:rPr>
                <w:rFonts w:hint="eastAsia"/>
                <w:color w:val="auto"/>
              </w:rPr>
              <w:t>、</w:t>
            </w:r>
            <w:r>
              <w:rPr>
                <w:rFonts w:hint="eastAsia"/>
                <w:color w:val="auto"/>
                <w:lang w:val="en-US" w:eastAsia="zh-CN"/>
              </w:rPr>
              <w:t>橡胶制品业 291</w:t>
            </w:r>
            <w:r>
              <w:rPr>
                <w:rFonts w:hint="eastAsia"/>
                <w:color w:val="auto"/>
              </w:rPr>
              <w:t>—其他</w:t>
            </w:r>
            <w:r>
              <w:rPr>
                <w:rFonts w:hint="eastAsia"/>
                <w:color w:val="auto"/>
                <w:kern w:val="0"/>
                <w:lang w:eastAsia="zh-CN"/>
              </w:rPr>
              <w:t>”</w:t>
            </w:r>
            <w:r>
              <w:rPr>
                <w:rFonts w:hint="eastAsia"/>
                <w:color w:val="auto"/>
                <w:kern w:val="0"/>
              </w:rPr>
              <w:t>，故项目需编制</w:t>
            </w:r>
            <w:r>
              <w:rPr>
                <w:rFonts w:hint="eastAsia"/>
                <w:color w:val="auto"/>
              </w:rPr>
              <w:t>环境</w:t>
            </w:r>
            <w:r>
              <w:rPr>
                <w:color w:val="auto"/>
              </w:rPr>
              <w:t>影响</w:t>
            </w:r>
            <w:r>
              <w:rPr>
                <w:rFonts w:hint="eastAsia"/>
                <w:color w:val="auto"/>
                <w:kern w:val="0"/>
              </w:rPr>
              <w:t>报告表。</w:t>
            </w:r>
          </w:p>
          <w:p w14:paraId="78C539FE">
            <w:pPr>
              <w:ind w:firstLine="482"/>
              <w:rPr>
                <w:rFonts w:hint="eastAsia"/>
                <w:color w:val="auto"/>
                <w:kern w:val="0"/>
                <w:sz w:val="24"/>
                <w:szCs w:val="24"/>
              </w:rPr>
            </w:pPr>
            <w:r>
              <w:rPr>
                <w:rFonts w:hint="eastAsia"/>
                <w:b/>
                <w:bCs/>
                <w:color w:val="auto"/>
                <w:kern w:val="0"/>
              </w:rPr>
              <w:t>项目排污许可管理类别判定：</w:t>
            </w:r>
            <w:r>
              <w:rPr>
                <w:rFonts w:hint="eastAsia"/>
                <w:b w:val="0"/>
                <w:bCs w:val="0"/>
                <w:color w:val="auto"/>
                <w:kern w:val="0"/>
                <w:highlight w:val="none"/>
                <w:lang w:val="en-US" w:eastAsia="zh-CN"/>
              </w:rPr>
              <w:t>本项目产品为道路桥梁支座，</w:t>
            </w:r>
            <w:r>
              <w:rPr>
                <w:rFonts w:hint="eastAsia"/>
                <w:color w:val="auto"/>
                <w:kern w:val="0"/>
                <w:lang w:eastAsia="zh-CN"/>
              </w:rPr>
              <w:t>根据项目</w:t>
            </w:r>
            <w:r>
              <w:rPr>
                <w:rFonts w:hint="eastAsia"/>
                <w:color w:val="auto"/>
                <w:kern w:val="0"/>
                <w:lang w:val="en-US" w:eastAsia="zh-CN"/>
              </w:rPr>
              <w:t>产品</w:t>
            </w:r>
            <w:r>
              <w:rPr>
                <w:rFonts w:hint="eastAsia"/>
                <w:color w:val="auto"/>
                <w:kern w:val="0"/>
                <w:lang w:eastAsia="zh-CN"/>
              </w:rPr>
              <w:t>实际功能</w:t>
            </w:r>
            <w:r>
              <w:rPr>
                <w:rFonts w:hint="eastAsia"/>
                <w:color w:val="auto"/>
                <w:kern w:val="0"/>
                <w:lang w:val="en-US" w:eastAsia="zh-CN"/>
              </w:rPr>
              <w:t>及特性</w:t>
            </w:r>
            <w:r>
              <w:rPr>
                <w:rFonts w:hint="eastAsia"/>
                <w:color w:val="auto"/>
                <w:kern w:val="0"/>
                <w:lang w:eastAsia="zh-CN"/>
              </w:rPr>
              <w:t>，</w:t>
            </w:r>
            <w:r>
              <w:rPr>
                <w:rFonts w:hint="eastAsia"/>
                <w:color w:val="auto"/>
                <w:kern w:val="0"/>
              </w:rPr>
              <w:t>属于《国民经济行业分类》（2017年版）的</w:t>
            </w:r>
            <w:r>
              <w:rPr>
                <w:rFonts w:hint="eastAsia"/>
                <w:color w:val="auto"/>
                <w:kern w:val="0"/>
                <w:lang w:eastAsia="zh-CN"/>
              </w:rPr>
              <w:t>“</w:t>
            </w:r>
            <w:r>
              <w:rPr>
                <w:rFonts w:hint="eastAsia"/>
                <w:color w:val="auto"/>
                <w:kern w:val="0"/>
                <w:lang w:val="en-US" w:eastAsia="zh-CN"/>
              </w:rPr>
              <w:t>C2919 其他橡胶制品制造</w:t>
            </w:r>
            <w:r>
              <w:rPr>
                <w:rFonts w:hint="eastAsia"/>
                <w:color w:val="auto"/>
                <w:lang w:val="en-US" w:eastAsia="zh-CN"/>
              </w:rPr>
              <w:t>”</w:t>
            </w:r>
            <w:r>
              <w:rPr>
                <w:rFonts w:hint="eastAsia"/>
                <w:color w:val="auto"/>
                <w:kern w:val="0"/>
              </w:rPr>
              <w:t>。根据《固定污染源排污许可分类管理名录（2019年版）》可知，项目属于</w:t>
            </w:r>
            <w:r>
              <w:rPr>
                <w:rFonts w:hint="eastAsia"/>
                <w:color w:val="auto"/>
                <w:kern w:val="0"/>
                <w:lang w:eastAsia="zh-CN"/>
              </w:rPr>
              <w:t>“二十四、橡胶和塑料制品业29—</w:t>
            </w:r>
            <w:r>
              <w:rPr>
                <w:rFonts w:hint="eastAsia"/>
                <w:color w:val="auto"/>
                <w:kern w:val="0"/>
                <w:lang w:val="en-US" w:eastAsia="zh-CN"/>
              </w:rPr>
              <w:t>61、橡胶制品业 291—其他橡胶制品制造 2919</w:t>
            </w:r>
            <w:r>
              <w:rPr>
                <w:rFonts w:hint="eastAsia"/>
                <w:color w:val="auto"/>
                <w:kern w:val="0"/>
                <w:lang w:eastAsia="zh-CN"/>
              </w:rPr>
              <w:t>”</w:t>
            </w:r>
            <w:r>
              <w:rPr>
                <w:rFonts w:hint="eastAsia"/>
                <w:color w:val="auto"/>
                <w:kern w:val="0"/>
                <w:sz w:val="24"/>
                <w:szCs w:val="24"/>
                <w:lang w:eastAsia="zh-CN"/>
              </w:rPr>
              <w:t>，本项目排污许可需进行</w:t>
            </w:r>
            <w:r>
              <w:rPr>
                <w:rFonts w:hint="eastAsia"/>
                <w:color w:val="auto"/>
                <w:kern w:val="0"/>
                <w:sz w:val="24"/>
                <w:szCs w:val="24"/>
                <w:lang w:val="en-US" w:eastAsia="zh-CN"/>
              </w:rPr>
              <w:t>简化</w:t>
            </w:r>
            <w:r>
              <w:rPr>
                <w:rFonts w:hint="eastAsia"/>
                <w:color w:val="auto"/>
                <w:kern w:val="0"/>
                <w:sz w:val="24"/>
                <w:szCs w:val="24"/>
                <w:lang w:eastAsia="zh-CN"/>
              </w:rPr>
              <w:t>管理</w:t>
            </w:r>
            <w:r>
              <w:rPr>
                <w:rFonts w:hint="eastAsia"/>
                <w:color w:val="auto"/>
                <w:kern w:val="0"/>
                <w:sz w:val="24"/>
                <w:szCs w:val="24"/>
              </w:rPr>
              <w:t>。</w:t>
            </w:r>
          </w:p>
          <w:p w14:paraId="3F91BEBE">
            <w:pPr>
              <w:numPr>
                <w:ilvl w:val="0"/>
                <w:numId w:val="0"/>
              </w:numPr>
              <w:ind w:firstLine="480" w:firstLineChars="200"/>
              <w:rPr>
                <w:rFonts w:hint="eastAsia"/>
                <w:b/>
                <w:bCs/>
                <w:color w:val="auto"/>
                <w:kern w:val="0"/>
              </w:rPr>
            </w:pPr>
            <w:r>
              <w:rPr>
                <w:rFonts w:hint="eastAsia" w:ascii="Times New Roman" w:hAnsi="Times New Roman" w:eastAsia="宋体" w:cs="Times New Roman"/>
                <w:b/>
                <w:bCs/>
                <w:color w:val="auto"/>
                <w:kern w:val="0"/>
                <w:sz w:val="24"/>
                <w:szCs w:val="24"/>
                <w:lang w:val="en-US" w:eastAsia="zh-CN" w:bidi="ar-SA"/>
              </w:rPr>
              <w:t>2、</w:t>
            </w:r>
            <w:r>
              <w:rPr>
                <w:rFonts w:hint="eastAsia"/>
                <w:b/>
                <w:bCs/>
                <w:color w:val="auto"/>
                <w:kern w:val="0"/>
              </w:rPr>
              <w:t>项目建设内容</w:t>
            </w:r>
          </w:p>
          <w:p w14:paraId="1D2409C0">
            <w:pPr>
              <w:ind w:firstLine="480"/>
              <w:rPr>
                <w:rFonts w:hint="eastAsia"/>
                <w:bCs/>
                <w:color w:val="auto"/>
              </w:rPr>
            </w:pPr>
            <w:r>
              <w:rPr>
                <w:rFonts w:hint="eastAsia"/>
                <w:bCs/>
                <w:color w:val="auto"/>
                <w:szCs w:val="21"/>
                <w:lang w:eastAsia="zh-CN"/>
              </w:rPr>
              <w:t>本项目</w:t>
            </w:r>
            <w:r>
              <w:rPr>
                <w:rFonts w:hint="eastAsia"/>
                <w:bCs/>
                <w:color w:val="auto"/>
              </w:rPr>
              <w:t>主要建设内容见下表。</w:t>
            </w:r>
          </w:p>
          <w:p w14:paraId="64048C22">
            <w:pPr>
              <w:numPr>
                <w:ilvl w:val="0"/>
                <w:numId w:val="0"/>
              </w:numPr>
              <w:jc w:val="center"/>
              <w:rPr>
                <w:rFonts w:hint="eastAsia"/>
                <w:bCs/>
                <w:color w:val="auto"/>
              </w:rPr>
            </w:pPr>
            <w:r>
              <w:rPr>
                <w:rFonts w:hint="eastAsia"/>
                <w:b/>
                <w:color w:val="auto"/>
              </w:rPr>
              <w:t>表</w:t>
            </w:r>
            <w:r>
              <w:rPr>
                <w:rFonts w:hint="eastAsia"/>
                <w:b/>
                <w:color w:val="auto"/>
                <w:lang w:val="en-US" w:eastAsia="zh-CN"/>
              </w:rPr>
              <w:t>2-1</w:t>
            </w:r>
            <w:r>
              <w:rPr>
                <w:rFonts w:hint="eastAsia"/>
                <w:b/>
                <w:color w:val="auto"/>
              </w:rPr>
              <w:t xml:space="preserve"> 项目主要工程内容组成一览表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121"/>
              <w:gridCol w:w="6277"/>
            </w:tblGrid>
            <w:tr w14:paraId="75EB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noWrap w:val="0"/>
                  <w:vAlign w:val="center"/>
                </w:tcPr>
                <w:p w14:paraId="345A8268">
                  <w:pPr>
                    <w:spacing w:line="240" w:lineRule="auto"/>
                    <w:ind w:firstLine="0" w:firstLineChars="0"/>
                    <w:jc w:val="center"/>
                    <w:rPr>
                      <w:b/>
                      <w:color w:val="auto"/>
                      <w:sz w:val="21"/>
                      <w:szCs w:val="21"/>
                    </w:rPr>
                  </w:pPr>
                  <w:r>
                    <w:rPr>
                      <w:rFonts w:hint="eastAsia"/>
                      <w:b/>
                      <w:color w:val="auto"/>
                      <w:sz w:val="21"/>
                      <w:szCs w:val="21"/>
                    </w:rPr>
                    <w:t>工程类别</w:t>
                  </w:r>
                </w:p>
              </w:tc>
              <w:tc>
                <w:tcPr>
                  <w:tcW w:w="1121" w:type="dxa"/>
                  <w:noWrap w:val="0"/>
                  <w:vAlign w:val="center"/>
                </w:tcPr>
                <w:p w14:paraId="43853578">
                  <w:pPr>
                    <w:spacing w:line="240" w:lineRule="auto"/>
                    <w:ind w:firstLine="0" w:firstLineChars="0"/>
                    <w:jc w:val="center"/>
                    <w:rPr>
                      <w:b/>
                      <w:color w:val="auto"/>
                      <w:sz w:val="21"/>
                      <w:szCs w:val="21"/>
                    </w:rPr>
                  </w:pPr>
                  <w:r>
                    <w:rPr>
                      <w:rFonts w:hint="eastAsia"/>
                      <w:b/>
                      <w:color w:val="auto"/>
                      <w:sz w:val="21"/>
                      <w:szCs w:val="21"/>
                    </w:rPr>
                    <w:t>单项工程</w:t>
                  </w:r>
                </w:p>
              </w:tc>
              <w:tc>
                <w:tcPr>
                  <w:tcW w:w="6277" w:type="dxa"/>
                  <w:noWrap w:val="0"/>
                  <w:vAlign w:val="center"/>
                </w:tcPr>
                <w:p w14:paraId="4DD3DB66">
                  <w:pPr>
                    <w:spacing w:line="240" w:lineRule="auto"/>
                    <w:ind w:firstLine="0" w:firstLineChars="0"/>
                    <w:jc w:val="center"/>
                    <w:rPr>
                      <w:rFonts w:hint="eastAsia"/>
                      <w:b/>
                      <w:color w:val="auto"/>
                      <w:sz w:val="21"/>
                      <w:szCs w:val="21"/>
                    </w:rPr>
                  </w:pPr>
                  <w:r>
                    <w:rPr>
                      <w:rFonts w:hint="eastAsia"/>
                      <w:b/>
                      <w:color w:val="auto"/>
                      <w:sz w:val="21"/>
                      <w:szCs w:val="21"/>
                    </w:rPr>
                    <w:t>工程内容及规模</w:t>
                  </w:r>
                </w:p>
              </w:tc>
            </w:tr>
            <w:tr w14:paraId="2118F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Merge w:val="restart"/>
                  <w:noWrap w:val="0"/>
                  <w:vAlign w:val="center"/>
                </w:tcPr>
                <w:p w14:paraId="11A85A7D">
                  <w:pPr>
                    <w:spacing w:line="240" w:lineRule="auto"/>
                    <w:ind w:firstLine="0" w:firstLineChars="0"/>
                    <w:jc w:val="center"/>
                    <w:rPr>
                      <w:rFonts w:hint="eastAsia" w:eastAsia="宋体"/>
                      <w:b w:val="0"/>
                      <w:bCs/>
                      <w:color w:val="auto"/>
                      <w:sz w:val="21"/>
                      <w:szCs w:val="21"/>
                      <w:lang w:val="en-US" w:eastAsia="zh-CN"/>
                    </w:rPr>
                  </w:pPr>
                  <w:r>
                    <w:rPr>
                      <w:rFonts w:hint="eastAsia"/>
                      <w:b w:val="0"/>
                      <w:bCs/>
                      <w:color w:val="auto"/>
                      <w:sz w:val="21"/>
                      <w:szCs w:val="21"/>
                      <w:lang w:val="en-US" w:eastAsia="zh-CN"/>
                    </w:rPr>
                    <w:t>主体工程</w:t>
                  </w:r>
                </w:p>
              </w:tc>
              <w:tc>
                <w:tcPr>
                  <w:tcW w:w="1121" w:type="dxa"/>
                  <w:noWrap w:val="0"/>
                  <w:vAlign w:val="center"/>
                </w:tcPr>
                <w:p w14:paraId="5B1C966C">
                  <w:pPr>
                    <w:spacing w:line="240" w:lineRule="auto"/>
                    <w:ind w:firstLine="0" w:firstLineChars="0"/>
                    <w:jc w:val="center"/>
                    <w:rPr>
                      <w:rFonts w:hint="eastAsia" w:eastAsia="宋体"/>
                      <w:b w:val="0"/>
                      <w:bCs/>
                      <w:color w:val="auto"/>
                      <w:sz w:val="21"/>
                      <w:szCs w:val="21"/>
                      <w:lang w:val="en-US" w:eastAsia="zh-CN"/>
                    </w:rPr>
                  </w:pPr>
                  <w:r>
                    <w:rPr>
                      <w:rFonts w:hint="eastAsia"/>
                      <w:b w:val="0"/>
                      <w:bCs/>
                      <w:color w:val="auto"/>
                      <w:sz w:val="21"/>
                      <w:szCs w:val="21"/>
                      <w:lang w:val="en-US" w:eastAsia="zh-CN"/>
                    </w:rPr>
                    <w:t>机加工车间</w:t>
                  </w:r>
                </w:p>
              </w:tc>
              <w:tc>
                <w:tcPr>
                  <w:tcW w:w="6277" w:type="dxa"/>
                  <w:noWrap w:val="0"/>
                  <w:vAlign w:val="center"/>
                </w:tcPr>
                <w:p w14:paraId="4720CA99">
                  <w:pPr>
                    <w:spacing w:line="240" w:lineRule="auto"/>
                    <w:ind w:firstLine="0" w:firstLineChars="0"/>
                    <w:jc w:val="center"/>
                    <w:rPr>
                      <w:rFonts w:hint="default" w:eastAsia="宋体"/>
                      <w:b w:val="0"/>
                      <w:bCs/>
                      <w:color w:val="auto"/>
                      <w:sz w:val="21"/>
                      <w:szCs w:val="21"/>
                      <w:lang w:val="en-US" w:eastAsia="zh-CN"/>
                    </w:rPr>
                  </w:pPr>
                  <w:r>
                    <w:rPr>
                      <w:rFonts w:hint="eastAsia"/>
                      <w:b w:val="0"/>
                      <w:bCs/>
                      <w:color w:val="auto"/>
                      <w:sz w:val="21"/>
                      <w:szCs w:val="21"/>
                      <w:lang w:val="en-US" w:eastAsia="zh-CN"/>
                    </w:rPr>
                    <w:t>机加工车间位于乡村振兴厂房3号厂房，</w:t>
                  </w:r>
                  <w:bookmarkStart w:id="4" w:name="OLE_LINK3"/>
                  <w:r>
                    <w:rPr>
                      <w:rFonts w:hint="eastAsia"/>
                      <w:b w:val="0"/>
                      <w:bCs/>
                      <w:color w:val="auto"/>
                      <w:sz w:val="21"/>
                      <w:szCs w:val="21"/>
                      <w:lang w:val="en-US" w:eastAsia="zh-CN"/>
                    </w:rPr>
                    <w:t>建筑面积约1750m</w:t>
                  </w:r>
                  <w:r>
                    <w:rPr>
                      <w:rFonts w:hint="eastAsia"/>
                      <w:b w:val="0"/>
                      <w:bCs/>
                      <w:color w:val="auto"/>
                      <w:sz w:val="21"/>
                      <w:szCs w:val="21"/>
                      <w:vertAlign w:val="superscript"/>
                      <w:lang w:val="en-US" w:eastAsia="zh-CN"/>
                    </w:rPr>
                    <w:t>2</w:t>
                  </w:r>
                  <w:r>
                    <w:rPr>
                      <w:rFonts w:hint="eastAsia"/>
                      <w:b w:val="0"/>
                      <w:bCs/>
                      <w:color w:val="auto"/>
                      <w:sz w:val="21"/>
                      <w:szCs w:val="21"/>
                      <w:lang w:val="en-US" w:eastAsia="zh-CN"/>
                    </w:rPr>
                    <w:t>，</w:t>
                  </w:r>
                  <w:bookmarkEnd w:id="4"/>
                  <w:r>
                    <w:rPr>
                      <w:rFonts w:hint="eastAsia" w:ascii="Times New Roman" w:hAnsi="Times New Roman" w:eastAsia="宋体" w:cs="Times New Roman"/>
                      <w:bCs/>
                      <w:color w:val="auto"/>
                      <w:sz w:val="21"/>
                      <w:szCs w:val="21"/>
                      <w:lang w:val="en-US" w:eastAsia="zh-CN"/>
                    </w:rPr>
                    <w:t>设有车床、铣边机、锯床、裁板机、喷砂机等设备，主要用于对外购钢板进行加工，年加工钢板26700吨</w:t>
                  </w:r>
                </w:p>
              </w:tc>
            </w:tr>
            <w:tr w14:paraId="0A8F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Merge w:val="continue"/>
                  <w:noWrap w:val="0"/>
                  <w:vAlign w:val="center"/>
                </w:tcPr>
                <w:p w14:paraId="7307A23F">
                  <w:pPr>
                    <w:spacing w:line="240" w:lineRule="auto"/>
                    <w:ind w:firstLine="0" w:firstLineChars="0"/>
                    <w:jc w:val="center"/>
                    <w:rPr>
                      <w:rFonts w:hint="eastAsia"/>
                      <w:b w:val="0"/>
                      <w:bCs/>
                      <w:color w:val="auto"/>
                      <w:sz w:val="21"/>
                      <w:szCs w:val="21"/>
                    </w:rPr>
                  </w:pPr>
                </w:p>
              </w:tc>
              <w:tc>
                <w:tcPr>
                  <w:tcW w:w="1121" w:type="dxa"/>
                  <w:noWrap w:val="0"/>
                  <w:vAlign w:val="center"/>
                </w:tcPr>
                <w:p w14:paraId="143BF621">
                  <w:pPr>
                    <w:spacing w:line="240" w:lineRule="auto"/>
                    <w:ind w:firstLine="0" w:firstLineChars="0"/>
                    <w:jc w:val="center"/>
                    <w:rPr>
                      <w:rFonts w:hint="default" w:eastAsia="宋体"/>
                      <w:b w:val="0"/>
                      <w:bCs/>
                      <w:color w:val="auto"/>
                      <w:sz w:val="21"/>
                      <w:szCs w:val="21"/>
                      <w:lang w:val="en-US" w:eastAsia="zh-CN"/>
                    </w:rPr>
                  </w:pPr>
                  <w:r>
                    <w:rPr>
                      <w:rFonts w:hint="eastAsia"/>
                      <w:b w:val="0"/>
                      <w:bCs/>
                      <w:color w:val="auto"/>
                      <w:sz w:val="21"/>
                      <w:szCs w:val="21"/>
                      <w:lang w:val="en-US" w:eastAsia="zh-CN"/>
                    </w:rPr>
                    <w:t>密炼车间</w:t>
                  </w:r>
                </w:p>
              </w:tc>
              <w:tc>
                <w:tcPr>
                  <w:tcW w:w="6277" w:type="dxa"/>
                  <w:noWrap w:val="0"/>
                  <w:vAlign w:val="center"/>
                </w:tcPr>
                <w:p w14:paraId="433F2206">
                  <w:pPr>
                    <w:spacing w:line="240" w:lineRule="auto"/>
                    <w:ind w:firstLine="0" w:firstLineChars="0"/>
                    <w:jc w:val="center"/>
                    <w:rPr>
                      <w:rFonts w:hint="eastAsia"/>
                      <w:b w:val="0"/>
                      <w:bCs/>
                      <w:color w:val="auto"/>
                      <w:sz w:val="21"/>
                      <w:szCs w:val="21"/>
                    </w:rPr>
                  </w:pPr>
                  <w:r>
                    <w:rPr>
                      <w:rFonts w:hint="eastAsia"/>
                      <w:b w:val="0"/>
                      <w:bCs/>
                      <w:color w:val="auto"/>
                      <w:sz w:val="21"/>
                      <w:szCs w:val="21"/>
                      <w:lang w:val="en-US" w:eastAsia="zh-CN"/>
                    </w:rPr>
                    <w:t>密炼车间位于乡村振兴厂房3号厂房，建筑面积约1750m</w:t>
                  </w:r>
                  <w:r>
                    <w:rPr>
                      <w:rFonts w:hint="eastAsia"/>
                      <w:b w:val="0"/>
                      <w:bCs/>
                      <w:color w:val="auto"/>
                      <w:sz w:val="21"/>
                      <w:szCs w:val="21"/>
                      <w:vertAlign w:val="superscript"/>
                      <w:lang w:val="en-US" w:eastAsia="zh-CN"/>
                    </w:rPr>
                    <w:t>2</w:t>
                  </w:r>
                  <w:r>
                    <w:rPr>
                      <w:rFonts w:hint="eastAsia"/>
                      <w:b w:val="0"/>
                      <w:bCs/>
                      <w:color w:val="auto"/>
                      <w:sz w:val="21"/>
                      <w:szCs w:val="21"/>
                      <w:lang w:val="en-US" w:eastAsia="zh-CN"/>
                    </w:rPr>
                    <w:t>，</w:t>
                  </w:r>
                  <w:r>
                    <w:rPr>
                      <w:rFonts w:hint="eastAsia" w:ascii="Times New Roman" w:hAnsi="Times New Roman" w:eastAsia="宋体" w:cs="Times New Roman"/>
                      <w:bCs/>
                      <w:color w:val="auto"/>
                      <w:sz w:val="21"/>
                      <w:szCs w:val="21"/>
                      <w:lang w:val="en-US" w:eastAsia="zh-CN"/>
                    </w:rPr>
                    <w:t>设有密炼机、开练机、切胶机等设备，主要用于对外购天然橡胶进行密炼、开炼，年密炼、开炼天然橡胶4200吨</w:t>
                  </w:r>
                </w:p>
              </w:tc>
            </w:tr>
            <w:tr w14:paraId="5ECAB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Merge w:val="continue"/>
                  <w:noWrap w:val="0"/>
                  <w:vAlign w:val="center"/>
                </w:tcPr>
                <w:p w14:paraId="33D45224">
                  <w:pPr>
                    <w:spacing w:line="240" w:lineRule="auto"/>
                    <w:ind w:firstLine="0" w:firstLineChars="0"/>
                    <w:jc w:val="center"/>
                    <w:rPr>
                      <w:rFonts w:hint="eastAsia"/>
                      <w:b w:val="0"/>
                      <w:bCs/>
                      <w:color w:val="auto"/>
                      <w:sz w:val="21"/>
                      <w:szCs w:val="21"/>
                    </w:rPr>
                  </w:pPr>
                </w:p>
              </w:tc>
              <w:tc>
                <w:tcPr>
                  <w:tcW w:w="1121" w:type="dxa"/>
                  <w:noWrap w:val="0"/>
                  <w:vAlign w:val="center"/>
                </w:tcPr>
                <w:p w14:paraId="4FC166C7">
                  <w:pPr>
                    <w:spacing w:line="240" w:lineRule="auto"/>
                    <w:ind w:firstLine="0" w:firstLineChars="0"/>
                    <w:jc w:val="center"/>
                    <w:rPr>
                      <w:rFonts w:hint="eastAsia" w:ascii="Times New Roman" w:hAnsi="Times New Roman" w:eastAsia="宋体" w:cs="Times New Roman"/>
                      <w:b w:val="0"/>
                      <w:bCs/>
                      <w:color w:val="auto"/>
                      <w:kern w:val="2"/>
                      <w:sz w:val="21"/>
                      <w:szCs w:val="21"/>
                      <w:lang w:val="en-US" w:eastAsia="zh-CN" w:bidi="ar-SA"/>
                    </w:rPr>
                  </w:pPr>
                  <w:r>
                    <w:rPr>
                      <w:rFonts w:hint="eastAsia"/>
                      <w:b w:val="0"/>
                      <w:bCs/>
                      <w:color w:val="auto"/>
                      <w:sz w:val="21"/>
                      <w:szCs w:val="21"/>
                      <w:lang w:val="en-US" w:eastAsia="zh-CN"/>
                    </w:rPr>
                    <w:t>硫化车间</w:t>
                  </w:r>
                </w:p>
              </w:tc>
              <w:tc>
                <w:tcPr>
                  <w:tcW w:w="6277" w:type="dxa"/>
                  <w:noWrap w:val="0"/>
                  <w:vAlign w:val="center"/>
                </w:tcPr>
                <w:p w14:paraId="7FF67B56">
                  <w:pPr>
                    <w:spacing w:line="240" w:lineRule="auto"/>
                    <w:ind w:firstLine="0" w:firstLineChars="0"/>
                    <w:jc w:val="center"/>
                    <w:rPr>
                      <w:rFonts w:hint="eastAsia" w:ascii="Times New Roman" w:hAnsi="Times New Roman" w:eastAsia="宋体" w:cs="Times New Roman"/>
                      <w:b w:val="0"/>
                      <w:bCs/>
                      <w:color w:val="auto"/>
                      <w:kern w:val="2"/>
                      <w:sz w:val="21"/>
                      <w:szCs w:val="21"/>
                      <w:lang w:val="en-US" w:eastAsia="zh-CN" w:bidi="ar-SA"/>
                    </w:rPr>
                  </w:pPr>
                  <w:r>
                    <w:rPr>
                      <w:rFonts w:hint="eastAsia"/>
                      <w:b w:val="0"/>
                      <w:bCs/>
                      <w:color w:val="auto"/>
                      <w:sz w:val="21"/>
                      <w:szCs w:val="21"/>
                      <w:lang w:val="en-US" w:eastAsia="zh-CN"/>
                    </w:rPr>
                    <w:t>硫化车间位于乡村振兴厂房2号厂房，建筑面积约6000m</w:t>
                  </w:r>
                  <w:r>
                    <w:rPr>
                      <w:rFonts w:hint="eastAsia"/>
                      <w:b w:val="0"/>
                      <w:bCs/>
                      <w:color w:val="auto"/>
                      <w:sz w:val="21"/>
                      <w:szCs w:val="21"/>
                      <w:vertAlign w:val="superscript"/>
                      <w:lang w:val="en-US" w:eastAsia="zh-CN"/>
                    </w:rPr>
                    <w:t>2</w:t>
                  </w:r>
                  <w:r>
                    <w:rPr>
                      <w:rFonts w:hint="eastAsia"/>
                      <w:b w:val="0"/>
                      <w:bCs/>
                      <w:color w:val="auto"/>
                      <w:sz w:val="21"/>
                      <w:szCs w:val="21"/>
                      <w:lang w:val="en-US" w:eastAsia="zh-CN"/>
                    </w:rPr>
                    <w:t>，</w:t>
                  </w:r>
                  <w:r>
                    <w:rPr>
                      <w:rFonts w:hint="eastAsia" w:ascii="Times New Roman" w:hAnsi="Times New Roman" w:eastAsia="宋体" w:cs="Times New Roman"/>
                      <w:bCs/>
                      <w:color w:val="auto"/>
                      <w:sz w:val="21"/>
                      <w:szCs w:val="21"/>
                      <w:lang w:val="en-US" w:eastAsia="zh-CN"/>
                    </w:rPr>
                    <w:t>设有涂板间、硫化机、裁胶机等设备，主要用于对加工完成的钢板和橡胶进行硫化成产品，年产道路桥梁支座40000吨</w:t>
                  </w:r>
                </w:p>
              </w:tc>
            </w:tr>
            <w:tr w14:paraId="7CACF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Merge w:val="restart"/>
                  <w:noWrap w:val="0"/>
                  <w:vAlign w:val="center"/>
                </w:tcPr>
                <w:p w14:paraId="0F113521">
                  <w:pPr>
                    <w:spacing w:line="240" w:lineRule="auto"/>
                    <w:ind w:firstLine="0" w:firstLineChars="0"/>
                    <w:jc w:val="center"/>
                    <w:rPr>
                      <w:rFonts w:hint="eastAsia"/>
                      <w:b w:val="0"/>
                      <w:bCs/>
                      <w:color w:val="auto"/>
                      <w:sz w:val="21"/>
                      <w:szCs w:val="21"/>
                    </w:rPr>
                  </w:pPr>
                  <w:r>
                    <w:rPr>
                      <w:rFonts w:hint="eastAsia"/>
                      <w:b w:val="0"/>
                      <w:bCs/>
                      <w:color w:val="auto"/>
                      <w:sz w:val="21"/>
                      <w:szCs w:val="21"/>
                      <w:lang w:val="en-US" w:eastAsia="zh-CN"/>
                    </w:rPr>
                    <w:t>辅助工程</w:t>
                  </w:r>
                </w:p>
              </w:tc>
              <w:tc>
                <w:tcPr>
                  <w:tcW w:w="1121" w:type="dxa"/>
                  <w:noWrap w:val="0"/>
                  <w:vAlign w:val="center"/>
                </w:tcPr>
                <w:p w14:paraId="3DF827D0">
                  <w:pPr>
                    <w:spacing w:line="240" w:lineRule="auto"/>
                    <w:ind w:firstLine="0" w:firstLineChars="0"/>
                    <w:jc w:val="center"/>
                    <w:rPr>
                      <w:rFonts w:hint="eastAsia" w:eastAsia="宋体"/>
                      <w:b w:val="0"/>
                      <w:bCs/>
                      <w:color w:val="auto"/>
                      <w:sz w:val="21"/>
                      <w:szCs w:val="21"/>
                      <w:lang w:val="en-US" w:eastAsia="zh-CN"/>
                    </w:rPr>
                  </w:pPr>
                  <w:r>
                    <w:rPr>
                      <w:rFonts w:hint="eastAsia"/>
                      <w:b w:val="0"/>
                      <w:bCs/>
                      <w:color w:val="auto"/>
                      <w:sz w:val="21"/>
                      <w:szCs w:val="21"/>
                      <w:lang w:val="en-US" w:eastAsia="zh-CN"/>
                    </w:rPr>
                    <w:t>实验室</w:t>
                  </w:r>
                </w:p>
              </w:tc>
              <w:tc>
                <w:tcPr>
                  <w:tcW w:w="6277" w:type="dxa"/>
                  <w:noWrap w:val="0"/>
                  <w:vAlign w:val="center"/>
                </w:tcPr>
                <w:p w14:paraId="3120F81C">
                  <w:pPr>
                    <w:spacing w:line="240" w:lineRule="auto"/>
                    <w:ind w:firstLine="0" w:firstLineChars="0"/>
                    <w:jc w:val="center"/>
                    <w:rPr>
                      <w:rFonts w:hint="default" w:eastAsia="宋体"/>
                      <w:b w:val="0"/>
                      <w:bCs/>
                      <w:color w:val="auto"/>
                      <w:sz w:val="21"/>
                      <w:szCs w:val="21"/>
                      <w:lang w:val="en-US" w:eastAsia="zh-CN"/>
                    </w:rPr>
                  </w:pPr>
                  <w:r>
                    <w:rPr>
                      <w:rFonts w:hint="eastAsia"/>
                      <w:b w:val="0"/>
                      <w:bCs/>
                      <w:color w:val="auto"/>
                      <w:sz w:val="21"/>
                      <w:szCs w:val="21"/>
                      <w:lang w:val="en-US" w:eastAsia="zh-CN"/>
                    </w:rPr>
                    <w:t>实验室位于</w:t>
                  </w:r>
                  <w:bookmarkStart w:id="5" w:name="OLE_LINK4"/>
                  <w:r>
                    <w:rPr>
                      <w:rFonts w:hint="eastAsia"/>
                      <w:b w:val="0"/>
                      <w:bCs/>
                      <w:color w:val="auto"/>
                      <w:sz w:val="21"/>
                      <w:szCs w:val="21"/>
                      <w:lang w:val="en-US" w:eastAsia="zh-CN"/>
                    </w:rPr>
                    <w:t>硫化车间</w:t>
                  </w:r>
                  <w:bookmarkEnd w:id="5"/>
                  <w:r>
                    <w:rPr>
                      <w:rFonts w:hint="eastAsia"/>
                      <w:b w:val="0"/>
                      <w:bCs/>
                      <w:color w:val="auto"/>
                      <w:sz w:val="21"/>
                      <w:szCs w:val="21"/>
                      <w:lang w:val="en-US" w:eastAsia="zh-CN"/>
                    </w:rPr>
                    <w:t>西南角，建筑面积约130m</w:t>
                  </w:r>
                  <w:r>
                    <w:rPr>
                      <w:rFonts w:hint="eastAsia"/>
                      <w:b w:val="0"/>
                      <w:bCs/>
                      <w:color w:val="auto"/>
                      <w:sz w:val="21"/>
                      <w:szCs w:val="21"/>
                      <w:vertAlign w:val="superscript"/>
                      <w:lang w:val="en-US" w:eastAsia="zh-CN"/>
                    </w:rPr>
                    <w:t>2</w:t>
                  </w:r>
                  <w:r>
                    <w:rPr>
                      <w:rFonts w:hint="eastAsia"/>
                      <w:b w:val="0"/>
                      <w:bCs/>
                      <w:color w:val="auto"/>
                      <w:sz w:val="21"/>
                      <w:szCs w:val="21"/>
                      <w:lang w:val="en-US" w:eastAsia="zh-CN"/>
                    </w:rPr>
                    <w:t>，</w:t>
                  </w:r>
                  <w:r>
                    <w:rPr>
                      <w:rFonts w:hint="eastAsia" w:ascii="Times New Roman" w:hAnsi="Times New Roman" w:eastAsia="宋体" w:cs="Times New Roman"/>
                      <w:bCs/>
                      <w:color w:val="auto"/>
                      <w:sz w:val="21"/>
                      <w:szCs w:val="21"/>
                      <w:lang w:val="en-US" w:eastAsia="zh-CN"/>
                    </w:rPr>
                    <w:t>设有拉力试验机等设备，主要用于对加工完成的产品进行拉力等物理性能检测</w:t>
                  </w:r>
                </w:p>
              </w:tc>
            </w:tr>
            <w:tr w14:paraId="65E21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Merge w:val="continue"/>
                  <w:noWrap w:val="0"/>
                  <w:vAlign w:val="center"/>
                </w:tcPr>
                <w:p w14:paraId="27941F2C">
                  <w:pPr>
                    <w:spacing w:line="240" w:lineRule="auto"/>
                    <w:ind w:firstLine="0" w:firstLineChars="0"/>
                    <w:jc w:val="center"/>
                    <w:rPr>
                      <w:rFonts w:hint="eastAsia"/>
                      <w:b w:val="0"/>
                      <w:bCs/>
                      <w:color w:val="auto"/>
                      <w:sz w:val="21"/>
                      <w:szCs w:val="21"/>
                    </w:rPr>
                  </w:pPr>
                </w:p>
              </w:tc>
              <w:tc>
                <w:tcPr>
                  <w:tcW w:w="1121" w:type="dxa"/>
                  <w:noWrap w:val="0"/>
                  <w:vAlign w:val="center"/>
                </w:tcPr>
                <w:p w14:paraId="084F3D06">
                  <w:pPr>
                    <w:spacing w:line="240" w:lineRule="auto"/>
                    <w:ind w:firstLine="0" w:firstLineChars="0"/>
                    <w:jc w:val="center"/>
                    <w:rPr>
                      <w:rFonts w:hint="eastAsia" w:eastAsia="宋体"/>
                      <w:b w:val="0"/>
                      <w:bCs/>
                      <w:color w:val="auto"/>
                      <w:sz w:val="21"/>
                      <w:szCs w:val="21"/>
                      <w:lang w:val="en-US" w:eastAsia="zh-CN"/>
                    </w:rPr>
                  </w:pPr>
                  <w:r>
                    <w:rPr>
                      <w:rFonts w:hint="eastAsia"/>
                      <w:b w:val="0"/>
                      <w:bCs/>
                      <w:color w:val="auto"/>
                      <w:sz w:val="21"/>
                      <w:szCs w:val="21"/>
                      <w:lang w:val="en-US" w:eastAsia="zh-CN"/>
                    </w:rPr>
                    <w:t>配料室</w:t>
                  </w:r>
                </w:p>
              </w:tc>
              <w:tc>
                <w:tcPr>
                  <w:tcW w:w="6277" w:type="dxa"/>
                  <w:noWrap w:val="0"/>
                  <w:vAlign w:val="center"/>
                </w:tcPr>
                <w:p w14:paraId="0DC907ED">
                  <w:pPr>
                    <w:spacing w:line="240" w:lineRule="auto"/>
                    <w:ind w:firstLine="0" w:firstLineChars="0"/>
                    <w:jc w:val="center"/>
                    <w:rPr>
                      <w:rFonts w:hint="eastAsia"/>
                      <w:b w:val="0"/>
                      <w:bCs/>
                      <w:color w:val="auto"/>
                      <w:sz w:val="21"/>
                      <w:szCs w:val="21"/>
                    </w:rPr>
                  </w:pPr>
                  <w:r>
                    <w:rPr>
                      <w:rFonts w:hint="eastAsia"/>
                      <w:b w:val="0"/>
                      <w:bCs/>
                      <w:color w:val="auto"/>
                      <w:sz w:val="21"/>
                      <w:szCs w:val="21"/>
                      <w:lang w:val="en-US" w:eastAsia="zh-CN"/>
                    </w:rPr>
                    <w:t>配料室位于密炼车间北部，建筑面积约30m</w:t>
                  </w:r>
                  <w:r>
                    <w:rPr>
                      <w:rFonts w:hint="eastAsia"/>
                      <w:b w:val="0"/>
                      <w:bCs/>
                      <w:color w:val="auto"/>
                      <w:sz w:val="21"/>
                      <w:szCs w:val="21"/>
                      <w:vertAlign w:val="superscript"/>
                      <w:lang w:val="en-US" w:eastAsia="zh-CN"/>
                    </w:rPr>
                    <w:t>2</w:t>
                  </w:r>
                  <w:r>
                    <w:rPr>
                      <w:rFonts w:hint="eastAsia"/>
                      <w:b w:val="0"/>
                      <w:bCs/>
                      <w:color w:val="auto"/>
                      <w:sz w:val="21"/>
                      <w:szCs w:val="21"/>
                      <w:lang w:val="en-US" w:eastAsia="zh-CN"/>
                    </w:rPr>
                    <w:t>，</w:t>
                  </w:r>
                  <w:r>
                    <w:rPr>
                      <w:rFonts w:hint="eastAsia" w:ascii="Times New Roman" w:hAnsi="Times New Roman" w:eastAsia="宋体" w:cs="Times New Roman"/>
                      <w:bCs/>
                      <w:color w:val="auto"/>
                      <w:sz w:val="21"/>
                      <w:szCs w:val="21"/>
                      <w:lang w:val="en-US" w:eastAsia="zh-CN"/>
                    </w:rPr>
                    <w:t>主要用于密炼工艺前的配料工作</w:t>
                  </w:r>
                </w:p>
              </w:tc>
            </w:tr>
            <w:tr w14:paraId="79A86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Merge w:val="continue"/>
                  <w:noWrap w:val="0"/>
                  <w:vAlign w:val="center"/>
                </w:tcPr>
                <w:p w14:paraId="436927DA">
                  <w:pPr>
                    <w:spacing w:line="240" w:lineRule="auto"/>
                    <w:ind w:firstLine="0" w:firstLineChars="0"/>
                    <w:jc w:val="center"/>
                    <w:rPr>
                      <w:rFonts w:hint="eastAsia"/>
                      <w:b w:val="0"/>
                      <w:bCs/>
                      <w:color w:val="auto"/>
                      <w:sz w:val="21"/>
                      <w:szCs w:val="21"/>
                    </w:rPr>
                  </w:pPr>
                </w:p>
              </w:tc>
              <w:tc>
                <w:tcPr>
                  <w:tcW w:w="1121" w:type="dxa"/>
                  <w:noWrap w:val="0"/>
                  <w:vAlign w:val="center"/>
                </w:tcPr>
                <w:p w14:paraId="243FAC9E">
                  <w:pPr>
                    <w:spacing w:line="240" w:lineRule="auto"/>
                    <w:ind w:firstLine="0" w:firstLineChars="0"/>
                    <w:jc w:val="center"/>
                    <w:rPr>
                      <w:rFonts w:hint="eastAsia"/>
                      <w:b w:val="0"/>
                      <w:bCs/>
                      <w:color w:val="auto"/>
                      <w:sz w:val="21"/>
                      <w:szCs w:val="21"/>
                    </w:rPr>
                  </w:pPr>
                  <w:r>
                    <w:rPr>
                      <w:rFonts w:hint="eastAsia" w:ascii="Times New Roman" w:hAnsi="Times New Roman" w:eastAsia="宋体" w:cs="Times New Roman"/>
                      <w:bCs/>
                      <w:color w:val="auto"/>
                      <w:sz w:val="21"/>
                      <w:szCs w:val="21"/>
                      <w:lang w:val="en-US" w:eastAsia="zh-CN"/>
                    </w:rPr>
                    <w:t>涂板间</w:t>
                  </w:r>
                </w:p>
              </w:tc>
              <w:tc>
                <w:tcPr>
                  <w:tcW w:w="6277" w:type="dxa"/>
                  <w:noWrap w:val="0"/>
                  <w:vAlign w:val="center"/>
                </w:tcPr>
                <w:p w14:paraId="544238D9">
                  <w:pPr>
                    <w:spacing w:line="240" w:lineRule="auto"/>
                    <w:ind w:firstLine="0" w:firstLineChars="0"/>
                    <w:jc w:val="center"/>
                    <w:rPr>
                      <w:rFonts w:hint="default"/>
                      <w:b w:val="0"/>
                      <w:bCs/>
                      <w:color w:val="auto"/>
                      <w:sz w:val="21"/>
                      <w:szCs w:val="21"/>
                      <w:lang w:val="en-US"/>
                    </w:rPr>
                  </w:pPr>
                  <w:r>
                    <w:rPr>
                      <w:rFonts w:hint="eastAsia" w:ascii="Times New Roman" w:hAnsi="Times New Roman" w:eastAsia="宋体" w:cs="Times New Roman"/>
                      <w:bCs/>
                      <w:color w:val="auto"/>
                      <w:sz w:val="21"/>
                      <w:szCs w:val="21"/>
                      <w:lang w:val="en-US" w:eastAsia="zh-CN"/>
                    </w:rPr>
                    <w:t>涂板间</w:t>
                  </w:r>
                  <w:r>
                    <w:rPr>
                      <w:rFonts w:hint="eastAsia"/>
                      <w:b w:val="0"/>
                      <w:bCs/>
                      <w:color w:val="auto"/>
                      <w:sz w:val="21"/>
                      <w:szCs w:val="21"/>
                      <w:lang w:val="en-US" w:eastAsia="zh-CN"/>
                    </w:rPr>
                    <w:t>位于硫化车间西北侧，建筑面积约80m</w:t>
                  </w:r>
                  <w:r>
                    <w:rPr>
                      <w:rFonts w:hint="eastAsia"/>
                      <w:b w:val="0"/>
                      <w:bCs/>
                      <w:color w:val="auto"/>
                      <w:sz w:val="21"/>
                      <w:szCs w:val="21"/>
                      <w:vertAlign w:val="superscript"/>
                      <w:lang w:val="en-US" w:eastAsia="zh-CN"/>
                    </w:rPr>
                    <w:t>2</w:t>
                  </w:r>
                  <w:r>
                    <w:rPr>
                      <w:rFonts w:hint="eastAsia"/>
                      <w:b w:val="0"/>
                      <w:bCs/>
                      <w:color w:val="auto"/>
                      <w:sz w:val="21"/>
                      <w:szCs w:val="21"/>
                      <w:lang w:val="en-US" w:eastAsia="zh-CN"/>
                    </w:rPr>
                    <w:t>，</w:t>
                  </w:r>
                  <w:r>
                    <w:rPr>
                      <w:rFonts w:hint="eastAsia" w:ascii="Times New Roman" w:hAnsi="Times New Roman" w:eastAsia="宋体" w:cs="Times New Roman"/>
                      <w:bCs/>
                      <w:color w:val="auto"/>
                      <w:sz w:val="21"/>
                      <w:szCs w:val="21"/>
                      <w:lang w:val="en-US" w:eastAsia="zh-CN"/>
                    </w:rPr>
                    <w:t>主要用于人工涂胶工艺</w:t>
                  </w:r>
                </w:p>
              </w:tc>
            </w:tr>
            <w:tr w14:paraId="22FDD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Merge w:val="restart"/>
                  <w:noWrap w:val="0"/>
                  <w:vAlign w:val="center"/>
                </w:tcPr>
                <w:p w14:paraId="6FA1BC26">
                  <w:pPr>
                    <w:spacing w:line="240" w:lineRule="auto"/>
                    <w:ind w:firstLine="0" w:firstLineChars="0"/>
                    <w:jc w:val="center"/>
                    <w:rPr>
                      <w:rFonts w:hint="eastAsia"/>
                      <w:b w:val="0"/>
                      <w:bCs/>
                      <w:color w:val="auto"/>
                      <w:sz w:val="21"/>
                      <w:szCs w:val="21"/>
                    </w:rPr>
                  </w:pPr>
                  <w:r>
                    <w:rPr>
                      <w:rFonts w:hint="eastAsia"/>
                      <w:bCs/>
                      <w:color w:val="auto"/>
                      <w:sz w:val="21"/>
                      <w:szCs w:val="21"/>
                      <w:lang w:val="en-US" w:eastAsia="zh-CN"/>
                    </w:rPr>
                    <w:t>储运工程</w:t>
                  </w:r>
                </w:p>
              </w:tc>
              <w:tc>
                <w:tcPr>
                  <w:tcW w:w="1121" w:type="dxa"/>
                  <w:noWrap w:val="0"/>
                  <w:vAlign w:val="center"/>
                </w:tcPr>
                <w:p w14:paraId="6140A4EC">
                  <w:pPr>
                    <w:spacing w:line="240" w:lineRule="auto"/>
                    <w:ind w:firstLine="0" w:firstLineChars="0"/>
                    <w:jc w:val="center"/>
                    <w:rPr>
                      <w:rFonts w:hint="default" w:eastAsia="宋体"/>
                      <w:b w:val="0"/>
                      <w:bCs/>
                      <w:color w:val="auto"/>
                      <w:sz w:val="21"/>
                      <w:szCs w:val="21"/>
                      <w:lang w:val="en-US" w:eastAsia="zh-CN"/>
                    </w:rPr>
                  </w:pPr>
                  <w:r>
                    <w:rPr>
                      <w:rFonts w:hint="eastAsia"/>
                      <w:b w:val="0"/>
                      <w:bCs/>
                      <w:color w:val="auto"/>
                      <w:sz w:val="21"/>
                      <w:szCs w:val="21"/>
                      <w:lang w:val="en-US" w:eastAsia="zh-CN"/>
                    </w:rPr>
                    <w:t>钢板存放区</w:t>
                  </w:r>
                </w:p>
              </w:tc>
              <w:tc>
                <w:tcPr>
                  <w:tcW w:w="6277" w:type="dxa"/>
                  <w:noWrap w:val="0"/>
                  <w:vAlign w:val="center"/>
                </w:tcPr>
                <w:p w14:paraId="51C4D9F5">
                  <w:pPr>
                    <w:spacing w:line="240" w:lineRule="auto"/>
                    <w:ind w:firstLine="0" w:firstLineChars="0"/>
                    <w:jc w:val="center"/>
                    <w:rPr>
                      <w:rFonts w:hint="default"/>
                      <w:b w:val="0"/>
                      <w:bCs/>
                      <w:color w:val="auto"/>
                      <w:sz w:val="21"/>
                      <w:szCs w:val="21"/>
                      <w:lang w:val="en-US"/>
                    </w:rPr>
                  </w:pPr>
                  <w:r>
                    <w:rPr>
                      <w:rFonts w:hint="eastAsia"/>
                      <w:b w:val="0"/>
                      <w:bCs/>
                      <w:color w:val="auto"/>
                      <w:sz w:val="21"/>
                      <w:szCs w:val="21"/>
                      <w:lang w:val="en-US" w:eastAsia="zh-CN"/>
                    </w:rPr>
                    <w:t>钢板存放区位于机加工车间西侧，建筑面积约600m</w:t>
                  </w:r>
                  <w:r>
                    <w:rPr>
                      <w:rFonts w:hint="eastAsia"/>
                      <w:b w:val="0"/>
                      <w:bCs/>
                      <w:color w:val="auto"/>
                      <w:sz w:val="21"/>
                      <w:szCs w:val="21"/>
                      <w:vertAlign w:val="superscript"/>
                      <w:lang w:val="en-US" w:eastAsia="zh-CN"/>
                    </w:rPr>
                    <w:t>2</w:t>
                  </w:r>
                  <w:r>
                    <w:rPr>
                      <w:rFonts w:hint="eastAsia"/>
                      <w:b w:val="0"/>
                      <w:bCs/>
                      <w:color w:val="auto"/>
                      <w:sz w:val="21"/>
                      <w:szCs w:val="21"/>
                      <w:lang w:val="en-US" w:eastAsia="zh-CN"/>
                    </w:rPr>
                    <w:t>，</w:t>
                  </w:r>
                  <w:r>
                    <w:rPr>
                      <w:rFonts w:hint="eastAsia" w:ascii="Times New Roman" w:hAnsi="Times New Roman" w:eastAsia="宋体" w:cs="Times New Roman"/>
                      <w:bCs/>
                      <w:color w:val="auto"/>
                      <w:sz w:val="21"/>
                      <w:szCs w:val="21"/>
                      <w:lang w:val="en-US" w:eastAsia="zh-CN"/>
                    </w:rPr>
                    <w:t>主要用于外购</w:t>
                  </w:r>
                  <w:r>
                    <w:rPr>
                      <w:rFonts w:hint="eastAsia"/>
                      <w:b w:val="0"/>
                      <w:bCs/>
                      <w:color w:val="auto"/>
                      <w:sz w:val="21"/>
                      <w:szCs w:val="21"/>
                      <w:lang w:val="en-US" w:eastAsia="zh-CN"/>
                    </w:rPr>
                    <w:t>钢板和四氟板的储存</w:t>
                  </w:r>
                </w:p>
              </w:tc>
            </w:tr>
            <w:tr w14:paraId="38E1C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Merge w:val="continue"/>
                  <w:noWrap w:val="0"/>
                  <w:vAlign w:val="center"/>
                </w:tcPr>
                <w:p w14:paraId="0FEFF1C0">
                  <w:pPr>
                    <w:spacing w:line="240" w:lineRule="auto"/>
                    <w:ind w:firstLine="0" w:firstLineChars="0"/>
                    <w:jc w:val="center"/>
                    <w:rPr>
                      <w:rFonts w:hint="eastAsia"/>
                      <w:b w:val="0"/>
                      <w:bCs/>
                      <w:color w:val="auto"/>
                      <w:sz w:val="21"/>
                      <w:szCs w:val="21"/>
                    </w:rPr>
                  </w:pPr>
                </w:p>
              </w:tc>
              <w:tc>
                <w:tcPr>
                  <w:tcW w:w="1121" w:type="dxa"/>
                  <w:noWrap w:val="0"/>
                  <w:vAlign w:val="center"/>
                </w:tcPr>
                <w:p w14:paraId="4A0DF895">
                  <w:pPr>
                    <w:spacing w:line="240" w:lineRule="auto"/>
                    <w:ind w:firstLine="0" w:firstLineChars="0"/>
                    <w:jc w:val="center"/>
                    <w:rPr>
                      <w:rFonts w:hint="default"/>
                      <w:b w:val="0"/>
                      <w:bCs/>
                      <w:color w:val="auto"/>
                      <w:sz w:val="21"/>
                      <w:szCs w:val="21"/>
                      <w:lang w:val="en-US"/>
                    </w:rPr>
                  </w:pPr>
                  <w:r>
                    <w:rPr>
                      <w:rFonts w:hint="eastAsia"/>
                      <w:b w:val="0"/>
                      <w:bCs/>
                      <w:color w:val="auto"/>
                      <w:sz w:val="21"/>
                      <w:szCs w:val="21"/>
                      <w:lang w:val="en-US" w:eastAsia="zh-CN"/>
                    </w:rPr>
                    <w:t>钢板成品区</w:t>
                  </w:r>
                </w:p>
              </w:tc>
              <w:tc>
                <w:tcPr>
                  <w:tcW w:w="6277" w:type="dxa"/>
                  <w:noWrap w:val="0"/>
                  <w:vAlign w:val="center"/>
                </w:tcPr>
                <w:p w14:paraId="6D5D86E7">
                  <w:pPr>
                    <w:spacing w:line="240" w:lineRule="auto"/>
                    <w:ind w:firstLine="0" w:firstLineChars="0"/>
                    <w:jc w:val="center"/>
                    <w:rPr>
                      <w:rFonts w:hint="eastAsia"/>
                      <w:b w:val="0"/>
                      <w:bCs/>
                      <w:color w:val="auto"/>
                      <w:sz w:val="21"/>
                      <w:szCs w:val="21"/>
                    </w:rPr>
                  </w:pPr>
                  <w:r>
                    <w:rPr>
                      <w:rFonts w:hint="eastAsia"/>
                      <w:b w:val="0"/>
                      <w:bCs/>
                      <w:color w:val="auto"/>
                      <w:sz w:val="21"/>
                      <w:szCs w:val="21"/>
                      <w:lang w:val="en-US" w:eastAsia="zh-CN"/>
                    </w:rPr>
                    <w:t>钢板成品区位于机加工车间东北角，建筑面积约60m</w:t>
                  </w:r>
                  <w:r>
                    <w:rPr>
                      <w:rFonts w:hint="eastAsia"/>
                      <w:b w:val="0"/>
                      <w:bCs/>
                      <w:color w:val="auto"/>
                      <w:sz w:val="21"/>
                      <w:szCs w:val="21"/>
                      <w:vertAlign w:val="superscript"/>
                      <w:lang w:val="en-US" w:eastAsia="zh-CN"/>
                    </w:rPr>
                    <w:t>2</w:t>
                  </w:r>
                  <w:r>
                    <w:rPr>
                      <w:rFonts w:hint="eastAsia"/>
                      <w:b w:val="0"/>
                      <w:bCs/>
                      <w:color w:val="auto"/>
                      <w:sz w:val="21"/>
                      <w:szCs w:val="21"/>
                      <w:lang w:val="en-US" w:eastAsia="zh-CN"/>
                    </w:rPr>
                    <w:t>，</w:t>
                  </w:r>
                  <w:r>
                    <w:rPr>
                      <w:rFonts w:hint="eastAsia" w:ascii="Times New Roman" w:hAnsi="Times New Roman" w:eastAsia="宋体" w:cs="Times New Roman"/>
                      <w:bCs/>
                      <w:color w:val="auto"/>
                      <w:sz w:val="21"/>
                      <w:szCs w:val="21"/>
                      <w:lang w:val="en-US" w:eastAsia="zh-CN"/>
                    </w:rPr>
                    <w:t>主要用于加工完成钢板</w:t>
                  </w:r>
                  <w:r>
                    <w:rPr>
                      <w:rFonts w:hint="eastAsia"/>
                      <w:b w:val="0"/>
                      <w:bCs/>
                      <w:color w:val="auto"/>
                      <w:sz w:val="21"/>
                      <w:szCs w:val="21"/>
                      <w:lang w:val="en-US" w:eastAsia="zh-CN"/>
                    </w:rPr>
                    <w:t>的暂存</w:t>
                  </w:r>
                </w:p>
              </w:tc>
            </w:tr>
            <w:tr w14:paraId="16D7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Merge w:val="continue"/>
                  <w:noWrap w:val="0"/>
                  <w:vAlign w:val="center"/>
                </w:tcPr>
                <w:p w14:paraId="3384FA5C">
                  <w:pPr>
                    <w:spacing w:line="240" w:lineRule="auto"/>
                    <w:ind w:firstLine="0" w:firstLineChars="0"/>
                    <w:jc w:val="center"/>
                    <w:rPr>
                      <w:rFonts w:hint="eastAsia"/>
                      <w:b w:val="0"/>
                      <w:bCs/>
                      <w:color w:val="auto"/>
                      <w:sz w:val="21"/>
                      <w:szCs w:val="21"/>
                    </w:rPr>
                  </w:pPr>
                </w:p>
              </w:tc>
              <w:tc>
                <w:tcPr>
                  <w:tcW w:w="1121" w:type="dxa"/>
                  <w:noWrap w:val="0"/>
                  <w:vAlign w:val="center"/>
                </w:tcPr>
                <w:p w14:paraId="17390C7F">
                  <w:pPr>
                    <w:spacing w:line="240" w:lineRule="auto"/>
                    <w:ind w:firstLine="0" w:firstLineChars="0"/>
                    <w:jc w:val="center"/>
                    <w:rPr>
                      <w:rFonts w:hint="default" w:eastAsia="宋体"/>
                      <w:b w:val="0"/>
                      <w:bCs/>
                      <w:color w:val="auto"/>
                      <w:sz w:val="21"/>
                      <w:szCs w:val="21"/>
                      <w:lang w:val="en-US" w:eastAsia="zh-CN"/>
                    </w:rPr>
                  </w:pPr>
                  <w:r>
                    <w:rPr>
                      <w:rFonts w:hint="eastAsia"/>
                      <w:b w:val="0"/>
                      <w:bCs/>
                      <w:color w:val="auto"/>
                      <w:sz w:val="21"/>
                      <w:szCs w:val="21"/>
                      <w:lang w:val="en-US" w:eastAsia="zh-CN"/>
                    </w:rPr>
                    <w:t>天然橡胶存放区</w:t>
                  </w:r>
                </w:p>
              </w:tc>
              <w:tc>
                <w:tcPr>
                  <w:tcW w:w="6277" w:type="dxa"/>
                  <w:noWrap w:val="0"/>
                  <w:vAlign w:val="center"/>
                </w:tcPr>
                <w:p w14:paraId="0CD3BA75">
                  <w:pPr>
                    <w:spacing w:line="240" w:lineRule="auto"/>
                    <w:ind w:firstLine="0" w:firstLineChars="0"/>
                    <w:jc w:val="center"/>
                    <w:rPr>
                      <w:rFonts w:hint="default" w:eastAsia="宋体"/>
                      <w:b w:val="0"/>
                      <w:bCs/>
                      <w:color w:val="auto"/>
                      <w:sz w:val="21"/>
                      <w:szCs w:val="21"/>
                      <w:lang w:val="en-US" w:eastAsia="zh-CN"/>
                    </w:rPr>
                  </w:pPr>
                  <w:r>
                    <w:rPr>
                      <w:rFonts w:hint="eastAsia"/>
                      <w:b w:val="0"/>
                      <w:bCs/>
                      <w:color w:val="auto"/>
                      <w:sz w:val="21"/>
                      <w:szCs w:val="21"/>
                      <w:lang w:val="en-US" w:eastAsia="zh-CN"/>
                    </w:rPr>
                    <w:t>天然橡胶存放区位于密炼车间北侧，建筑面积约20m</w:t>
                  </w:r>
                  <w:r>
                    <w:rPr>
                      <w:rFonts w:hint="eastAsia"/>
                      <w:b w:val="0"/>
                      <w:bCs/>
                      <w:color w:val="auto"/>
                      <w:sz w:val="21"/>
                      <w:szCs w:val="21"/>
                      <w:vertAlign w:val="superscript"/>
                      <w:lang w:val="en-US" w:eastAsia="zh-CN"/>
                    </w:rPr>
                    <w:t>2</w:t>
                  </w:r>
                  <w:r>
                    <w:rPr>
                      <w:rFonts w:hint="eastAsia"/>
                      <w:b w:val="0"/>
                      <w:bCs/>
                      <w:color w:val="auto"/>
                      <w:sz w:val="21"/>
                      <w:szCs w:val="21"/>
                      <w:lang w:val="en-US" w:eastAsia="zh-CN"/>
                    </w:rPr>
                    <w:t>，用于天然橡胶、</w:t>
                  </w:r>
                  <w:r>
                    <w:rPr>
                      <w:rFonts w:hint="default" w:ascii="Times New Roman" w:hAnsi="Times New Roman" w:eastAsia="宋体" w:cs="Times New Roman"/>
                      <w:b w:val="0"/>
                      <w:bCs w:val="0"/>
                      <w:color w:val="auto"/>
                      <w:sz w:val="21"/>
                      <w:szCs w:val="21"/>
                    </w:rPr>
                    <w:t>氯丁合成胶</w:t>
                  </w:r>
                  <w:r>
                    <w:rPr>
                      <w:rFonts w:hint="eastAsia" w:ascii="Times New Roman" w:hAnsi="Times New Roman" w:eastAsia="宋体" w:cs="Times New Roman"/>
                      <w:b w:val="0"/>
                      <w:bCs w:val="0"/>
                      <w:color w:val="auto"/>
                      <w:sz w:val="21"/>
                      <w:szCs w:val="21"/>
                      <w:lang w:eastAsia="zh-CN"/>
                    </w:rPr>
                    <w:t>、</w:t>
                  </w:r>
                  <w:r>
                    <w:rPr>
                      <w:rFonts w:hint="eastAsia" w:ascii="Times New Roman" w:hAnsi="Times New Roman" w:eastAsia="宋体" w:cs="Times New Roman"/>
                      <w:b w:val="0"/>
                      <w:bCs w:val="0"/>
                      <w:color w:val="auto"/>
                      <w:sz w:val="21"/>
                      <w:szCs w:val="21"/>
                      <w:lang w:val="en-US" w:eastAsia="zh-CN"/>
                    </w:rPr>
                    <w:t>四氟板等原料</w:t>
                  </w:r>
                  <w:r>
                    <w:rPr>
                      <w:rFonts w:hint="eastAsia"/>
                      <w:b w:val="0"/>
                      <w:bCs/>
                      <w:color w:val="auto"/>
                      <w:sz w:val="21"/>
                      <w:szCs w:val="21"/>
                      <w:lang w:val="en-US" w:eastAsia="zh-CN"/>
                    </w:rPr>
                    <w:t>暂存</w:t>
                  </w:r>
                </w:p>
              </w:tc>
            </w:tr>
            <w:tr w14:paraId="30096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Merge w:val="continue"/>
                  <w:noWrap w:val="0"/>
                  <w:vAlign w:val="center"/>
                </w:tcPr>
                <w:p w14:paraId="517332F5">
                  <w:pPr>
                    <w:spacing w:line="240" w:lineRule="auto"/>
                    <w:ind w:firstLine="0" w:firstLineChars="0"/>
                    <w:jc w:val="center"/>
                    <w:rPr>
                      <w:rFonts w:hint="eastAsia"/>
                      <w:b w:val="0"/>
                      <w:bCs/>
                      <w:color w:val="auto"/>
                      <w:sz w:val="21"/>
                      <w:szCs w:val="21"/>
                    </w:rPr>
                  </w:pPr>
                </w:p>
              </w:tc>
              <w:tc>
                <w:tcPr>
                  <w:tcW w:w="1121" w:type="dxa"/>
                  <w:noWrap w:val="0"/>
                  <w:vAlign w:val="center"/>
                </w:tcPr>
                <w:p w14:paraId="4A67A166">
                  <w:pPr>
                    <w:spacing w:line="240" w:lineRule="auto"/>
                    <w:ind w:firstLine="0" w:firstLineChars="0"/>
                    <w:jc w:val="center"/>
                    <w:rPr>
                      <w:rFonts w:hint="default" w:eastAsia="宋体"/>
                      <w:b w:val="0"/>
                      <w:bCs/>
                      <w:color w:val="auto"/>
                      <w:sz w:val="21"/>
                      <w:szCs w:val="21"/>
                      <w:lang w:val="en-US" w:eastAsia="zh-CN"/>
                    </w:rPr>
                  </w:pPr>
                  <w:r>
                    <w:rPr>
                      <w:rFonts w:hint="eastAsia"/>
                      <w:b w:val="0"/>
                      <w:bCs/>
                      <w:color w:val="auto"/>
                      <w:sz w:val="21"/>
                      <w:szCs w:val="21"/>
                      <w:lang w:val="en-US" w:eastAsia="zh-CN"/>
                    </w:rPr>
                    <w:t>成品存放区</w:t>
                  </w:r>
                </w:p>
              </w:tc>
              <w:tc>
                <w:tcPr>
                  <w:tcW w:w="6277" w:type="dxa"/>
                  <w:noWrap w:val="0"/>
                  <w:vAlign w:val="center"/>
                </w:tcPr>
                <w:p w14:paraId="70F0545D">
                  <w:pPr>
                    <w:spacing w:line="240" w:lineRule="auto"/>
                    <w:ind w:firstLine="0" w:firstLineChars="0"/>
                    <w:jc w:val="center"/>
                    <w:rPr>
                      <w:rFonts w:hint="eastAsia" w:eastAsia="宋体"/>
                      <w:b w:val="0"/>
                      <w:bCs/>
                      <w:color w:val="auto"/>
                      <w:sz w:val="21"/>
                      <w:szCs w:val="21"/>
                      <w:lang w:val="en-US" w:eastAsia="zh-CN"/>
                    </w:rPr>
                  </w:pPr>
                  <w:r>
                    <w:rPr>
                      <w:rFonts w:hint="eastAsia"/>
                      <w:b w:val="0"/>
                      <w:bCs/>
                      <w:color w:val="auto"/>
                      <w:sz w:val="21"/>
                      <w:szCs w:val="21"/>
                      <w:lang w:val="en-US" w:eastAsia="zh-CN"/>
                    </w:rPr>
                    <w:t>成品存放区位于硫化车间东南角，建筑面积约130m</w:t>
                  </w:r>
                  <w:r>
                    <w:rPr>
                      <w:rFonts w:hint="eastAsia"/>
                      <w:b w:val="0"/>
                      <w:bCs/>
                      <w:color w:val="auto"/>
                      <w:sz w:val="21"/>
                      <w:szCs w:val="21"/>
                      <w:vertAlign w:val="superscript"/>
                      <w:lang w:val="en-US" w:eastAsia="zh-CN"/>
                    </w:rPr>
                    <w:t>2</w:t>
                  </w:r>
                  <w:r>
                    <w:rPr>
                      <w:rFonts w:hint="eastAsia"/>
                      <w:b w:val="0"/>
                      <w:bCs/>
                      <w:color w:val="auto"/>
                      <w:sz w:val="21"/>
                      <w:szCs w:val="21"/>
                      <w:lang w:val="en-US" w:eastAsia="zh-CN"/>
                    </w:rPr>
                    <w:t>，用于</w:t>
                  </w:r>
                  <w:r>
                    <w:rPr>
                      <w:rFonts w:hint="eastAsia" w:ascii="Times New Roman" w:hAnsi="Times New Roman" w:eastAsia="宋体" w:cs="Times New Roman"/>
                      <w:bCs/>
                      <w:color w:val="auto"/>
                      <w:sz w:val="21"/>
                      <w:szCs w:val="21"/>
                      <w:lang w:val="en-US" w:eastAsia="zh-CN"/>
                    </w:rPr>
                    <w:t>道路桥梁支座</w:t>
                  </w:r>
                  <w:r>
                    <w:rPr>
                      <w:rFonts w:hint="eastAsia" w:cs="Times New Roman"/>
                      <w:bCs/>
                      <w:color w:val="auto"/>
                      <w:sz w:val="21"/>
                      <w:szCs w:val="21"/>
                      <w:lang w:val="en-US" w:eastAsia="zh-CN"/>
                    </w:rPr>
                    <w:t>成品</w:t>
                  </w:r>
                  <w:r>
                    <w:rPr>
                      <w:rFonts w:hint="eastAsia"/>
                      <w:b w:val="0"/>
                      <w:bCs/>
                      <w:color w:val="auto"/>
                      <w:sz w:val="21"/>
                      <w:szCs w:val="21"/>
                      <w:lang w:val="en-US" w:eastAsia="zh-CN"/>
                    </w:rPr>
                    <w:t>暂存</w:t>
                  </w:r>
                </w:p>
              </w:tc>
            </w:tr>
            <w:tr w14:paraId="2EC35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Merge w:val="continue"/>
                  <w:noWrap w:val="0"/>
                  <w:vAlign w:val="center"/>
                </w:tcPr>
                <w:p w14:paraId="0330C03C">
                  <w:pPr>
                    <w:spacing w:line="240" w:lineRule="auto"/>
                    <w:ind w:firstLine="0" w:firstLineChars="0"/>
                    <w:jc w:val="center"/>
                    <w:rPr>
                      <w:rFonts w:hint="eastAsia"/>
                      <w:b w:val="0"/>
                      <w:bCs/>
                      <w:color w:val="auto"/>
                      <w:sz w:val="21"/>
                      <w:szCs w:val="21"/>
                    </w:rPr>
                  </w:pPr>
                </w:p>
              </w:tc>
              <w:tc>
                <w:tcPr>
                  <w:tcW w:w="1121" w:type="dxa"/>
                  <w:noWrap w:val="0"/>
                  <w:vAlign w:val="center"/>
                </w:tcPr>
                <w:p w14:paraId="20AA4C0E">
                  <w:pPr>
                    <w:spacing w:line="240" w:lineRule="auto"/>
                    <w:ind w:firstLine="0" w:firstLineChars="0"/>
                    <w:jc w:val="center"/>
                    <w:rPr>
                      <w:rFonts w:hint="eastAsia" w:eastAsia="宋体"/>
                      <w:b w:val="0"/>
                      <w:bCs/>
                      <w:color w:val="auto"/>
                      <w:sz w:val="21"/>
                      <w:szCs w:val="21"/>
                      <w:lang w:val="en-US" w:eastAsia="zh-CN"/>
                    </w:rPr>
                  </w:pPr>
                  <w:r>
                    <w:rPr>
                      <w:rFonts w:hint="eastAsia"/>
                      <w:b w:val="0"/>
                      <w:bCs/>
                      <w:color w:val="auto"/>
                      <w:sz w:val="21"/>
                      <w:szCs w:val="21"/>
                      <w:lang w:val="en-US" w:eastAsia="zh-CN"/>
                    </w:rPr>
                    <w:t>辅料库房</w:t>
                  </w:r>
                </w:p>
              </w:tc>
              <w:tc>
                <w:tcPr>
                  <w:tcW w:w="6277" w:type="dxa"/>
                  <w:noWrap w:val="0"/>
                  <w:vAlign w:val="center"/>
                </w:tcPr>
                <w:p w14:paraId="31BDE433">
                  <w:pPr>
                    <w:spacing w:line="240" w:lineRule="auto"/>
                    <w:ind w:firstLine="0" w:firstLineChars="0"/>
                    <w:jc w:val="center"/>
                    <w:rPr>
                      <w:rFonts w:hint="eastAsia" w:eastAsia="宋体"/>
                      <w:b w:val="0"/>
                      <w:bCs/>
                      <w:color w:val="auto"/>
                      <w:sz w:val="21"/>
                      <w:szCs w:val="21"/>
                      <w:lang w:val="en-US" w:eastAsia="zh-CN"/>
                    </w:rPr>
                  </w:pPr>
                  <w:r>
                    <w:rPr>
                      <w:rFonts w:hint="eastAsia"/>
                      <w:b w:val="0"/>
                      <w:bCs/>
                      <w:color w:val="auto"/>
                      <w:sz w:val="21"/>
                      <w:szCs w:val="21"/>
                      <w:lang w:val="en-US" w:eastAsia="zh-CN"/>
                    </w:rPr>
                    <w:t>位于密炼车间西侧，建筑面积约50m</w:t>
                  </w:r>
                  <w:r>
                    <w:rPr>
                      <w:rFonts w:hint="eastAsia"/>
                      <w:b w:val="0"/>
                      <w:bCs/>
                      <w:color w:val="auto"/>
                      <w:sz w:val="21"/>
                      <w:szCs w:val="21"/>
                      <w:vertAlign w:val="superscript"/>
                      <w:lang w:val="en-US" w:eastAsia="zh-CN"/>
                    </w:rPr>
                    <w:t>2</w:t>
                  </w:r>
                  <w:r>
                    <w:rPr>
                      <w:rFonts w:hint="eastAsia"/>
                      <w:b w:val="0"/>
                      <w:bCs/>
                      <w:color w:val="auto"/>
                      <w:sz w:val="21"/>
                      <w:szCs w:val="21"/>
                      <w:lang w:val="en-US" w:eastAsia="zh-CN"/>
                    </w:rPr>
                    <w:t>，用于炭黑、防老剂、胶粘剂等</w:t>
                  </w:r>
                  <w:r>
                    <w:rPr>
                      <w:rFonts w:hint="eastAsia" w:cs="Times New Roman"/>
                      <w:bCs/>
                      <w:color w:val="auto"/>
                      <w:sz w:val="21"/>
                      <w:szCs w:val="21"/>
                      <w:lang w:val="en-US" w:eastAsia="zh-CN"/>
                    </w:rPr>
                    <w:t>辅料</w:t>
                  </w:r>
                  <w:r>
                    <w:rPr>
                      <w:rFonts w:hint="eastAsia"/>
                      <w:b w:val="0"/>
                      <w:bCs/>
                      <w:color w:val="auto"/>
                      <w:sz w:val="21"/>
                      <w:szCs w:val="21"/>
                      <w:lang w:val="en-US" w:eastAsia="zh-CN"/>
                    </w:rPr>
                    <w:t>暂存</w:t>
                  </w:r>
                </w:p>
              </w:tc>
            </w:tr>
            <w:tr w14:paraId="44B3E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Merge w:val="continue"/>
                  <w:noWrap w:val="0"/>
                  <w:vAlign w:val="center"/>
                </w:tcPr>
                <w:p w14:paraId="2010ADA2">
                  <w:pPr>
                    <w:spacing w:line="240" w:lineRule="auto"/>
                    <w:ind w:firstLine="0" w:firstLineChars="0"/>
                    <w:jc w:val="center"/>
                    <w:rPr>
                      <w:rFonts w:hint="eastAsia"/>
                      <w:b w:val="0"/>
                      <w:bCs/>
                      <w:color w:val="auto"/>
                      <w:sz w:val="21"/>
                      <w:szCs w:val="21"/>
                    </w:rPr>
                  </w:pPr>
                </w:p>
              </w:tc>
              <w:tc>
                <w:tcPr>
                  <w:tcW w:w="1121" w:type="dxa"/>
                  <w:noWrap w:val="0"/>
                  <w:vAlign w:val="center"/>
                </w:tcPr>
                <w:p w14:paraId="22F60F9D">
                  <w:pPr>
                    <w:spacing w:line="240" w:lineRule="auto"/>
                    <w:ind w:firstLine="0" w:firstLineChars="0"/>
                    <w:jc w:val="center"/>
                    <w:rPr>
                      <w:rFonts w:hint="eastAsia" w:ascii="Times New Roman" w:hAnsi="Times New Roman" w:eastAsia="宋体" w:cs="Times New Roman"/>
                      <w:b w:val="0"/>
                      <w:bCs/>
                      <w:color w:val="auto"/>
                      <w:kern w:val="2"/>
                      <w:sz w:val="21"/>
                      <w:szCs w:val="21"/>
                      <w:lang w:val="en-US" w:eastAsia="zh-CN" w:bidi="ar-SA"/>
                    </w:rPr>
                  </w:pPr>
                  <w:r>
                    <w:rPr>
                      <w:rFonts w:hint="eastAsia"/>
                      <w:b w:val="0"/>
                      <w:bCs/>
                      <w:color w:val="auto"/>
                      <w:sz w:val="21"/>
                      <w:szCs w:val="21"/>
                      <w:lang w:val="en-US" w:eastAsia="zh-CN"/>
                    </w:rPr>
                    <w:t>硫磺防爆间</w:t>
                  </w:r>
                </w:p>
              </w:tc>
              <w:tc>
                <w:tcPr>
                  <w:tcW w:w="6277" w:type="dxa"/>
                  <w:noWrap w:val="0"/>
                  <w:vAlign w:val="center"/>
                </w:tcPr>
                <w:p w14:paraId="0593334E">
                  <w:pPr>
                    <w:spacing w:line="240" w:lineRule="auto"/>
                    <w:ind w:firstLine="0" w:firstLineChars="0"/>
                    <w:jc w:val="center"/>
                    <w:rPr>
                      <w:rFonts w:hint="eastAsia" w:ascii="Times New Roman" w:hAnsi="Times New Roman" w:eastAsia="宋体" w:cs="Times New Roman"/>
                      <w:b w:val="0"/>
                      <w:bCs/>
                      <w:color w:val="auto"/>
                      <w:kern w:val="2"/>
                      <w:sz w:val="21"/>
                      <w:szCs w:val="21"/>
                      <w:lang w:val="en-US" w:eastAsia="zh-CN" w:bidi="ar-SA"/>
                    </w:rPr>
                  </w:pPr>
                  <w:r>
                    <w:rPr>
                      <w:rFonts w:hint="eastAsia"/>
                      <w:b w:val="0"/>
                      <w:bCs/>
                      <w:color w:val="auto"/>
                      <w:sz w:val="21"/>
                      <w:szCs w:val="21"/>
                      <w:lang w:val="en-US" w:eastAsia="zh-CN"/>
                    </w:rPr>
                    <w:t>硫磺防爆间位于密炼车间外西侧，建筑面积约20m</w:t>
                  </w:r>
                  <w:r>
                    <w:rPr>
                      <w:rFonts w:hint="eastAsia"/>
                      <w:b w:val="0"/>
                      <w:bCs/>
                      <w:color w:val="auto"/>
                      <w:sz w:val="21"/>
                      <w:szCs w:val="21"/>
                      <w:vertAlign w:val="superscript"/>
                      <w:lang w:val="en-US" w:eastAsia="zh-CN"/>
                    </w:rPr>
                    <w:t>2</w:t>
                  </w:r>
                  <w:r>
                    <w:rPr>
                      <w:rFonts w:hint="eastAsia"/>
                      <w:b w:val="0"/>
                      <w:bCs/>
                      <w:color w:val="auto"/>
                      <w:sz w:val="21"/>
                      <w:szCs w:val="21"/>
                      <w:lang w:val="en-US" w:eastAsia="zh-CN"/>
                    </w:rPr>
                    <w:t>，用于硫磺暂存</w:t>
                  </w:r>
                </w:p>
              </w:tc>
            </w:tr>
            <w:tr w14:paraId="6C8DB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Merge w:val="restart"/>
                  <w:noWrap w:val="0"/>
                  <w:vAlign w:val="center"/>
                </w:tcPr>
                <w:p w14:paraId="7926B695">
                  <w:pPr>
                    <w:spacing w:line="240" w:lineRule="auto"/>
                    <w:ind w:firstLine="0" w:firstLineChars="0"/>
                    <w:jc w:val="center"/>
                    <w:rPr>
                      <w:rFonts w:hint="eastAsia" w:eastAsia="宋体"/>
                      <w:b w:val="0"/>
                      <w:bCs/>
                      <w:color w:val="auto"/>
                      <w:sz w:val="21"/>
                      <w:szCs w:val="21"/>
                      <w:lang w:val="en-US" w:eastAsia="zh-CN"/>
                    </w:rPr>
                  </w:pPr>
                  <w:r>
                    <w:rPr>
                      <w:rFonts w:hint="eastAsia"/>
                      <w:b w:val="0"/>
                      <w:bCs/>
                      <w:color w:val="auto"/>
                      <w:sz w:val="21"/>
                      <w:szCs w:val="21"/>
                      <w:lang w:val="en-US" w:eastAsia="zh-CN"/>
                    </w:rPr>
                    <w:t>公用工程</w:t>
                  </w:r>
                </w:p>
              </w:tc>
              <w:tc>
                <w:tcPr>
                  <w:tcW w:w="1121" w:type="dxa"/>
                  <w:shd w:val="clear" w:color="auto" w:fill="auto"/>
                  <w:noWrap w:val="0"/>
                  <w:vAlign w:val="center"/>
                </w:tcPr>
                <w:p w14:paraId="09B35EFA">
                  <w:pPr>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供电</w:t>
                  </w:r>
                </w:p>
              </w:tc>
              <w:tc>
                <w:tcPr>
                  <w:tcW w:w="6277" w:type="dxa"/>
                  <w:shd w:val="clear" w:color="auto" w:fill="auto"/>
                  <w:noWrap w:val="0"/>
                  <w:vAlign w:val="center"/>
                </w:tcPr>
                <w:p w14:paraId="02E46464">
                  <w:pPr>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由淮北市杜集区石台镇市政电网供电所提供</w:t>
                  </w:r>
                  <w:r>
                    <w:rPr>
                      <w:rFonts w:hint="eastAsia" w:cs="Times New Roman"/>
                      <w:bCs/>
                      <w:color w:val="auto"/>
                      <w:sz w:val="21"/>
                      <w:szCs w:val="21"/>
                      <w:lang w:val="en-US" w:eastAsia="zh-CN"/>
                    </w:rPr>
                    <w:t>，年用电量284.4万度/年</w:t>
                  </w:r>
                </w:p>
              </w:tc>
            </w:tr>
            <w:tr w14:paraId="4CBED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Merge w:val="continue"/>
                  <w:noWrap w:val="0"/>
                  <w:vAlign w:val="center"/>
                </w:tcPr>
                <w:p w14:paraId="7BC3BB5F">
                  <w:pPr>
                    <w:spacing w:line="240" w:lineRule="auto"/>
                    <w:ind w:firstLine="0" w:firstLineChars="0"/>
                    <w:jc w:val="center"/>
                    <w:rPr>
                      <w:rFonts w:hint="eastAsia"/>
                      <w:b w:val="0"/>
                      <w:bCs/>
                      <w:color w:val="auto"/>
                      <w:sz w:val="21"/>
                      <w:szCs w:val="21"/>
                    </w:rPr>
                  </w:pPr>
                </w:p>
              </w:tc>
              <w:tc>
                <w:tcPr>
                  <w:tcW w:w="1121" w:type="dxa"/>
                  <w:shd w:val="clear" w:color="auto" w:fill="auto"/>
                  <w:noWrap w:val="0"/>
                  <w:vAlign w:val="center"/>
                </w:tcPr>
                <w:p w14:paraId="1DFBAF9F">
                  <w:pPr>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供水</w:t>
                  </w:r>
                </w:p>
              </w:tc>
              <w:tc>
                <w:tcPr>
                  <w:tcW w:w="6277" w:type="dxa"/>
                  <w:shd w:val="clear" w:color="auto" w:fill="auto"/>
                  <w:noWrap w:val="0"/>
                  <w:vAlign w:val="center"/>
                </w:tcPr>
                <w:p w14:paraId="2B6D1D18">
                  <w:pPr>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由淮北市杜集区石台镇市政供水管网供给</w:t>
                  </w:r>
                  <w:r>
                    <w:rPr>
                      <w:rFonts w:hint="eastAsia" w:cs="Times New Roman"/>
                      <w:bCs/>
                      <w:color w:val="auto"/>
                      <w:sz w:val="21"/>
                      <w:szCs w:val="21"/>
                      <w:lang w:val="en-US" w:eastAsia="zh-CN"/>
                    </w:rPr>
                    <w:t>，项目用水量为4432.5m</w:t>
                  </w:r>
                  <w:r>
                    <w:rPr>
                      <w:rFonts w:hint="eastAsia" w:cs="Times New Roman"/>
                      <w:bCs/>
                      <w:color w:val="auto"/>
                      <w:sz w:val="21"/>
                      <w:szCs w:val="21"/>
                      <w:vertAlign w:val="superscript"/>
                      <w:lang w:val="en-US" w:eastAsia="zh-CN"/>
                    </w:rPr>
                    <w:t>3</w:t>
                  </w:r>
                  <w:r>
                    <w:rPr>
                      <w:rFonts w:hint="eastAsia" w:cs="Times New Roman"/>
                      <w:bCs/>
                      <w:color w:val="auto"/>
                      <w:sz w:val="21"/>
                      <w:szCs w:val="21"/>
                      <w:lang w:val="en-US" w:eastAsia="zh-CN"/>
                    </w:rPr>
                    <w:t>/a</w:t>
                  </w:r>
                </w:p>
              </w:tc>
            </w:tr>
            <w:tr w14:paraId="4FD7E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Merge w:val="continue"/>
                  <w:noWrap w:val="0"/>
                  <w:vAlign w:val="center"/>
                </w:tcPr>
                <w:p w14:paraId="4FF9108C">
                  <w:pPr>
                    <w:spacing w:line="240" w:lineRule="auto"/>
                    <w:ind w:firstLine="0" w:firstLineChars="0"/>
                    <w:jc w:val="center"/>
                    <w:rPr>
                      <w:rFonts w:hint="eastAsia"/>
                      <w:b w:val="0"/>
                      <w:bCs/>
                      <w:color w:val="auto"/>
                      <w:sz w:val="21"/>
                      <w:szCs w:val="21"/>
                    </w:rPr>
                  </w:pPr>
                </w:p>
              </w:tc>
              <w:tc>
                <w:tcPr>
                  <w:tcW w:w="1121" w:type="dxa"/>
                  <w:shd w:val="clear" w:color="auto" w:fill="auto"/>
                  <w:noWrap w:val="0"/>
                  <w:vAlign w:val="center"/>
                </w:tcPr>
                <w:p w14:paraId="3805B946">
                  <w:pPr>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排水</w:t>
                  </w:r>
                </w:p>
              </w:tc>
              <w:tc>
                <w:tcPr>
                  <w:tcW w:w="6277" w:type="dxa"/>
                  <w:shd w:val="clear" w:color="auto" w:fill="auto"/>
                  <w:noWrap w:val="0"/>
                  <w:vAlign w:val="center"/>
                </w:tcPr>
                <w:p w14:paraId="0E80510B">
                  <w:pPr>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采取雨、污分流制，雨水排入市政雨水管网，废水经预处理后满足排放标准后经</w:t>
                  </w:r>
                  <w:r>
                    <w:rPr>
                      <w:rFonts w:hint="eastAsia" w:cs="Times New Roman"/>
                      <w:bCs/>
                      <w:color w:val="auto"/>
                      <w:sz w:val="21"/>
                      <w:szCs w:val="21"/>
                      <w:lang w:val="en-US" w:eastAsia="zh-CN"/>
                    </w:rPr>
                    <w:t>园区</w:t>
                  </w:r>
                  <w:r>
                    <w:rPr>
                      <w:rFonts w:hint="eastAsia" w:ascii="Times New Roman" w:hAnsi="Times New Roman" w:eastAsia="宋体" w:cs="Times New Roman"/>
                      <w:bCs/>
                      <w:color w:val="auto"/>
                      <w:sz w:val="21"/>
                      <w:szCs w:val="21"/>
                      <w:lang w:val="en-US" w:eastAsia="zh-CN"/>
                    </w:rPr>
                    <w:t>污水总排口（DW001）进入市政污水管网并排入龙湖污水处理厂深度处理</w:t>
                  </w:r>
                  <w:r>
                    <w:rPr>
                      <w:rFonts w:hint="eastAsia" w:cs="Times New Roman"/>
                      <w:bCs/>
                      <w:color w:val="auto"/>
                      <w:sz w:val="21"/>
                      <w:szCs w:val="21"/>
                      <w:lang w:val="en-US" w:eastAsia="zh-CN"/>
                    </w:rPr>
                    <w:t>，项目排水量为2082.9m</w:t>
                  </w:r>
                  <w:r>
                    <w:rPr>
                      <w:rFonts w:hint="eastAsia" w:cs="Times New Roman"/>
                      <w:bCs/>
                      <w:color w:val="auto"/>
                      <w:sz w:val="21"/>
                      <w:szCs w:val="21"/>
                      <w:vertAlign w:val="superscript"/>
                      <w:lang w:val="en-US" w:eastAsia="zh-CN"/>
                    </w:rPr>
                    <w:t>3</w:t>
                  </w:r>
                  <w:r>
                    <w:rPr>
                      <w:rFonts w:hint="eastAsia" w:cs="Times New Roman"/>
                      <w:bCs/>
                      <w:color w:val="auto"/>
                      <w:sz w:val="21"/>
                      <w:szCs w:val="21"/>
                      <w:lang w:val="en-US" w:eastAsia="zh-CN"/>
                    </w:rPr>
                    <w:t>/a</w:t>
                  </w:r>
                </w:p>
              </w:tc>
            </w:tr>
            <w:tr w14:paraId="0C645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Merge w:val="restart"/>
                  <w:noWrap w:val="0"/>
                  <w:vAlign w:val="center"/>
                </w:tcPr>
                <w:p w14:paraId="58728BCD">
                  <w:pPr>
                    <w:spacing w:line="240" w:lineRule="auto"/>
                    <w:ind w:firstLine="0" w:firstLineChars="0"/>
                    <w:jc w:val="center"/>
                    <w:rPr>
                      <w:rFonts w:hint="eastAsia"/>
                      <w:b w:val="0"/>
                      <w:bCs/>
                      <w:color w:val="auto"/>
                      <w:sz w:val="21"/>
                      <w:szCs w:val="21"/>
                    </w:rPr>
                  </w:pPr>
                  <w:r>
                    <w:rPr>
                      <w:rFonts w:hint="eastAsia"/>
                      <w:bCs/>
                      <w:color w:val="auto"/>
                      <w:sz w:val="21"/>
                      <w:szCs w:val="21"/>
                    </w:rPr>
                    <w:t>环保工程</w:t>
                  </w:r>
                </w:p>
              </w:tc>
              <w:tc>
                <w:tcPr>
                  <w:tcW w:w="1121" w:type="dxa"/>
                  <w:vMerge w:val="restart"/>
                  <w:noWrap w:val="0"/>
                  <w:vAlign w:val="center"/>
                </w:tcPr>
                <w:p w14:paraId="529ABE74">
                  <w:pPr>
                    <w:spacing w:line="240" w:lineRule="auto"/>
                    <w:ind w:firstLine="0" w:firstLineChars="0"/>
                    <w:jc w:val="center"/>
                    <w:rPr>
                      <w:rFonts w:hint="default"/>
                      <w:b w:val="0"/>
                      <w:bCs/>
                      <w:color w:val="auto"/>
                      <w:sz w:val="21"/>
                      <w:szCs w:val="21"/>
                      <w:lang w:val="en-US" w:eastAsia="zh-CN"/>
                    </w:rPr>
                  </w:pPr>
                  <w:r>
                    <w:rPr>
                      <w:rFonts w:hint="eastAsia"/>
                      <w:b w:val="0"/>
                      <w:bCs/>
                      <w:color w:val="auto"/>
                      <w:sz w:val="21"/>
                      <w:szCs w:val="21"/>
                      <w:lang w:val="en-US" w:eastAsia="zh-CN"/>
                    </w:rPr>
                    <w:t>废气治理工程</w:t>
                  </w:r>
                </w:p>
              </w:tc>
              <w:tc>
                <w:tcPr>
                  <w:tcW w:w="6277" w:type="dxa"/>
                  <w:noWrap w:val="0"/>
                  <w:vAlign w:val="center"/>
                </w:tcPr>
                <w:p w14:paraId="12E836CC">
                  <w:pPr>
                    <w:spacing w:line="240" w:lineRule="auto"/>
                    <w:ind w:firstLine="0" w:firstLineChars="0"/>
                    <w:jc w:val="center"/>
                    <w:rPr>
                      <w:rFonts w:hint="eastAsia"/>
                      <w:bCs/>
                      <w:color w:val="auto"/>
                      <w:sz w:val="21"/>
                      <w:szCs w:val="18"/>
                      <w:lang w:val="en-US" w:eastAsia="zh-CN"/>
                    </w:rPr>
                  </w:pPr>
                  <w:r>
                    <w:rPr>
                      <w:rFonts w:hint="eastAsia"/>
                      <w:bCs/>
                      <w:color w:val="auto"/>
                      <w:sz w:val="21"/>
                      <w:szCs w:val="18"/>
                      <w:lang w:val="en-US" w:eastAsia="zh-CN"/>
                    </w:rPr>
                    <w:t>配料粉尘经密闭配料室集风管收集、投料粉尘经投料口上方集气罩收集，布袋除尘器+二级活性炭吸附装置处理后经15m高排气筒（DA001）排放；</w:t>
                  </w:r>
                </w:p>
                <w:p w14:paraId="50243A4A">
                  <w:pPr>
                    <w:spacing w:line="240" w:lineRule="auto"/>
                    <w:ind w:firstLine="0" w:firstLineChars="0"/>
                    <w:jc w:val="center"/>
                    <w:rPr>
                      <w:rFonts w:hint="eastAsia"/>
                      <w:b w:val="0"/>
                      <w:bCs/>
                      <w:color w:val="auto"/>
                      <w:sz w:val="21"/>
                      <w:szCs w:val="21"/>
                      <w:lang w:val="en-US" w:eastAsia="zh-CN"/>
                    </w:rPr>
                  </w:pPr>
                  <w:r>
                    <w:rPr>
                      <w:rFonts w:hint="eastAsia"/>
                      <w:bCs/>
                      <w:color w:val="auto"/>
                      <w:sz w:val="21"/>
                      <w:szCs w:val="18"/>
                      <w:lang w:val="en-US" w:eastAsia="zh-CN"/>
                    </w:rPr>
                    <w:t>密炼、开炼废气</w:t>
                  </w:r>
                  <w:r>
                    <w:rPr>
                      <w:rFonts w:hint="eastAsia"/>
                      <w:bCs/>
                      <w:color w:val="auto"/>
                      <w:sz w:val="21"/>
                      <w:szCs w:val="18"/>
                      <w:lang w:eastAsia="zh-CN"/>
                    </w:rPr>
                    <w:t>经</w:t>
                  </w:r>
                  <w:r>
                    <w:rPr>
                      <w:rFonts w:hint="eastAsia"/>
                      <w:bCs/>
                      <w:color w:val="auto"/>
                      <w:sz w:val="21"/>
                      <w:szCs w:val="18"/>
                      <w:lang w:val="en-US" w:eastAsia="zh-CN"/>
                    </w:rPr>
                    <w:t>设备上方集气罩+软帘收集，布袋除尘器+二级活性炭吸附装置处理后经15m高排气筒（DA001）排放</w:t>
                  </w:r>
                </w:p>
              </w:tc>
            </w:tr>
            <w:tr w14:paraId="3F6B6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Merge w:val="continue"/>
                  <w:noWrap w:val="0"/>
                  <w:vAlign w:val="center"/>
                </w:tcPr>
                <w:p w14:paraId="7927E294">
                  <w:pPr>
                    <w:spacing w:line="240" w:lineRule="auto"/>
                    <w:ind w:firstLine="0" w:firstLineChars="0"/>
                    <w:jc w:val="center"/>
                    <w:rPr>
                      <w:rFonts w:hint="eastAsia"/>
                      <w:bCs/>
                      <w:color w:val="auto"/>
                      <w:sz w:val="21"/>
                      <w:szCs w:val="21"/>
                    </w:rPr>
                  </w:pPr>
                </w:p>
              </w:tc>
              <w:tc>
                <w:tcPr>
                  <w:tcW w:w="1121" w:type="dxa"/>
                  <w:vMerge w:val="continue"/>
                  <w:noWrap w:val="0"/>
                  <w:vAlign w:val="center"/>
                </w:tcPr>
                <w:p w14:paraId="4BE151F2">
                  <w:pPr>
                    <w:spacing w:line="240" w:lineRule="auto"/>
                    <w:ind w:firstLine="0" w:firstLineChars="0"/>
                    <w:jc w:val="center"/>
                    <w:rPr>
                      <w:rFonts w:hint="eastAsia"/>
                      <w:b w:val="0"/>
                      <w:bCs/>
                      <w:color w:val="auto"/>
                      <w:sz w:val="21"/>
                      <w:szCs w:val="21"/>
                      <w:lang w:val="en-US" w:eastAsia="zh-CN"/>
                    </w:rPr>
                  </w:pPr>
                </w:p>
              </w:tc>
              <w:tc>
                <w:tcPr>
                  <w:tcW w:w="6277" w:type="dxa"/>
                  <w:noWrap w:val="0"/>
                  <w:vAlign w:val="center"/>
                </w:tcPr>
                <w:p w14:paraId="557A71C8">
                  <w:pPr>
                    <w:spacing w:line="240" w:lineRule="auto"/>
                    <w:ind w:firstLine="0" w:firstLineChars="0"/>
                    <w:jc w:val="center"/>
                    <w:rPr>
                      <w:rFonts w:hint="eastAsia"/>
                      <w:bCs/>
                      <w:color w:val="auto"/>
                      <w:sz w:val="21"/>
                      <w:szCs w:val="18"/>
                      <w:lang w:eastAsia="zh-CN"/>
                    </w:rPr>
                  </w:pPr>
                  <w:r>
                    <w:rPr>
                      <w:rFonts w:hint="eastAsia"/>
                      <w:bCs/>
                      <w:color w:val="auto"/>
                      <w:sz w:val="21"/>
                      <w:szCs w:val="18"/>
                      <w:lang w:val="en-US" w:eastAsia="zh-CN"/>
                    </w:rPr>
                    <w:t>剪切粉尘经设备上方集气罩收集、喷砂粉尘经密闭设备内部集风管收集，布袋除尘器处理后经15m高排气筒（DA002）排放</w:t>
                  </w:r>
                </w:p>
              </w:tc>
            </w:tr>
            <w:tr w14:paraId="614AD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Merge w:val="continue"/>
                  <w:noWrap w:val="0"/>
                  <w:vAlign w:val="center"/>
                </w:tcPr>
                <w:p w14:paraId="1C8193D8">
                  <w:pPr>
                    <w:spacing w:line="240" w:lineRule="auto"/>
                    <w:ind w:firstLine="0" w:firstLineChars="0"/>
                    <w:jc w:val="center"/>
                    <w:rPr>
                      <w:rFonts w:hint="eastAsia"/>
                      <w:bCs/>
                      <w:color w:val="auto"/>
                      <w:sz w:val="21"/>
                      <w:szCs w:val="21"/>
                    </w:rPr>
                  </w:pPr>
                </w:p>
              </w:tc>
              <w:tc>
                <w:tcPr>
                  <w:tcW w:w="1121" w:type="dxa"/>
                  <w:vMerge w:val="continue"/>
                  <w:noWrap w:val="0"/>
                  <w:vAlign w:val="center"/>
                </w:tcPr>
                <w:p w14:paraId="010529AE">
                  <w:pPr>
                    <w:spacing w:line="240" w:lineRule="auto"/>
                    <w:ind w:firstLine="0" w:firstLineChars="0"/>
                    <w:jc w:val="center"/>
                    <w:rPr>
                      <w:rFonts w:hint="eastAsia"/>
                      <w:b w:val="0"/>
                      <w:bCs/>
                      <w:color w:val="auto"/>
                      <w:sz w:val="21"/>
                      <w:szCs w:val="21"/>
                      <w:lang w:val="en-US" w:eastAsia="zh-CN"/>
                    </w:rPr>
                  </w:pPr>
                </w:p>
              </w:tc>
              <w:tc>
                <w:tcPr>
                  <w:tcW w:w="6277" w:type="dxa"/>
                  <w:noWrap w:val="0"/>
                  <w:vAlign w:val="center"/>
                </w:tcPr>
                <w:p w14:paraId="1F286B62">
                  <w:pPr>
                    <w:spacing w:line="240" w:lineRule="auto"/>
                    <w:ind w:firstLine="0" w:firstLineChars="0"/>
                    <w:jc w:val="center"/>
                    <w:rPr>
                      <w:rFonts w:hint="eastAsia"/>
                      <w:bCs/>
                      <w:color w:val="auto"/>
                      <w:sz w:val="21"/>
                      <w:szCs w:val="18"/>
                      <w:lang w:eastAsia="zh-CN"/>
                    </w:rPr>
                  </w:pPr>
                  <w:r>
                    <w:rPr>
                      <w:rFonts w:hint="eastAsia"/>
                      <w:bCs/>
                      <w:color w:val="auto"/>
                      <w:sz w:val="21"/>
                      <w:szCs w:val="18"/>
                      <w:lang w:val="en-US" w:eastAsia="zh-CN"/>
                    </w:rPr>
                    <w:t>涂胶废气经密闭涂胶间集风管收集、硫化废气经设备上方集气罩+软帘收集，二级活性炭吸附装置处理后经15m高排气筒（DA003）排放</w:t>
                  </w:r>
                </w:p>
              </w:tc>
            </w:tr>
            <w:tr w14:paraId="010C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Merge w:val="continue"/>
                  <w:noWrap w:val="0"/>
                  <w:vAlign w:val="center"/>
                </w:tcPr>
                <w:p w14:paraId="135271C6">
                  <w:pPr>
                    <w:spacing w:line="240" w:lineRule="auto"/>
                    <w:ind w:firstLine="0" w:firstLineChars="0"/>
                    <w:jc w:val="center"/>
                    <w:rPr>
                      <w:rFonts w:hint="eastAsia"/>
                      <w:b w:val="0"/>
                      <w:bCs/>
                      <w:color w:val="auto"/>
                      <w:sz w:val="21"/>
                      <w:szCs w:val="21"/>
                    </w:rPr>
                  </w:pPr>
                </w:p>
              </w:tc>
              <w:tc>
                <w:tcPr>
                  <w:tcW w:w="1121" w:type="dxa"/>
                  <w:shd w:val="clear" w:color="auto" w:fill="auto"/>
                  <w:noWrap w:val="0"/>
                  <w:vAlign w:val="center"/>
                </w:tcPr>
                <w:p w14:paraId="50C46DF4">
                  <w:pPr>
                    <w:spacing w:line="240" w:lineRule="auto"/>
                    <w:ind w:firstLine="0" w:firstLineChars="0"/>
                    <w:jc w:val="center"/>
                    <w:rPr>
                      <w:rFonts w:hint="eastAsia" w:ascii="Times New Roman" w:hAnsi="Times New Roman" w:eastAsia="宋体" w:cs="Times New Roman"/>
                      <w:bCs/>
                      <w:color w:val="auto"/>
                      <w:kern w:val="2"/>
                      <w:sz w:val="21"/>
                      <w:szCs w:val="18"/>
                      <w:lang w:val="en-US" w:eastAsia="zh-CN" w:bidi="ar-SA"/>
                    </w:rPr>
                  </w:pPr>
                  <w:r>
                    <w:rPr>
                      <w:rFonts w:hint="eastAsia"/>
                      <w:bCs/>
                      <w:color w:val="auto"/>
                      <w:sz w:val="21"/>
                      <w:szCs w:val="18"/>
                    </w:rPr>
                    <w:t>废水治理工程</w:t>
                  </w:r>
                </w:p>
              </w:tc>
              <w:tc>
                <w:tcPr>
                  <w:tcW w:w="6277" w:type="dxa"/>
                  <w:shd w:val="clear" w:color="auto" w:fill="auto"/>
                  <w:noWrap w:val="0"/>
                  <w:vAlign w:val="center"/>
                </w:tcPr>
                <w:p w14:paraId="2B527619">
                  <w:pPr>
                    <w:spacing w:line="240" w:lineRule="auto"/>
                    <w:ind w:firstLine="0" w:firstLineChars="0"/>
                    <w:jc w:val="center"/>
                    <w:rPr>
                      <w:rFonts w:hint="eastAsia" w:ascii="Times New Roman" w:hAnsi="Times New Roman" w:eastAsia="宋体" w:cs="Times New Roman"/>
                      <w:bCs/>
                      <w:color w:val="auto"/>
                      <w:kern w:val="2"/>
                      <w:sz w:val="21"/>
                      <w:szCs w:val="18"/>
                      <w:lang w:val="en-US" w:eastAsia="zh-CN" w:bidi="ar-SA"/>
                    </w:rPr>
                  </w:pPr>
                  <w:r>
                    <w:rPr>
                      <w:rFonts w:hint="default"/>
                      <w:bCs/>
                      <w:color w:val="auto"/>
                      <w:kern w:val="2"/>
                      <w:sz w:val="21"/>
                      <w:szCs w:val="18"/>
                      <w:lang w:val="en-US" w:eastAsia="zh-CN" w:bidi="ar-SA"/>
                    </w:rPr>
                    <w:t>生活污水</w:t>
                  </w:r>
                  <w:r>
                    <w:rPr>
                      <w:rFonts w:hint="eastAsia"/>
                      <w:bCs/>
                      <w:color w:val="auto"/>
                      <w:kern w:val="2"/>
                      <w:sz w:val="21"/>
                      <w:szCs w:val="18"/>
                      <w:lang w:val="en-US" w:eastAsia="zh-CN" w:bidi="ar-SA"/>
                    </w:rPr>
                    <w:t>、保洁废水</w:t>
                  </w:r>
                  <w:r>
                    <w:rPr>
                      <w:rFonts w:hint="default"/>
                      <w:bCs/>
                      <w:color w:val="auto"/>
                      <w:kern w:val="2"/>
                      <w:sz w:val="21"/>
                      <w:szCs w:val="18"/>
                      <w:lang w:val="en-US" w:eastAsia="zh-CN" w:bidi="ar-SA"/>
                    </w:rPr>
                    <w:t>经化粪池预处理后</w:t>
                  </w:r>
                  <w:r>
                    <w:rPr>
                      <w:rFonts w:hint="eastAsia"/>
                      <w:bCs/>
                      <w:color w:val="auto"/>
                      <w:kern w:val="2"/>
                      <w:sz w:val="21"/>
                      <w:szCs w:val="18"/>
                      <w:lang w:val="en-US" w:eastAsia="zh-CN" w:bidi="ar-SA"/>
                    </w:rPr>
                    <w:t>，汇同循环冷却系统排水</w:t>
                  </w:r>
                  <w:r>
                    <w:rPr>
                      <w:rFonts w:hint="default"/>
                      <w:bCs/>
                      <w:color w:val="auto"/>
                      <w:kern w:val="2"/>
                      <w:sz w:val="21"/>
                      <w:szCs w:val="18"/>
                      <w:lang w:val="en-US" w:eastAsia="zh-CN" w:bidi="ar-SA"/>
                    </w:rPr>
                    <w:t>满足排放标准后排</w:t>
                  </w:r>
                  <w:r>
                    <w:rPr>
                      <w:rFonts w:hint="eastAsia"/>
                      <w:bCs/>
                      <w:color w:val="auto"/>
                      <w:kern w:val="2"/>
                      <w:sz w:val="21"/>
                      <w:szCs w:val="18"/>
                      <w:lang w:val="en-US" w:eastAsia="zh-CN" w:bidi="ar-SA"/>
                    </w:rPr>
                    <w:t>入</w:t>
                  </w:r>
                  <w:r>
                    <w:rPr>
                      <w:rFonts w:hint="default"/>
                      <w:bCs/>
                      <w:color w:val="auto"/>
                      <w:kern w:val="2"/>
                      <w:sz w:val="21"/>
                      <w:szCs w:val="18"/>
                      <w:lang w:val="en-US" w:eastAsia="zh-CN" w:bidi="ar-SA"/>
                    </w:rPr>
                    <w:t>市政污水管网，最终进入</w:t>
                  </w:r>
                  <w:r>
                    <w:rPr>
                      <w:rFonts w:hint="eastAsia" w:ascii="Times New Roman" w:hAnsi="Times New Roman" w:eastAsia="宋体" w:cs="Times New Roman"/>
                      <w:bCs/>
                      <w:color w:val="auto"/>
                      <w:sz w:val="21"/>
                      <w:szCs w:val="21"/>
                      <w:lang w:val="en-US" w:eastAsia="zh-CN"/>
                    </w:rPr>
                    <w:t>龙湖污水处理厂</w:t>
                  </w:r>
                  <w:r>
                    <w:rPr>
                      <w:rFonts w:hint="default"/>
                      <w:bCs/>
                      <w:color w:val="auto"/>
                      <w:kern w:val="2"/>
                      <w:sz w:val="21"/>
                      <w:szCs w:val="18"/>
                      <w:lang w:val="en-US" w:eastAsia="zh-CN" w:bidi="ar-SA"/>
                    </w:rPr>
                    <w:t>集中处理</w:t>
                  </w:r>
                </w:p>
              </w:tc>
            </w:tr>
            <w:tr w14:paraId="3A53D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Merge w:val="continue"/>
                  <w:noWrap w:val="0"/>
                  <w:vAlign w:val="center"/>
                </w:tcPr>
                <w:p w14:paraId="00886CDC">
                  <w:pPr>
                    <w:spacing w:line="240" w:lineRule="auto"/>
                    <w:ind w:firstLine="0" w:firstLineChars="0"/>
                    <w:jc w:val="center"/>
                    <w:rPr>
                      <w:rFonts w:hint="eastAsia"/>
                      <w:b w:val="0"/>
                      <w:bCs/>
                      <w:color w:val="auto"/>
                      <w:sz w:val="21"/>
                      <w:szCs w:val="21"/>
                    </w:rPr>
                  </w:pPr>
                </w:p>
              </w:tc>
              <w:tc>
                <w:tcPr>
                  <w:tcW w:w="1121" w:type="dxa"/>
                  <w:shd w:val="clear" w:color="auto" w:fill="auto"/>
                  <w:noWrap w:val="0"/>
                  <w:vAlign w:val="center"/>
                </w:tcPr>
                <w:p w14:paraId="7162F863">
                  <w:pPr>
                    <w:spacing w:line="240" w:lineRule="auto"/>
                    <w:ind w:firstLine="0" w:firstLineChars="0"/>
                    <w:jc w:val="center"/>
                    <w:rPr>
                      <w:rFonts w:hint="eastAsia" w:ascii="Times New Roman" w:hAnsi="Times New Roman" w:eastAsia="宋体" w:cs="Times New Roman"/>
                      <w:bCs/>
                      <w:color w:val="auto"/>
                      <w:kern w:val="2"/>
                      <w:sz w:val="21"/>
                      <w:szCs w:val="18"/>
                      <w:lang w:val="en-US" w:eastAsia="zh-CN" w:bidi="ar-SA"/>
                    </w:rPr>
                  </w:pPr>
                  <w:r>
                    <w:rPr>
                      <w:rFonts w:hint="eastAsia"/>
                      <w:bCs/>
                      <w:color w:val="auto"/>
                      <w:sz w:val="21"/>
                      <w:szCs w:val="18"/>
                    </w:rPr>
                    <w:t>固废治理工程</w:t>
                  </w:r>
                </w:p>
              </w:tc>
              <w:tc>
                <w:tcPr>
                  <w:tcW w:w="6277" w:type="dxa"/>
                  <w:shd w:val="clear" w:color="auto" w:fill="auto"/>
                  <w:noWrap w:val="0"/>
                  <w:vAlign w:val="center"/>
                </w:tcPr>
                <w:p w14:paraId="7620014E">
                  <w:pPr>
                    <w:spacing w:line="240" w:lineRule="auto"/>
                    <w:ind w:firstLine="0" w:firstLineChars="0"/>
                    <w:jc w:val="center"/>
                    <w:rPr>
                      <w:rFonts w:hint="eastAsia" w:ascii="Times New Roman" w:hAnsi="Times New Roman" w:eastAsia="宋体" w:cs="Times New Roman"/>
                      <w:bCs/>
                      <w:color w:val="auto"/>
                      <w:kern w:val="2"/>
                      <w:sz w:val="21"/>
                      <w:szCs w:val="18"/>
                      <w:lang w:val="en-US" w:eastAsia="zh-CN" w:bidi="ar-SA"/>
                    </w:rPr>
                  </w:pPr>
                  <w:r>
                    <w:rPr>
                      <w:rFonts w:hint="eastAsia"/>
                      <w:bCs/>
                      <w:color w:val="auto"/>
                      <w:kern w:val="2"/>
                      <w:sz w:val="21"/>
                      <w:szCs w:val="18"/>
                      <w:lang w:val="en-US" w:eastAsia="zh-CN" w:bidi="ar-SA"/>
                    </w:rPr>
                    <w:t>生活垃圾收集后交由环卫部门处理；废边角料、废铁屑、废包装材料、</w:t>
                  </w:r>
                  <w:r>
                    <w:rPr>
                      <w:rFonts w:hint="eastAsia" w:ascii="Times New Roman" w:hAnsi="Times New Roman"/>
                      <w:color w:val="000000"/>
                      <w:sz w:val="21"/>
                      <w:szCs w:val="21"/>
                      <w:lang w:eastAsia="zh-CN"/>
                    </w:rPr>
                    <w:t>布袋</w:t>
                  </w:r>
                  <w:r>
                    <w:rPr>
                      <w:rFonts w:hint="eastAsia"/>
                      <w:color w:val="000000"/>
                      <w:sz w:val="21"/>
                      <w:szCs w:val="21"/>
                      <w:lang w:val="en-US" w:eastAsia="zh-CN"/>
                    </w:rPr>
                    <w:t>除尘器收集到的粉尘、废布袋、废钢丸等一般固废</w:t>
                  </w:r>
                  <w:r>
                    <w:rPr>
                      <w:rFonts w:hint="eastAsia"/>
                      <w:bCs/>
                      <w:color w:val="auto"/>
                      <w:kern w:val="2"/>
                      <w:sz w:val="21"/>
                      <w:szCs w:val="18"/>
                      <w:lang w:val="en-US" w:eastAsia="zh-CN" w:bidi="ar-SA"/>
                    </w:rPr>
                    <w:t>收集后由厂家或物资公司回收利用；沾染危险</w:t>
                  </w:r>
                  <w:r>
                    <w:rPr>
                      <w:color w:val="auto"/>
                      <w:sz w:val="21"/>
                    </w:rPr>
                    <w:t>化学品的废包装</w:t>
                  </w:r>
                  <w:r>
                    <w:rPr>
                      <w:rFonts w:hint="eastAsia"/>
                      <w:color w:val="auto"/>
                      <w:sz w:val="21"/>
                      <w:lang w:val="en-US" w:eastAsia="zh-CN"/>
                    </w:rPr>
                    <w:t>材料、废活性炭、废润滑油、废润滑油桶等</w:t>
                  </w:r>
                  <w:r>
                    <w:rPr>
                      <w:rFonts w:hint="eastAsia"/>
                      <w:bCs/>
                      <w:color w:val="auto"/>
                      <w:kern w:val="2"/>
                      <w:sz w:val="21"/>
                      <w:szCs w:val="18"/>
                      <w:lang w:val="en-US" w:eastAsia="zh-CN" w:bidi="ar-SA"/>
                    </w:rPr>
                    <w:t>危险废物收集后贮存于危废暂存间（</w:t>
                  </w:r>
                  <w:r>
                    <w:rPr>
                      <w:rFonts w:hint="eastAsia"/>
                      <w:b w:val="0"/>
                      <w:bCs/>
                      <w:color w:val="auto"/>
                      <w:sz w:val="21"/>
                      <w:szCs w:val="21"/>
                      <w:lang w:val="en-US" w:eastAsia="zh-CN"/>
                    </w:rPr>
                    <w:t>位于密炼车间外西侧，建筑面积约20m</w:t>
                  </w:r>
                  <w:r>
                    <w:rPr>
                      <w:rFonts w:hint="eastAsia"/>
                      <w:b w:val="0"/>
                      <w:bCs/>
                      <w:color w:val="auto"/>
                      <w:sz w:val="21"/>
                      <w:szCs w:val="21"/>
                      <w:vertAlign w:val="superscript"/>
                      <w:lang w:val="en-US" w:eastAsia="zh-CN"/>
                    </w:rPr>
                    <w:t>2</w:t>
                  </w:r>
                  <w:r>
                    <w:rPr>
                      <w:rFonts w:hint="eastAsia"/>
                      <w:bCs/>
                      <w:color w:val="auto"/>
                      <w:kern w:val="2"/>
                      <w:sz w:val="21"/>
                      <w:szCs w:val="18"/>
                      <w:lang w:val="en-US" w:eastAsia="zh-CN" w:bidi="ar-SA"/>
                    </w:rPr>
                    <w:t>）内，定期委托有资质单位处置</w:t>
                  </w:r>
                </w:p>
              </w:tc>
            </w:tr>
            <w:tr w14:paraId="5F65E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Merge w:val="continue"/>
                </w:tcPr>
                <w:p w14:paraId="37D8BF1A">
                  <w:pPr>
                    <w:spacing w:line="240" w:lineRule="auto"/>
                    <w:ind w:firstLine="0" w:firstLineChars="0"/>
                    <w:jc w:val="center"/>
                    <w:rPr>
                      <w:rFonts w:hint="eastAsia"/>
                      <w:b w:val="0"/>
                      <w:bCs/>
                      <w:color w:val="auto"/>
                      <w:sz w:val="21"/>
                      <w:szCs w:val="21"/>
                    </w:rPr>
                  </w:pPr>
                </w:p>
              </w:tc>
              <w:tc>
                <w:tcPr>
                  <w:tcW w:w="0" w:type="auto"/>
                  <w:shd w:val="clear" w:color="auto" w:fill="auto"/>
                  <w:vAlign w:val="center"/>
                </w:tcPr>
                <w:p w14:paraId="692CEBF5">
                  <w:pPr>
                    <w:spacing w:line="240" w:lineRule="auto"/>
                    <w:ind w:firstLine="0" w:firstLineChars="0"/>
                    <w:jc w:val="center"/>
                    <w:rPr>
                      <w:rFonts w:hint="eastAsia" w:ascii="Times New Roman" w:hAnsi="Times New Roman" w:eastAsia="宋体" w:cs="Times New Roman"/>
                      <w:bCs/>
                      <w:color w:val="auto"/>
                      <w:kern w:val="2"/>
                      <w:sz w:val="21"/>
                      <w:szCs w:val="18"/>
                      <w:lang w:val="en-US" w:eastAsia="zh-CN" w:bidi="ar-SA"/>
                    </w:rPr>
                  </w:pPr>
                  <w:r>
                    <w:rPr>
                      <w:rFonts w:hint="eastAsia"/>
                      <w:bCs/>
                      <w:color w:val="auto"/>
                      <w:sz w:val="21"/>
                      <w:szCs w:val="18"/>
                    </w:rPr>
                    <w:t>噪声治理工程</w:t>
                  </w:r>
                </w:p>
              </w:tc>
              <w:tc>
                <w:tcPr>
                  <w:tcW w:w="0" w:type="auto"/>
                  <w:shd w:val="clear" w:color="auto" w:fill="auto"/>
                  <w:vAlign w:val="center"/>
                </w:tcPr>
                <w:p w14:paraId="38E39ED5">
                  <w:pPr>
                    <w:spacing w:line="240" w:lineRule="auto"/>
                    <w:ind w:firstLine="0" w:firstLineChars="0"/>
                    <w:jc w:val="center"/>
                    <w:rPr>
                      <w:rFonts w:hint="eastAsia" w:ascii="Times New Roman" w:hAnsi="Times New Roman" w:eastAsia="宋体" w:cs="Times New Roman"/>
                      <w:bCs/>
                      <w:color w:val="auto"/>
                      <w:kern w:val="2"/>
                      <w:sz w:val="21"/>
                      <w:szCs w:val="18"/>
                      <w:lang w:val="en-US" w:eastAsia="zh-CN" w:bidi="ar-SA"/>
                    </w:rPr>
                  </w:pPr>
                  <w:r>
                    <w:rPr>
                      <w:rFonts w:hint="eastAsia"/>
                      <w:bCs/>
                      <w:color w:val="auto"/>
                      <w:sz w:val="21"/>
                      <w:szCs w:val="18"/>
                    </w:rPr>
                    <w:t>采用低噪声设备，合理布局，建筑隔声，基础减振等措施</w:t>
                  </w:r>
                </w:p>
              </w:tc>
            </w:tr>
            <w:tr w14:paraId="4713C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Merge w:val="continue"/>
                </w:tcPr>
                <w:p w14:paraId="4B03FBAB">
                  <w:pPr>
                    <w:spacing w:line="240" w:lineRule="auto"/>
                    <w:ind w:firstLine="0" w:firstLineChars="0"/>
                    <w:jc w:val="center"/>
                    <w:rPr>
                      <w:rFonts w:hint="eastAsia"/>
                      <w:b w:val="0"/>
                      <w:bCs/>
                      <w:color w:val="auto"/>
                      <w:sz w:val="21"/>
                      <w:szCs w:val="21"/>
                    </w:rPr>
                  </w:pPr>
                </w:p>
              </w:tc>
              <w:tc>
                <w:tcPr>
                  <w:tcW w:w="0" w:type="auto"/>
                  <w:shd w:val="clear" w:color="auto" w:fill="auto"/>
                  <w:vAlign w:val="center"/>
                </w:tcPr>
                <w:p w14:paraId="7EE30F55">
                  <w:pPr>
                    <w:spacing w:line="240" w:lineRule="auto"/>
                    <w:ind w:firstLine="0" w:firstLineChars="0"/>
                    <w:jc w:val="center"/>
                    <w:rPr>
                      <w:rFonts w:hint="eastAsia" w:ascii="Times New Roman" w:hAnsi="Times New Roman" w:eastAsia="宋体" w:cs="Times New Roman"/>
                      <w:bCs/>
                      <w:color w:val="auto"/>
                      <w:kern w:val="2"/>
                      <w:sz w:val="21"/>
                      <w:szCs w:val="18"/>
                      <w:lang w:val="en-US" w:eastAsia="zh-CN" w:bidi="ar-SA"/>
                    </w:rPr>
                  </w:pPr>
                  <w:r>
                    <w:rPr>
                      <w:rFonts w:hint="eastAsia"/>
                      <w:bCs/>
                      <w:color w:val="auto"/>
                      <w:sz w:val="21"/>
                      <w:szCs w:val="18"/>
                    </w:rPr>
                    <w:t>地下水及土壤防治工程</w:t>
                  </w:r>
                </w:p>
              </w:tc>
              <w:tc>
                <w:tcPr>
                  <w:tcW w:w="0" w:type="auto"/>
                  <w:shd w:val="clear" w:color="auto" w:fill="auto"/>
                  <w:vAlign w:val="center"/>
                </w:tcPr>
                <w:p w14:paraId="18103C50">
                  <w:pPr>
                    <w:spacing w:line="240" w:lineRule="auto"/>
                    <w:ind w:firstLine="0" w:firstLineChars="0"/>
                    <w:jc w:val="center"/>
                    <w:rPr>
                      <w:rFonts w:hint="default" w:ascii="Times New Roman" w:hAnsi="Times New Roman" w:eastAsia="宋体" w:cs="Times New Roman"/>
                      <w:bCs/>
                      <w:color w:val="auto"/>
                      <w:kern w:val="2"/>
                      <w:sz w:val="21"/>
                      <w:szCs w:val="18"/>
                      <w:lang w:val="en-US" w:eastAsia="zh-CN" w:bidi="ar-SA"/>
                    </w:rPr>
                  </w:pPr>
                  <w:r>
                    <w:rPr>
                      <w:rFonts w:hint="default" w:eastAsia="宋体"/>
                      <w:bCs/>
                      <w:color w:val="auto"/>
                      <w:kern w:val="2"/>
                      <w:sz w:val="21"/>
                      <w:szCs w:val="18"/>
                      <w:lang w:val="en-US" w:eastAsia="zh-CN" w:bidi="ar-SA"/>
                    </w:rPr>
                    <w:t>危废</w:t>
                  </w:r>
                  <w:r>
                    <w:rPr>
                      <w:rFonts w:hint="eastAsia" w:eastAsia="宋体"/>
                      <w:bCs/>
                      <w:color w:val="auto"/>
                      <w:kern w:val="2"/>
                      <w:sz w:val="21"/>
                      <w:szCs w:val="18"/>
                      <w:lang w:val="en-US" w:eastAsia="zh-CN" w:bidi="ar-SA"/>
                    </w:rPr>
                    <w:t>暂存</w:t>
                  </w:r>
                  <w:r>
                    <w:rPr>
                      <w:rFonts w:hint="default" w:eastAsia="宋体"/>
                      <w:bCs/>
                      <w:color w:val="auto"/>
                      <w:kern w:val="2"/>
                      <w:sz w:val="21"/>
                      <w:szCs w:val="18"/>
                      <w:lang w:val="en-US" w:eastAsia="zh-CN" w:bidi="ar-SA"/>
                    </w:rPr>
                    <w:t>间</w:t>
                  </w:r>
                  <w:r>
                    <w:rPr>
                      <w:rFonts w:hint="eastAsia" w:eastAsia="宋体"/>
                      <w:bCs/>
                      <w:color w:val="auto"/>
                      <w:kern w:val="2"/>
                      <w:sz w:val="21"/>
                      <w:szCs w:val="18"/>
                      <w:lang w:val="en-US" w:eastAsia="zh-CN" w:bidi="ar-SA"/>
                    </w:rPr>
                    <w:t>、硫磺防爆间、辅料库房</w:t>
                  </w:r>
                  <w:r>
                    <w:rPr>
                      <w:rFonts w:hint="default" w:eastAsia="宋体"/>
                      <w:bCs/>
                      <w:color w:val="auto"/>
                      <w:kern w:val="2"/>
                      <w:sz w:val="21"/>
                      <w:szCs w:val="18"/>
                      <w:lang w:val="en-US" w:eastAsia="zh-CN" w:bidi="ar-SA"/>
                    </w:rPr>
                    <w:t>地面采取重点防渗措施（等效黏土防渗层Mb≥6.0m，渗透系数K≤10</w:t>
                  </w:r>
                  <w:r>
                    <w:rPr>
                      <w:rFonts w:hint="default" w:eastAsia="宋体"/>
                      <w:bCs/>
                      <w:color w:val="auto"/>
                      <w:kern w:val="2"/>
                      <w:sz w:val="21"/>
                      <w:szCs w:val="18"/>
                      <w:vertAlign w:val="superscript"/>
                      <w:lang w:val="en-US" w:eastAsia="zh-CN" w:bidi="ar-SA"/>
                    </w:rPr>
                    <w:t>-10</w:t>
                  </w:r>
                  <w:r>
                    <w:rPr>
                      <w:rFonts w:hint="default" w:eastAsia="宋体"/>
                      <w:bCs/>
                      <w:color w:val="auto"/>
                      <w:kern w:val="2"/>
                      <w:sz w:val="21"/>
                      <w:szCs w:val="18"/>
                      <w:lang w:val="en-US" w:eastAsia="zh-CN" w:bidi="ar-SA"/>
                    </w:rPr>
                    <w:t>cm/s）；</w:t>
                  </w:r>
                  <w:r>
                    <w:rPr>
                      <w:rFonts w:hint="eastAsia" w:eastAsia="宋体"/>
                      <w:bCs/>
                      <w:color w:val="auto"/>
                      <w:kern w:val="2"/>
                      <w:sz w:val="21"/>
                      <w:szCs w:val="18"/>
                      <w:lang w:val="en-US" w:eastAsia="zh-CN" w:bidi="ar-SA"/>
                    </w:rPr>
                    <w:t>车间其他区域</w:t>
                  </w:r>
                  <w:r>
                    <w:rPr>
                      <w:rFonts w:hint="default" w:eastAsia="宋体"/>
                      <w:bCs/>
                      <w:color w:val="auto"/>
                      <w:kern w:val="2"/>
                      <w:sz w:val="21"/>
                      <w:szCs w:val="18"/>
                      <w:lang w:val="en-US" w:eastAsia="zh-CN" w:bidi="ar-SA"/>
                    </w:rPr>
                    <w:t>地面采取一般防渗措施（等效黏土防渗层Mb≥1.5m，渗透系数K≤10</w:t>
                  </w:r>
                  <w:r>
                    <w:rPr>
                      <w:rFonts w:hint="default" w:eastAsia="宋体"/>
                      <w:bCs/>
                      <w:color w:val="auto"/>
                      <w:kern w:val="2"/>
                      <w:sz w:val="21"/>
                      <w:szCs w:val="18"/>
                      <w:vertAlign w:val="superscript"/>
                      <w:lang w:val="en-US" w:eastAsia="zh-CN" w:bidi="ar-SA"/>
                    </w:rPr>
                    <w:t>-7</w:t>
                  </w:r>
                  <w:r>
                    <w:rPr>
                      <w:rFonts w:hint="default" w:eastAsia="宋体"/>
                      <w:bCs/>
                      <w:color w:val="auto"/>
                      <w:kern w:val="2"/>
                      <w:sz w:val="21"/>
                      <w:szCs w:val="18"/>
                      <w:lang w:val="en-US" w:eastAsia="zh-CN" w:bidi="ar-SA"/>
                    </w:rPr>
                    <w:t>cm/s）</w:t>
                  </w:r>
                  <w:r>
                    <w:rPr>
                      <w:rFonts w:hint="eastAsia" w:eastAsia="宋体"/>
                      <w:bCs/>
                      <w:color w:val="auto"/>
                      <w:kern w:val="2"/>
                      <w:sz w:val="21"/>
                      <w:szCs w:val="18"/>
                      <w:lang w:val="en-US" w:eastAsia="zh-CN" w:bidi="ar-SA"/>
                    </w:rPr>
                    <w:t>；办公室</w:t>
                  </w:r>
                  <w:r>
                    <w:rPr>
                      <w:rFonts w:hint="default" w:eastAsia="宋体"/>
                      <w:bCs/>
                      <w:color w:val="auto"/>
                      <w:kern w:val="2"/>
                      <w:sz w:val="21"/>
                      <w:szCs w:val="18"/>
                      <w:lang w:val="en-US" w:eastAsia="zh-CN" w:bidi="ar-SA"/>
                    </w:rPr>
                    <w:t>采取</w:t>
                  </w:r>
                  <w:r>
                    <w:rPr>
                      <w:rFonts w:hint="eastAsia" w:eastAsia="宋体"/>
                      <w:bCs/>
                      <w:color w:val="auto"/>
                      <w:kern w:val="2"/>
                      <w:sz w:val="21"/>
                      <w:szCs w:val="18"/>
                      <w:lang w:val="en-US" w:eastAsia="zh-CN" w:bidi="ar-SA"/>
                    </w:rPr>
                    <w:t>简单</w:t>
                  </w:r>
                  <w:r>
                    <w:rPr>
                      <w:rFonts w:hint="default" w:eastAsia="宋体"/>
                      <w:bCs/>
                      <w:color w:val="auto"/>
                      <w:kern w:val="2"/>
                      <w:sz w:val="21"/>
                      <w:szCs w:val="18"/>
                      <w:lang w:val="en-US" w:eastAsia="zh-CN" w:bidi="ar-SA"/>
                    </w:rPr>
                    <w:t>防渗措施</w:t>
                  </w:r>
                </w:p>
              </w:tc>
            </w:tr>
            <w:tr w14:paraId="60EBE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Merge w:val="continue"/>
                </w:tcPr>
                <w:p w14:paraId="2CC50E49">
                  <w:pPr>
                    <w:spacing w:line="240" w:lineRule="auto"/>
                    <w:ind w:firstLine="0" w:firstLineChars="0"/>
                    <w:jc w:val="center"/>
                    <w:rPr>
                      <w:rFonts w:hint="eastAsia"/>
                      <w:b w:val="0"/>
                      <w:bCs/>
                      <w:color w:val="auto"/>
                      <w:sz w:val="21"/>
                      <w:szCs w:val="21"/>
                    </w:rPr>
                  </w:pPr>
                </w:p>
              </w:tc>
              <w:tc>
                <w:tcPr>
                  <w:tcW w:w="0" w:type="auto"/>
                  <w:shd w:val="clear" w:color="auto" w:fill="auto"/>
                  <w:vAlign w:val="center"/>
                </w:tcPr>
                <w:p w14:paraId="0D0D55C5">
                  <w:pPr>
                    <w:spacing w:line="240" w:lineRule="auto"/>
                    <w:ind w:firstLine="0" w:firstLineChars="0"/>
                    <w:jc w:val="center"/>
                    <w:rPr>
                      <w:rFonts w:hint="eastAsia" w:ascii="Times New Roman" w:hAnsi="Times New Roman" w:eastAsia="宋体" w:cs="Times New Roman"/>
                      <w:bCs/>
                      <w:color w:val="auto"/>
                      <w:kern w:val="2"/>
                      <w:sz w:val="21"/>
                      <w:szCs w:val="18"/>
                      <w:lang w:val="en-US" w:eastAsia="zh-CN" w:bidi="ar-SA"/>
                    </w:rPr>
                  </w:pPr>
                  <w:r>
                    <w:rPr>
                      <w:rFonts w:hint="eastAsia"/>
                      <w:bCs/>
                      <w:color w:val="auto"/>
                      <w:sz w:val="21"/>
                      <w:szCs w:val="18"/>
                    </w:rPr>
                    <w:t>环境风险</w:t>
                  </w:r>
                </w:p>
              </w:tc>
              <w:tc>
                <w:tcPr>
                  <w:tcW w:w="0" w:type="auto"/>
                  <w:shd w:val="clear" w:color="auto" w:fill="auto"/>
                  <w:vAlign w:val="top"/>
                </w:tcPr>
                <w:p w14:paraId="42514EF9">
                  <w:pPr>
                    <w:spacing w:line="240" w:lineRule="auto"/>
                    <w:ind w:firstLine="0" w:firstLineChars="0"/>
                    <w:jc w:val="center"/>
                    <w:rPr>
                      <w:rFonts w:hint="default" w:ascii="Times New Roman" w:hAnsi="Times New Roman" w:eastAsia="宋体" w:cs="Times New Roman"/>
                      <w:bCs/>
                      <w:color w:val="auto"/>
                      <w:kern w:val="2"/>
                      <w:sz w:val="21"/>
                      <w:szCs w:val="18"/>
                      <w:lang w:val="en-US" w:eastAsia="zh-CN" w:bidi="ar-SA"/>
                    </w:rPr>
                  </w:pPr>
                  <w:r>
                    <w:rPr>
                      <w:rFonts w:hint="eastAsia"/>
                      <w:bCs/>
                      <w:color w:val="auto"/>
                      <w:sz w:val="21"/>
                      <w:szCs w:val="18"/>
                    </w:rPr>
                    <w:t>项目危废暂存间</w:t>
                  </w:r>
                  <w:r>
                    <w:rPr>
                      <w:rFonts w:hint="eastAsia"/>
                      <w:bCs/>
                      <w:color w:val="auto"/>
                      <w:sz w:val="21"/>
                      <w:szCs w:val="18"/>
                      <w:lang w:val="en-US" w:eastAsia="zh-CN"/>
                    </w:rPr>
                    <w:t>和库房放置托盘</w:t>
                  </w:r>
                  <w:r>
                    <w:rPr>
                      <w:rFonts w:hint="eastAsia"/>
                      <w:bCs/>
                      <w:color w:val="auto"/>
                      <w:sz w:val="21"/>
                      <w:szCs w:val="18"/>
                      <w:lang w:eastAsia="zh-CN"/>
                    </w:rPr>
                    <w:t>，</w:t>
                  </w:r>
                  <w:r>
                    <w:rPr>
                      <w:rFonts w:hint="eastAsia"/>
                      <w:bCs/>
                      <w:color w:val="auto"/>
                      <w:sz w:val="21"/>
                      <w:szCs w:val="18"/>
                    </w:rPr>
                    <w:t>液体</w:t>
                  </w:r>
                  <w:r>
                    <w:rPr>
                      <w:rFonts w:hint="eastAsia"/>
                      <w:bCs/>
                      <w:color w:val="auto"/>
                      <w:sz w:val="21"/>
                      <w:szCs w:val="18"/>
                      <w:lang w:val="en-US" w:eastAsia="zh-CN"/>
                    </w:rPr>
                    <w:t>物料</w:t>
                  </w:r>
                  <w:r>
                    <w:rPr>
                      <w:rFonts w:hint="eastAsia"/>
                      <w:bCs/>
                      <w:color w:val="auto"/>
                      <w:sz w:val="21"/>
                      <w:szCs w:val="18"/>
                    </w:rPr>
                    <w:t>储存于</w:t>
                  </w:r>
                  <w:r>
                    <w:rPr>
                      <w:rFonts w:hint="eastAsia"/>
                      <w:bCs/>
                      <w:color w:val="auto"/>
                      <w:sz w:val="21"/>
                      <w:szCs w:val="18"/>
                      <w:lang w:val="en-US" w:eastAsia="zh-CN"/>
                    </w:rPr>
                    <w:t>密封桶</w:t>
                  </w:r>
                  <w:r>
                    <w:rPr>
                      <w:rFonts w:hint="eastAsia"/>
                      <w:bCs/>
                      <w:color w:val="auto"/>
                      <w:sz w:val="21"/>
                      <w:szCs w:val="18"/>
                    </w:rPr>
                    <w:t>中并摆放在</w:t>
                  </w:r>
                  <w:r>
                    <w:rPr>
                      <w:rFonts w:hint="eastAsia"/>
                      <w:bCs/>
                      <w:color w:val="auto"/>
                      <w:sz w:val="21"/>
                      <w:szCs w:val="18"/>
                      <w:lang w:val="en-US" w:eastAsia="zh-CN"/>
                    </w:rPr>
                    <w:t>托盘</w:t>
                  </w:r>
                  <w:r>
                    <w:rPr>
                      <w:rFonts w:hint="eastAsia"/>
                      <w:bCs/>
                      <w:color w:val="auto"/>
                      <w:sz w:val="21"/>
                      <w:szCs w:val="18"/>
                    </w:rPr>
                    <w:t>内</w:t>
                  </w:r>
                  <w:r>
                    <w:rPr>
                      <w:rFonts w:hint="eastAsia"/>
                      <w:color w:val="auto"/>
                      <w:lang w:eastAsia="zh-CN"/>
                    </w:rPr>
                    <w:t>，</w:t>
                  </w:r>
                  <w:r>
                    <w:rPr>
                      <w:rFonts w:hint="eastAsia"/>
                      <w:color w:val="auto"/>
                      <w:sz w:val="21"/>
                      <w:szCs w:val="21"/>
                      <w:lang w:eastAsia="zh-CN"/>
                    </w:rPr>
                    <w:t>雨水总排口设置切断阀</w:t>
                  </w:r>
                </w:p>
              </w:tc>
            </w:tr>
          </w:tbl>
          <w:p w14:paraId="444E6278">
            <w:pPr>
              <w:numPr>
                <w:ilvl w:val="0"/>
                <w:numId w:val="0"/>
              </w:numPr>
              <w:ind w:firstLine="0" w:firstLineChars="0"/>
              <w:rPr>
                <w:rFonts w:hint="eastAsia"/>
                <w:b/>
                <w:bCs/>
                <w:color w:val="auto"/>
              </w:rPr>
            </w:pPr>
            <w:r>
              <w:rPr>
                <w:rFonts w:hint="eastAsia" w:ascii="Times New Roman" w:hAnsi="Times New Roman" w:eastAsia="宋体" w:cs="Times New Roman"/>
                <w:b/>
                <w:bCs/>
                <w:color w:val="auto"/>
                <w:kern w:val="2"/>
                <w:sz w:val="24"/>
                <w:szCs w:val="24"/>
                <w:lang w:val="en-US" w:eastAsia="zh-CN" w:bidi="ar-SA"/>
              </w:rPr>
              <w:t>3、</w:t>
            </w:r>
            <w:r>
              <w:rPr>
                <w:rFonts w:hint="eastAsia"/>
                <w:b/>
                <w:bCs/>
                <w:color w:val="auto"/>
              </w:rPr>
              <w:t>项目产品方案</w:t>
            </w:r>
          </w:p>
          <w:p w14:paraId="3EB20233">
            <w:pPr>
              <w:ind w:firstLine="480"/>
              <w:rPr>
                <w:rFonts w:hint="eastAsia"/>
                <w:bCs/>
                <w:color w:val="auto"/>
                <w:szCs w:val="21"/>
              </w:rPr>
            </w:pPr>
            <w:r>
              <w:rPr>
                <w:rFonts w:hint="eastAsia" w:ascii="Times New Roman" w:hAnsi="Times New Roman" w:eastAsia="宋体" w:cs="Times New Roman"/>
                <w:color w:val="000000"/>
                <w:spacing w:val="0"/>
                <w:w w:val="100"/>
                <w:position w:val="0"/>
                <w:sz w:val="24"/>
                <w:szCs w:val="24"/>
                <w:u w:val="none"/>
                <w:lang w:val="en-US" w:eastAsia="zh-CN"/>
              </w:rPr>
              <w:t>项目建设完成后将形成年产</w:t>
            </w:r>
            <w:r>
              <w:rPr>
                <w:rFonts w:hint="eastAsia"/>
                <w:b w:val="0"/>
                <w:bCs w:val="0"/>
                <w:color w:val="auto"/>
                <w:kern w:val="0"/>
                <w:highlight w:val="none"/>
                <w:lang w:val="en-US" w:eastAsia="zh-CN"/>
              </w:rPr>
              <w:t>道</w:t>
            </w:r>
            <w:r>
              <w:rPr>
                <w:rFonts w:hint="eastAsia" w:ascii="Times New Roman" w:hAnsi="Times New Roman" w:eastAsia="宋体" w:cs="Times New Roman"/>
                <w:color w:val="000000"/>
                <w:spacing w:val="0"/>
                <w:w w:val="100"/>
                <w:position w:val="0"/>
                <w:sz w:val="24"/>
                <w:szCs w:val="24"/>
                <w:u w:val="none"/>
                <w:lang w:eastAsia="zh-CN"/>
              </w:rPr>
              <w:t>路桥梁支座</w:t>
            </w:r>
            <w:r>
              <w:rPr>
                <w:rFonts w:hint="eastAsia" w:ascii="Times New Roman" w:hAnsi="Times New Roman" w:eastAsia="宋体" w:cs="Times New Roman"/>
                <w:color w:val="000000"/>
                <w:spacing w:val="0"/>
                <w:w w:val="100"/>
                <w:position w:val="0"/>
                <w:sz w:val="24"/>
                <w:szCs w:val="24"/>
                <w:u w:val="none"/>
                <w:lang w:val="en-US" w:eastAsia="zh-CN"/>
              </w:rPr>
              <w:t>40000吨的生产能力</w:t>
            </w:r>
            <w:r>
              <w:rPr>
                <w:rFonts w:hint="eastAsia"/>
                <w:bCs/>
                <w:color w:val="auto"/>
                <w:szCs w:val="21"/>
                <w:lang w:val="en-US" w:eastAsia="zh-CN"/>
              </w:rPr>
              <w:t>，</w:t>
            </w:r>
            <w:r>
              <w:rPr>
                <w:rFonts w:hint="eastAsia"/>
                <w:bCs/>
                <w:color w:val="auto"/>
                <w:szCs w:val="21"/>
              </w:rPr>
              <w:t>项目产品方案见下表。</w:t>
            </w:r>
          </w:p>
          <w:p w14:paraId="2D042C88">
            <w:pPr>
              <w:ind w:firstLine="0" w:firstLineChars="0"/>
              <w:jc w:val="center"/>
              <w:rPr>
                <w:rFonts w:hint="eastAsia"/>
                <w:b/>
                <w:color w:val="auto"/>
                <w:szCs w:val="21"/>
              </w:rPr>
            </w:pPr>
            <w:r>
              <w:rPr>
                <w:rFonts w:hint="eastAsia"/>
                <w:b/>
                <w:color w:val="auto"/>
                <w:szCs w:val="21"/>
              </w:rPr>
              <w:t>表</w:t>
            </w:r>
            <w:r>
              <w:rPr>
                <w:rFonts w:hint="eastAsia"/>
                <w:b/>
                <w:color w:val="auto"/>
                <w:lang w:val="en-US" w:eastAsia="zh-CN"/>
              </w:rPr>
              <w:t>2-2</w:t>
            </w:r>
            <w:r>
              <w:rPr>
                <w:rFonts w:hint="eastAsia"/>
                <w:b/>
                <w:color w:val="auto"/>
                <w:szCs w:val="21"/>
              </w:rPr>
              <w:t xml:space="preserve"> 项目产品方案一览表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6"/>
              <w:gridCol w:w="1831"/>
              <w:gridCol w:w="2393"/>
              <w:gridCol w:w="2066"/>
            </w:tblGrid>
            <w:tr w14:paraId="2E80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6" w:type="dxa"/>
                  <w:noWrap w:val="0"/>
                  <w:vAlign w:val="center"/>
                </w:tcPr>
                <w:p w14:paraId="6B93BB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szCs w:val="21"/>
                      <w:lang w:val="en-US" w:eastAsia="zh-CN"/>
                    </w:rPr>
                  </w:pPr>
                  <w:r>
                    <w:rPr>
                      <w:b/>
                      <w:bCs/>
                      <w:color w:val="auto"/>
                      <w:sz w:val="21"/>
                      <w:szCs w:val="21"/>
                    </w:rPr>
                    <w:t>产品名称</w:t>
                  </w:r>
                </w:p>
              </w:tc>
              <w:tc>
                <w:tcPr>
                  <w:tcW w:w="1831" w:type="dxa"/>
                  <w:shd w:val="clear" w:color="auto" w:fill="auto"/>
                  <w:noWrap w:val="0"/>
                  <w:vAlign w:val="center"/>
                </w:tcPr>
                <w:p w14:paraId="31FAA4D0">
                  <w:pPr>
                    <w:spacing w:line="240" w:lineRule="auto"/>
                    <w:ind w:firstLine="0" w:firstLineChars="0"/>
                    <w:jc w:val="center"/>
                    <w:rPr>
                      <w:rFonts w:hint="eastAsia" w:ascii="Times New Roman" w:hAnsi="Times New Roman" w:eastAsia="宋体" w:cs="Times New Roman"/>
                      <w:b/>
                      <w:color w:val="000000"/>
                      <w:kern w:val="2"/>
                      <w:sz w:val="21"/>
                      <w:szCs w:val="21"/>
                      <w:lang w:val="en-US" w:eastAsia="zh-CN" w:bidi="ar-SA"/>
                    </w:rPr>
                  </w:pPr>
                  <w:r>
                    <w:rPr>
                      <w:rFonts w:hint="eastAsia" w:ascii="Times New Roman" w:hAnsi="Times New Roman"/>
                      <w:b/>
                      <w:color w:val="000000"/>
                      <w:sz w:val="21"/>
                      <w:szCs w:val="21"/>
                      <w:lang w:eastAsia="zh-CN"/>
                    </w:rPr>
                    <w:t>形状</w:t>
                  </w:r>
                </w:p>
              </w:tc>
              <w:tc>
                <w:tcPr>
                  <w:tcW w:w="2393" w:type="dxa"/>
                  <w:shd w:val="clear" w:color="auto" w:fill="auto"/>
                  <w:noWrap w:val="0"/>
                  <w:vAlign w:val="center"/>
                </w:tcPr>
                <w:p w14:paraId="388372CC">
                  <w:pPr>
                    <w:spacing w:line="240" w:lineRule="auto"/>
                    <w:ind w:firstLine="0" w:firstLineChars="0"/>
                    <w:jc w:val="center"/>
                    <w:rPr>
                      <w:rFonts w:hint="eastAsia" w:ascii="Times New Roman" w:hAnsi="Times New Roman" w:eastAsia="宋体" w:cs="Times New Roman"/>
                      <w:b/>
                      <w:color w:val="000000"/>
                      <w:kern w:val="2"/>
                      <w:sz w:val="21"/>
                      <w:szCs w:val="21"/>
                      <w:lang w:val="en-US" w:eastAsia="zh-CN" w:bidi="ar-SA"/>
                    </w:rPr>
                  </w:pPr>
                  <w:r>
                    <w:rPr>
                      <w:rFonts w:hint="eastAsia" w:ascii="Times New Roman" w:hAnsi="Times New Roman"/>
                      <w:b/>
                      <w:color w:val="000000"/>
                      <w:sz w:val="21"/>
                      <w:szCs w:val="21"/>
                      <w:lang w:eastAsia="zh-CN"/>
                    </w:rPr>
                    <w:t>尺寸（</w:t>
                  </w:r>
                  <w:r>
                    <w:rPr>
                      <w:rFonts w:hint="eastAsia" w:ascii="Times New Roman" w:hAnsi="Times New Roman"/>
                      <w:b/>
                      <w:color w:val="000000"/>
                      <w:sz w:val="21"/>
                      <w:szCs w:val="21"/>
                      <w:lang w:val="en-US" w:eastAsia="zh-CN"/>
                    </w:rPr>
                    <w:t>mm</w:t>
                  </w:r>
                  <w:r>
                    <w:rPr>
                      <w:rFonts w:hint="eastAsia" w:ascii="Times New Roman" w:hAnsi="Times New Roman"/>
                      <w:b/>
                      <w:color w:val="000000"/>
                      <w:sz w:val="21"/>
                      <w:szCs w:val="21"/>
                      <w:lang w:eastAsia="zh-CN"/>
                    </w:rPr>
                    <w:t>）</w:t>
                  </w:r>
                </w:p>
              </w:tc>
              <w:tc>
                <w:tcPr>
                  <w:tcW w:w="2066" w:type="dxa"/>
                  <w:shd w:val="clear" w:color="auto" w:fill="auto"/>
                  <w:noWrap w:val="0"/>
                  <w:vAlign w:val="center"/>
                </w:tcPr>
                <w:p w14:paraId="6EEA63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color w:val="auto"/>
                      <w:kern w:val="2"/>
                      <w:sz w:val="21"/>
                      <w:szCs w:val="21"/>
                      <w:lang w:val="en-US" w:eastAsia="zh-CN" w:bidi="ar-SA"/>
                    </w:rPr>
                  </w:pPr>
                  <w:r>
                    <w:rPr>
                      <w:b/>
                      <w:bCs/>
                      <w:color w:val="auto"/>
                      <w:sz w:val="21"/>
                      <w:szCs w:val="21"/>
                    </w:rPr>
                    <w:t>项目产能</w:t>
                  </w:r>
                </w:p>
              </w:tc>
            </w:tr>
            <w:tr w14:paraId="369FE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6" w:type="dxa"/>
                  <w:vMerge w:val="restart"/>
                  <w:noWrap w:val="0"/>
                  <w:vAlign w:val="center"/>
                </w:tcPr>
                <w:p w14:paraId="51A3CE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rFonts w:hint="eastAsia"/>
                      <w:color w:val="auto"/>
                      <w:sz w:val="21"/>
                      <w:szCs w:val="21"/>
                      <w:lang w:val="en-US" w:eastAsia="zh-CN"/>
                    </w:rPr>
                    <w:t>道</w:t>
                  </w:r>
                  <w:r>
                    <w:rPr>
                      <w:rFonts w:hint="eastAsia"/>
                      <w:color w:val="auto"/>
                      <w:sz w:val="21"/>
                      <w:szCs w:val="21"/>
                      <w:lang w:eastAsia="zh-CN"/>
                    </w:rPr>
                    <w:t>路桥梁支座</w:t>
                  </w:r>
                </w:p>
              </w:tc>
              <w:tc>
                <w:tcPr>
                  <w:tcW w:w="1831" w:type="dxa"/>
                  <w:shd w:val="clear" w:color="auto" w:fill="auto"/>
                  <w:noWrap w:val="0"/>
                  <w:vAlign w:val="center"/>
                </w:tcPr>
                <w:p w14:paraId="3E608C4C">
                  <w:pPr>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olor w:val="000000"/>
                      <w:sz w:val="21"/>
                      <w:szCs w:val="21"/>
                      <w:lang w:val="en-US" w:eastAsia="zh-CN"/>
                    </w:rPr>
                    <w:t>圆形</w:t>
                  </w:r>
                </w:p>
              </w:tc>
              <w:tc>
                <w:tcPr>
                  <w:tcW w:w="2393" w:type="dxa"/>
                  <w:shd w:val="clear" w:color="auto" w:fill="auto"/>
                  <w:noWrap w:val="0"/>
                  <w:vAlign w:val="center"/>
                </w:tcPr>
                <w:p w14:paraId="2885F86B">
                  <w:pPr>
                    <w:spacing w:line="240" w:lineRule="auto"/>
                    <w:jc w:val="center"/>
                    <w:rPr>
                      <w:rFonts w:hint="eastAsia" w:ascii="Times New Roman" w:hAnsi="Times New Roman"/>
                      <w:color w:val="000000"/>
                      <w:sz w:val="21"/>
                      <w:szCs w:val="21"/>
                      <w:lang w:val="en-US" w:eastAsia="zh-CN"/>
                    </w:rPr>
                  </w:pPr>
                  <w:r>
                    <w:rPr>
                      <w:rFonts w:hint="eastAsia" w:ascii="Times New Roman" w:hAnsi="Times New Roman"/>
                      <w:color w:val="000000"/>
                      <w:sz w:val="21"/>
                      <w:szCs w:val="21"/>
                      <w:lang w:val="en-US" w:eastAsia="zh-CN"/>
                    </w:rPr>
                    <w:t>Φ200</w:t>
                  </w:r>
                  <w:r>
                    <w:rPr>
                      <w:rFonts w:hint="default" w:ascii="Times New Roman" w:hAnsi="Times New Roman"/>
                      <w:color w:val="000000"/>
                      <w:sz w:val="21"/>
                      <w:szCs w:val="21"/>
                      <w:lang w:val="en-US" w:eastAsia="zh-CN"/>
                    </w:rPr>
                    <w:t>×</w:t>
                  </w:r>
                  <w:r>
                    <w:rPr>
                      <w:rFonts w:hint="eastAsia" w:ascii="Times New Roman" w:hAnsi="Times New Roman"/>
                      <w:color w:val="000000"/>
                      <w:sz w:val="21"/>
                      <w:szCs w:val="21"/>
                      <w:lang w:val="en-US" w:eastAsia="zh-CN"/>
                    </w:rPr>
                    <w:t>42</w:t>
                  </w:r>
                </w:p>
                <w:p w14:paraId="42539A93">
                  <w:pPr>
                    <w:spacing w:line="240" w:lineRule="auto"/>
                    <w:jc w:val="center"/>
                    <w:rPr>
                      <w:rFonts w:hint="eastAsia" w:ascii="Times New Roman" w:hAnsi="Times New Roman"/>
                      <w:color w:val="000000"/>
                      <w:sz w:val="21"/>
                      <w:szCs w:val="21"/>
                      <w:lang w:val="en-US" w:eastAsia="zh-CN"/>
                    </w:rPr>
                  </w:pPr>
                  <w:r>
                    <w:rPr>
                      <w:rFonts w:hint="eastAsia" w:ascii="Times New Roman" w:hAnsi="Times New Roman"/>
                      <w:color w:val="000000"/>
                      <w:sz w:val="21"/>
                      <w:szCs w:val="21"/>
                      <w:lang w:val="en-US" w:eastAsia="zh-CN"/>
                    </w:rPr>
                    <w:t>Φ200</w:t>
                  </w:r>
                  <w:r>
                    <w:rPr>
                      <w:rFonts w:hint="default" w:ascii="Times New Roman" w:hAnsi="Times New Roman"/>
                      <w:color w:val="000000"/>
                      <w:sz w:val="21"/>
                      <w:szCs w:val="21"/>
                      <w:lang w:val="en-US" w:eastAsia="zh-CN"/>
                    </w:rPr>
                    <w:t>×</w:t>
                  </w:r>
                  <w:r>
                    <w:rPr>
                      <w:rFonts w:hint="eastAsia" w:ascii="Times New Roman" w:hAnsi="Times New Roman"/>
                      <w:color w:val="000000"/>
                      <w:sz w:val="21"/>
                      <w:szCs w:val="21"/>
                      <w:lang w:val="en-US" w:eastAsia="zh-CN"/>
                    </w:rPr>
                    <w:t>56</w:t>
                  </w:r>
                </w:p>
                <w:p w14:paraId="3858AAEB">
                  <w:pPr>
                    <w:spacing w:line="240" w:lineRule="auto"/>
                    <w:jc w:val="center"/>
                    <w:rPr>
                      <w:rFonts w:hint="eastAsia" w:ascii="Times New Roman" w:hAnsi="Times New Roman"/>
                      <w:color w:val="000000"/>
                      <w:sz w:val="21"/>
                      <w:szCs w:val="21"/>
                      <w:lang w:val="en-US" w:eastAsia="zh-CN"/>
                    </w:rPr>
                  </w:pPr>
                  <w:r>
                    <w:rPr>
                      <w:rFonts w:hint="eastAsia" w:ascii="Times New Roman" w:hAnsi="Times New Roman"/>
                      <w:color w:val="000000"/>
                      <w:sz w:val="21"/>
                      <w:szCs w:val="21"/>
                      <w:lang w:val="en-US" w:eastAsia="zh-CN"/>
                    </w:rPr>
                    <w:t>Φ250</w:t>
                  </w:r>
                  <w:r>
                    <w:rPr>
                      <w:rFonts w:hint="default" w:ascii="Times New Roman" w:hAnsi="Times New Roman"/>
                      <w:color w:val="000000"/>
                      <w:sz w:val="21"/>
                      <w:szCs w:val="21"/>
                      <w:lang w:val="en-US" w:eastAsia="zh-CN"/>
                    </w:rPr>
                    <w:t>×</w:t>
                  </w:r>
                  <w:r>
                    <w:rPr>
                      <w:rFonts w:hint="eastAsia" w:ascii="Times New Roman" w:hAnsi="Times New Roman"/>
                      <w:color w:val="000000"/>
                      <w:sz w:val="21"/>
                      <w:szCs w:val="21"/>
                      <w:lang w:val="en-US" w:eastAsia="zh-CN"/>
                    </w:rPr>
                    <w:t>41</w:t>
                  </w:r>
                </w:p>
                <w:p w14:paraId="73F9A295">
                  <w:pPr>
                    <w:spacing w:line="240" w:lineRule="auto"/>
                    <w:jc w:val="center"/>
                    <w:rPr>
                      <w:rFonts w:hint="eastAsia" w:ascii="Times New Roman" w:hAnsi="Times New Roman"/>
                      <w:color w:val="000000"/>
                      <w:sz w:val="21"/>
                      <w:szCs w:val="21"/>
                      <w:lang w:val="en-US" w:eastAsia="zh-CN"/>
                    </w:rPr>
                  </w:pPr>
                  <w:r>
                    <w:rPr>
                      <w:rFonts w:hint="eastAsia" w:ascii="Times New Roman" w:hAnsi="Times New Roman"/>
                      <w:color w:val="000000"/>
                      <w:sz w:val="21"/>
                      <w:szCs w:val="21"/>
                      <w:lang w:val="en-US" w:eastAsia="zh-CN"/>
                    </w:rPr>
                    <w:t>Φ250</w:t>
                  </w:r>
                  <w:r>
                    <w:rPr>
                      <w:rFonts w:hint="default" w:ascii="Times New Roman" w:hAnsi="Times New Roman"/>
                      <w:color w:val="000000"/>
                      <w:sz w:val="21"/>
                      <w:szCs w:val="21"/>
                      <w:lang w:val="en-US" w:eastAsia="zh-CN"/>
                    </w:rPr>
                    <w:t>×</w:t>
                  </w:r>
                  <w:r>
                    <w:rPr>
                      <w:rFonts w:hint="eastAsia" w:ascii="Times New Roman" w:hAnsi="Times New Roman"/>
                      <w:color w:val="000000"/>
                      <w:sz w:val="21"/>
                      <w:szCs w:val="21"/>
                      <w:lang w:val="en-US" w:eastAsia="zh-CN"/>
                    </w:rPr>
                    <w:t>52</w:t>
                  </w:r>
                </w:p>
                <w:p w14:paraId="1C280D68">
                  <w:pPr>
                    <w:spacing w:line="240" w:lineRule="auto"/>
                    <w:jc w:val="center"/>
                    <w:rPr>
                      <w:rFonts w:hint="eastAsia" w:ascii="Times New Roman" w:hAnsi="Times New Roman"/>
                      <w:color w:val="000000"/>
                      <w:sz w:val="21"/>
                      <w:szCs w:val="21"/>
                      <w:lang w:val="en-US" w:eastAsia="zh-CN"/>
                    </w:rPr>
                  </w:pPr>
                  <w:r>
                    <w:rPr>
                      <w:rFonts w:hint="eastAsia" w:ascii="Times New Roman" w:hAnsi="Times New Roman"/>
                      <w:color w:val="000000"/>
                      <w:sz w:val="21"/>
                      <w:szCs w:val="21"/>
                      <w:lang w:val="en-US" w:eastAsia="zh-CN"/>
                    </w:rPr>
                    <w:t>Φ300</w:t>
                  </w:r>
                  <w:r>
                    <w:rPr>
                      <w:rFonts w:hint="default" w:ascii="Times New Roman" w:hAnsi="Times New Roman"/>
                      <w:color w:val="000000"/>
                      <w:sz w:val="21"/>
                      <w:szCs w:val="21"/>
                      <w:lang w:val="en-US" w:eastAsia="zh-CN"/>
                    </w:rPr>
                    <w:t>×</w:t>
                  </w:r>
                  <w:r>
                    <w:rPr>
                      <w:rFonts w:hint="eastAsia" w:ascii="Times New Roman" w:hAnsi="Times New Roman"/>
                      <w:color w:val="000000"/>
                      <w:sz w:val="21"/>
                      <w:szCs w:val="21"/>
                      <w:lang w:val="en-US" w:eastAsia="zh-CN"/>
                    </w:rPr>
                    <w:t>52</w:t>
                  </w:r>
                </w:p>
                <w:p w14:paraId="08C4886F">
                  <w:pPr>
                    <w:spacing w:line="240" w:lineRule="auto"/>
                    <w:jc w:val="center"/>
                    <w:rPr>
                      <w:rFonts w:hint="eastAsia" w:ascii="Times New Roman" w:hAnsi="Times New Roman"/>
                      <w:color w:val="000000"/>
                      <w:sz w:val="21"/>
                      <w:szCs w:val="21"/>
                      <w:lang w:val="en-US" w:eastAsia="zh-CN"/>
                    </w:rPr>
                  </w:pPr>
                  <w:r>
                    <w:rPr>
                      <w:rFonts w:hint="eastAsia" w:ascii="Times New Roman" w:hAnsi="Times New Roman"/>
                      <w:color w:val="000000"/>
                      <w:sz w:val="21"/>
                      <w:szCs w:val="21"/>
                      <w:lang w:val="en-US" w:eastAsia="zh-CN"/>
                    </w:rPr>
                    <w:t>Φ350</w:t>
                  </w:r>
                  <w:r>
                    <w:rPr>
                      <w:rFonts w:hint="default" w:ascii="Times New Roman" w:hAnsi="Times New Roman"/>
                      <w:color w:val="000000"/>
                      <w:sz w:val="21"/>
                      <w:szCs w:val="21"/>
                      <w:lang w:val="en-US" w:eastAsia="zh-CN"/>
                    </w:rPr>
                    <w:t>×</w:t>
                  </w:r>
                  <w:r>
                    <w:rPr>
                      <w:rFonts w:hint="eastAsia" w:ascii="Times New Roman" w:hAnsi="Times New Roman"/>
                      <w:color w:val="000000"/>
                      <w:sz w:val="21"/>
                      <w:szCs w:val="21"/>
                      <w:lang w:val="en-US" w:eastAsia="zh-CN"/>
                    </w:rPr>
                    <w:t>63</w:t>
                  </w:r>
                </w:p>
                <w:p w14:paraId="52A09E8D">
                  <w:pPr>
                    <w:spacing w:line="240" w:lineRule="auto"/>
                    <w:jc w:val="center"/>
                    <w:rPr>
                      <w:rFonts w:hint="eastAsia" w:ascii="Times New Roman" w:hAnsi="Times New Roman"/>
                      <w:color w:val="000000"/>
                      <w:sz w:val="21"/>
                      <w:szCs w:val="21"/>
                      <w:lang w:val="en-US" w:eastAsia="zh-CN"/>
                    </w:rPr>
                  </w:pPr>
                  <w:r>
                    <w:rPr>
                      <w:rFonts w:hint="eastAsia" w:ascii="Times New Roman" w:hAnsi="Times New Roman"/>
                      <w:color w:val="000000"/>
                      <w:sz w:val="21"/>
                      <w:szCs w:val="21"/>
                      <w:lang w:val="en-US" w:eastAsia="zh-CN"/>
                    </w:rPr>
                    <w:t>Φ300</w:t>
                  </w:r>
                  <w:r>
                    <w:rPr>
                      <w:rFonts w:hint="default" w:ascii="Times New Roman" w:hAnsi="Times New Roman"/>
                      <w:color w:val="000000"/>
                      <w:sz w:val="21"/>
                      <w:szCs w:val="21"/>
                      <w:lang w:val="en-US" w:eastAsia="zh-CN"/>
                    </w:rPr>
                    <w:t>×</w:t>
                  </w:r>
                  <w:r>
                    <w:rPr>
                      <w:rFonts w:hint="eastAsia" w:ascii="Times New Roman" w:hAnsi="Times New Roman"/>
                      <w:color w:val="000000"/>
                      <w:sz w:val="21"/>
                      <w:szCs w:val="21"/>
                      <w:lang w:val="en-US" w:eastAsia="zh-CN"/>
                    </w:rPr>
                    <w:t>74</w:t>
                  </w:r>
                </w:p>
                <w:p w14:paraId="6FB051FF">
                  <w:pPr>
                    <w:spacing w:line="240" w:lineRule="auto"/>
                    <w:jc w:val="center"/>
                    <w:rPr>
                      <w:rFonts w:hint="eastAsia" w:ascii="Times New Roman" w:hAnsi="Times New Roman"/>
                      <w:color w:val="000000"/>
                      <w:sz w:val="21"/>
                      <w:szCs w:val="21"/>
                      <w:lang w:val="en-US" w:eastAsia="zh-CN"/>
                    </w:rPr>
                  </w:pPr>
                  <w:r>
                    <w:rPr>
                      <w:rFonts w:hint="eastAsia" w:ascii="Times New Roman" w:hAnsi="Times New Roman"/>
                      <w:color w:val="000000"/>
                      <w:sz w:val="21"/>
                      <w:szCs w:val="21"/>
                      <w:lang w:val="en-US" w:eastAsia="zh-CN"/>
                    </w:rPr>
                    <w:t>Φ450</w:t>
                  </w:r>
                  <w:r>
                    <w:rPr>
                      <w:rFonts w:hint="default" w:ascii="Times New Roman" w:hAnsi="Times New Roman"/>
                      <w:color w:val="000000"/>
                      <w:sz w:val="21"/>
                      <w:szCs w:val="21"/>
                      <w:lang w:val="en-US" w:eastAsia="zh-CN"/>
                    </w:rPr>
                    <w:t>×</w:t>
                  </w:r>
                  <w:r>
                    <w:rPr>
                      <w:rFonts w:hint="eastAsia" w:ascii="Times New Roman" w:hAnsi="Times New Roman"/>
                      <w:color w:val="000000"/>
                      <w:sz w:val="21"/>
                      <w:szCs w:val="21"/>
                      <w:lang w:val="en-US" w:eastAsia="zh-CN"/>
                    </w:rPr>
                    <w:t>99</w:t>
                  </w:r>
                </w:p>
                <w:p w14:paraId="348131C4">
                  <w:pPr>
                    <w:spacing w:line="240" w:lineRule="auto"/>
                    <w:jc w:val="center"/>
                    <w:rPr>
                      <w:rFonts w:hint="eastAsia" w:ascii="Times New Roman" w:hAnsi="Times New Roman"/>
                      <w:color w:val="000000"/>
                      <w:sz w:val="21"/>
                      <w:szCs w:val="21"/>
                      <w:lang w:val="en-US" w:eastAsia="zh-CN"/>
                    </w:rPr>
                  </w:pPr>
                  <w:r>
                    <w:rPr>
                      <w:rFonts w:hint="eastAsia" w:ascii="Times New Roman" w:hAnsi="Times New Roman"/>
                      <w:color w:val="000000"/>
                      <w:sz w:val="21"/>
                      <w:szCs w:val="21"/>
                      <w:lang w:val="en-US" w:eastAsia="zh-CN"/>
                    </w:rPr>
                    <w:t>Φ400</w:t>
                  </w:r>
                  <w:r>
                    <w:rPr>
                      <w:rFonts w:hint="default" w:ascii="Times New Roman" w:hAnsi="Times New Roman"/>
                      <w:color w:val="000000"/>
                      <w:sz w:val="21"/>
                      <w:szCs w:val="21"/>
                      <w:lang w:val="en-US" w:eastAsia="zh-CN"/>
                    </w:rPr>
                    <w:t>×</w:t>
                  </w:r>
                  <w:r>
                    <w:rPr>
                      <w:rFonts w:hint="eastAsia" w:ascii="Times New Roman" w:hAnsi="Times New Roman"/>
                      <w:color w:val="000000"/>
                      <w:sz w:val="21"/>
                      <w:szCs w:val="21"/>
                      <w:lang w:val="en-US" w:eastAsia="zh-CN"/>
                    </w:rPr>
                    <w:t>84</w:t>
                  </w:r>
                </w:p>
                <w:p w14:paraId="48C16565">
                  <w:pPr>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olor w:val="000000"/>
                      <w:sz w:val="21"/>
                      <w:szCs w:val="21"/>
                      <w:lang w:val="en-US" w:eastAsia="zh-CN"/>
                    </w:rPr>
                    <w:t>Φ450</w:t>
                  </w:r>
                  <w:r>
                    <w:rPr>
                      <w:rFonts w:hint="default" w:ascii="Times New Roman" w:hAnsi="Times New Roman"/>
                      <w:color w:val="000000"/>
                      <w:sz w:val="21"/>
                      <w:szCs w:val="21"/>
                      <w:lang w:val="en-US" w:eastAsia="zh-CN"/>
                    </w:rPr>
                    <w:t>×</w:t>
                  </w:r>
                  <w:r>
                    <w:rPr>
                      <w:rFonts w:hint="eastAsia" w:ascii="Times New Roman" w:hAnsi="Times New Roman"/>
                      <w:color w:val="000000"/>
                      <w:sz w:val="21"/>
                      <w:szCs w:val="21"/>
                      <w:lang w:val="en-US" w:eastAsia="zh-CN"/>
                    </w:rPr>
                    <w:t>84等</w:t>
                  </w:r>
                </w:p>
              </w:tc>
              <w:tc>
                <w:tcPr>
                  <w:tcW w:w="2066" w:type="dxa"/>
                  <w:shd w:val="clear" w:color="auto" w:fill="auto"/>
                  <w:noWrap w:val="0"/>
                  <w:vAlign w:val="center"/>
                </w:tcPr>
                <w:p w14:paraId="145822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20000吨</w:t>
                  </w:r>
                </w:p>
              </w:tc>
            </w:tr>
            <w:tr w14:paraId="3B451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6" w:type="dxa"/>
                  <w:vMerge w:val="continue"/>
                  <w:noWrap w:val="0"/>
                  <w:vAlign w:val="center"/>
                </w:tcPr>
                <w:p w14:paraId="13612D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p>
              </w:tc>
              <w:tc>
                <w:tcPr>
                  <w:tcW w:w="1831" w:type="dxa"/>
                  <w:shd w:val="clear" w:color="auto" w:fill="auto"/>
                  <w:noWrap w:val="0"/>
                  <w:vAlign w:val="center"/>
                </w:tcPr>
                <w:p w14:paraId="175660CA">
                  <w:pPr>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olor w:val="000000"/>
                      <w:sz w:val="21"/>
                      <w:szCs w:val="21"/>
                      <w:lang w:val="en-US" w:eastAsia="zh-CN"/>
                    </w:rPr>
                    <w:t>方形</w:t>
                  </w:r>
                </w:p>
              </w:tc>
              <w:tc>
                <w:tcPr>
                  <w:tcW w:w="2393" w:type="dxa"/>
                  <w:shd w:val="clear" w:color="auto" w:fill="auto"/>
                  <w:noWrap w:val="0"/>
                  <w:vAlign w:val="center"/>
                </w:tcPr>
                <w:p w14:paraId="2135AE7B">
                  <w:pPr>
                    <w:spacing w:line="240" w:lineRule="auto"/>
                    <w:jc w:val="center"/>
                    <w:rPr>
                      <w:rFonts w:hint="eastAsia" w:ascii="Times New Roman" w:hAnsi="Times New Roman"/>
                      <w:color w:val="000000"/>
                      <w:sz w:val="21"/>
                      <w:szCs w:val="21"/>
                      <w:lang w:val="en-US" w:eastAsia="zh-CN"/>
                    </w:rPr>
                  </w:pPr>
                  <w:r>
                    <w:rPr>
                      <w:rFonts w:hint="eastAsia" w:ascii="Times New Roman" w:hAnsi="Times New Roman"/>
                      <w:color w:val="000000"/>
                      <w:sz w:val="21"/>
                      <w:szCs w:val="21"/>
                      <w:lang w:val="en-US" w:eastAsia="zh-CN"/>
                    </w:rPr>
                    <w:t>350</w:t>
                  </w:r>
                  <w:r>
                    <w:rPr>
                      <w:rFonts w:hint="default" w:ascii="Times New Roman" w:hAnsi="Times New Roman"/>
                      <w:color w:val="000000"/>
                      <w:sz w:val="21"/>
                      <w:szCs w:val="21"/>
                      <w:lang w:val="en-US" w:eastAsia="zh-CN"/>
                    </w:rPr>
                    <w:t>×</w:t>
                  </w:r>
                  <w:r>
                    <w:rPr>
                      <w:rFonts w:hint="eastAsia" w:ascii="Times New Roman" w:hAnsi="Times New Roman"/>
                      <w:color w:val="000000"/>
                      <w:sz w:val="21"/>
                      <w:szCs w:val="21"/>
                      <w:lang w:val="en-US" w:eastAsia="zh-CN"/>
                    </w:rPr>
                    <w:t>550</w:t>
                  </w:r>
                  <w:r>
                    <w:rPr>
                      <w:rFonts w:hint="default" w:ascii="Times New Roman" w:hAnsi="Times New Roman"/>
                      <w:color w:val="000000"/>
                      <w:sz w:val="21"/>
                      <w:szCs w:val="21"/>
                      <w:lang w:val="en-US" w:eastAsia="zh-CN"/>
                    </w:rPr>
                    <w:t>×</w:t>
                  </w:r>
                  <w:r>
                    <w:rPr>
                      <w:rFonts w:hint="eastAsia" w:ascii="Times New Roman" w:hAnsi="Times New Roman"/>
                      <w:color w:val="000000"/>
                      <w:sz w:val="21"/>
                      <w:szCs w:val="21"/>
                      <w:lang w:val="en-US" w:eastAsia="zh-CN"/>
                    </w:rPr>
                    <w:t>99</w:t>
                  </w:r>
                </w:p>
                <w:p w14:paraId="33E78749">
                  <w:pPr>
                    <w:spacing w:line="240" w:lineRule="auto"/>
                    <w:jc w:val="center"/>
                    <w:rPr>
                      <w:rFonts w:hint="eastAsia" w:ascii="Times New Roman" w:hAnsi="Times New Roman"/>
                      <w:color w:val="000000"/>
                      <w:sz w:val="21"/>
                      <w:szCs w:val="21"/>
                      <w:lang w:val="en-US" w:eastAsia="zh-CN"/>
                    </w:rPr>
                  </w:pPr>
                  <w:r>
                    <w:rPr>
                      <w:rFonts w:hint="eastAsia" w:ascii="Times New Roman" w:hAnsi="Times New Roman"/>
                      <w:color w:val="000000"/>
                      <w:sz w:val="21"/>
                      <w:szCs w:val="21"/>
                      <w:lang w:val="en-US" w:eastAsia="zh-CN"/>
                    </w:rPr>
                    <w:t>350</w:t>
                  </w:r>
                  <w:r>
                    <w:rPr>
                      <w:rFonts w:hint="default" w:ascii="Times New Roman" w:hAnsi="Times New Roman"/>
                      <w:color w:val="000000"/>
                      <w:sz w:val="21"/>
                      <w:szCs w:val="21"/>
                      <w:lang w:val="en-US" w:eastAsia="zh-CN"/>
                    </w:rPr>
                    <w:t>×</w:t>
                  </w:r>
                  <w:r>
                    <w:rPr>
                      <w:rFonts w:hint="eastAsia" w:ascii="Times New Roman" w:hAnsi="Times New Roman"/>
                      <w:color w:val="000000"/>
                      <w:sz w:val="21"/>
                      <w:szCs w:val="21"/>
                      <w:lang w:val="en-US" w:eastAsia="zh-CN"/>
                    </w:rPr>
                    <w:t>450</w:t>
                  </w:r>
                  <w:r>
                    <w:rPr>
                      <w:rFonts w:hint="default" w:ascii="Times New Roman" w:hAnsi="Times New Roman"/>
                      <w:color w:val="000000"/>
                      <w:sz w:val="21"/>
                      <w:szCs w:val="21"/>
                      <w:lang w:val="en-US" w:eastAsia="zh-CN"/>
                    </w:rPr>
                    <w:t>×</w:t>
                  </w:r>
                  <w:r>
                    <w:rPr>
                      <w:rFonts w:hint="eastAsia" w:ascii="Times New Roman" w:hAnsi="Times New Roman"/>
                      <w:color w:val="000000"/>
                      <w:sz w:val="21"/>
                      <w:szCs w:val="21"/>
                      <w:lang w:val="en-US" w:eastAsia="zh-CN"/>
                    </w:rPr>
                    <w:t>99</w:t>
                  </w:r>
                </w:p>
                <w:p w14:paraId="0CBD0A18">
                  <w:pPr>
                    <w:spacing w:line="240" w:lineRule="auto"/>
                    <w:jc w:val="center"/>
                    <w:rPr>
                      <w:rFonts w:hint="eastAsia" w:ascii="Times New Roman" w:hAnsi="Times New Roman"/>
                      <w:color w:val="000000"/>
                      <w:sz w:val="21"/>
                      <w:szCs w:val="21"/>
                      <w:lang w:val="en-US" w:eastAsia="zh-CN"/>
                    </w:rPr>
                  </w:pPr>
                  <w:r>
                    <w:rPr>
                      <w:rFonts w:hint="eastAsia" w:ascii="Times New Roman" w:hAnsi="Times New Roman"/>
                      <w:color w:val="000000"/>
                      <w:sz w:val="21"/>
                      <w:szCs w:val="21"/>
                      <w:lang w:val="en-US" w:eastAsia="zh-CN"/>
                    </w:rPr>
                    <w:t>350</w:t>
                  </w:r>
                  <w:r>
                    <w:rPr>
                      <w:rFonts w:hint="default" w:ascii="Times New Roman" w:hAnsi="Times New Roman"/>
                      <w:color w:val="000000"/>
                      <w:sz w:val="21"/>
                      <w:szCs w:val="21"/>
                      <w:lang w:val="en-US" w:eastAsia="zh-CN"/>
                    </w:rPr>
                    <w:t>×</w:t>
                  </w:r>
                  <w:r>
                    <w:rPr>
                      <w:rFonts w:hint="eastAsia" w:ascii="Times New Roman" w:hAnsi="Times New Roman"/>
                      <w:color w:val="000000"/>
                      <w:sz w:val="21"/>
                      <w:szCs w:val="21"/>
                      <w:lang w:val="en-US" w:eastAsia="zh-CN"/>
                    </w:rPr>
                    <w:t>400</w:t>
                  </w:r>
                  <w:r>
                    <w:rPr>
                      <w:rFonts w:hint="default" w:ascii="Times New Roman" w:hAnsi="Times New Roman"/>
                      <w:color w:val="000000"/>
                      <w:sz w:val="21"/>
                      <w:szCs w:val="21"/>
                      <w:lang w:val="en-US" w:eastAsia="zh-CN"/>
                    </w:rPr>
                    <w:t>×</w:t>
                  </w:r>
                  <w:r>
                    <w:rPr>
                      <w:rFonts w:hint="eastAsia" w:ascii="Times New Roman" w:hAnsi="Times New Roman"/>
                      <w:color w:val="000000"/>
                      <w:sz w:val="21"/>
                      <w:szCs w:val="21"/>
                      <w:lang w:val="en-US" w:eastAsia="zh-CN"/>
                    </w:rPr>
                    <w:t>99</w:t>
                  </w:r>
                </w:p>
                <w:p w14:paraId="393F4E1E">
                  <w:pPr>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olor w:val="000000"/>
                      <w:sz w:val="21"/>
                      <w:szCs w:val="21"/>
                      <w:lang w:val="en-US" w:eastAsia="zh-CN"/>
                    </w:rPr>
                    <w:t>350</w:t>
                  </w:r>
                  <w:r>
                    <w:rPr>
                      <w:rFonts w:hint="default" w:ascii="Times New Roman" w:hAnsi="Times New Roman"/>
                      <w:color w:val="000000"/>
                      <w:sz w:val="21"/>
                      <w:szCs w:val="21"/>
                      <w:lang w:val="en-US" w:eastAsia="zh-CN"/>
                    </w:rPr>
                    <w:t>×</w:t>
                  </w:r>
                  <w:r>
                    <w:rPr>
                      <w:rFonts w:hint="eastAsia" w:ascii="Times New Roman" w:hAnsi="Times New Roman"/>
                      <w:color w:val="000000"/>
                      <w:sz w:val="21"/>
                      <w:szCs w:val="21"/>
                      <w:lang w:val="en-US" w:eastAsia="zh-CN"/>
                    </w:rPr>
                    <w:t>550</w:t>
                  </w:r>
                  <w:r>
                    <w:rPr>
                      <w:rFonts w:hint="default" w:ascii="Times New Roman" w:hAnsi="Times New Roman"/>
                      <w:color w:val="000000"/>
                      <w:sz w:val="21"/>
                      <w:szCs w:val="21"/>
                      <w:lang w:val="en-US" w:eastAsia="zh-CN"/>
                    </w:rPr>
                    <w:t>×</w:t>
                  </w:r>
                  <w:r>
                    <w:rPr>
                      <w:rFonts w:hint="eastAsia" w:ascii="Times New Roman" w:hAnsi="Times New Roman"/>
                      <w:color w:val="000000"/>
                      <w:sz w:val="21"/>
                      <w:szCs w:val="21"/>
                      <w:lang w:val="en-US" w:eastAsia="zh-CN"/>
                    </w:rPr>
                    <w:t>102等</w:t>
                  </w:r>
                </w:p>
              </w:tc>
              <w:tc>
                <w:tcPr>
                  <w:tcW w:w="2066" w:type="dxa"/>
                  <w:shd w:val="clear" w:color="auto" w:fill="auto"/>
                  <w:noWrap w:val="0"/>
                  <w:vAlign w:val="center"/>
                </w:tcPr>
                <w:p w14:paraId="0A5347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20000吨</w:t>
                  </w:r>
                </w:p>
              </w:tc>
            </w:tr>
            <w:tr w14:paraId="554A3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20" w:type="dxa"/>
                  <w:gridSpan w:val="3"/>
                  <w:noWrap w:val="0"/>
                  <w:vAlign w:val="center"/>
                </w:tcPr>
                <w:p w14:paraId="25C7CF21">
                  <w:pPr>
                    <w:spacing w:line="240" w:lineRule="auto"/>
                    <w:ind w:firstLine="0" w:firstLineChars="0"/>
                    <w:jc w:val="center"/>
                    <w:rPr>
                      <w:rFonts w:hint="eastAsia" w:ascii="Times New Roman" w:hAnsi="Times New Roman"/>
                      <w:color w:val="000000"/>
                      <w:sz w:val="21"/>
                      <w:szCs w:val="21"/>
                      <w:lang w:val="en-US" w:eastAsia="zh-CN"/>
                    </w:rPr>
                  </w:pPr>
                  <w:r>
                    <w:rPr>
                      <w:rFonts w:hint="eastAsia"/>
                      <w:color w:val="auto"/>
                      <w:sz w:val="21"/>
                      <w:szCs w:val="21"/>
                      <w:lang w:val="en-US" w:eastAsia="zh-CN"/>
                    </w:rPr>
                    <w:t>合计</w:t>
                  </w:r>
                </w:p>
              </w:tc>
              <w:tc>
                <w:tcPr>
                  <w:tcW w:w="2066" w:type="dxa"/>
                  <w:shd w:val="clear" w:color="auto" w:fill="auto"/>
                  <w:noWrap w:val="0"/>
                  <w:vAlign w:val="center"/>
                </w:tcPr>
                <w:p w14:paraId="5D9A66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40000吨</w:t>
                  </w:r>
                </w:p>
              </w:tc>
            </w:tr>
          </w:tbl>
          <w:p w14:paraId="73E32338">
            <w:pPr>
              <w:numPr>
                <w:ilvl w:val="0"/>
                <w:numId w:val="0"/>
              </w:numPr>
              <w:ind w:firstLine="0" w:firstLineChars="0"/>
              <w:rPr>
                <w:rFonts w:hint="eastAsia"/>
                <w:b/>
                <w:color w:val="auto"/>
                <w:szCs w:val="21"/>
              </w:rPr>
            </w:pPr>
            <w:r>
              <w:rPr>
                <w:rFonts w:hint="eastAsia" w:ascii="Times New Roman" w:hAnsi="Times New Roman" w:eastAsia="宋体" w:cs="Times New Roman"/>
                <w:b/>
                <w:color w:val="auto"/>
                <w:kern w:val="2"/>
                <w:sz w:val="24"/>
                <w:szCs w:val="21"/>
                <w:lang w:val="en-US" w:eastAsia="zh-CN" w:bidi="ar-SA"/>
              </w:rPr>
              <w:t>4、</w:t>
            </w:r>
            <w:r>
              <w:rPr>
                <w:rFonts w:hint="eastAsia"/>
                <w:b/>
                <w:color w:val="auto"/>
                <w:szCs w:val="21"/>
              </w:rPr>
              <w:t>项目主要设备</w:t>
            </w:r>
          </w:p>
          <w:p w14:paraId="2D53DC0A">
            <w:pPr>
              <w:ind w:firstLine="480"/>
              <w:rPr>
                <w:rFonts w:hint="eastAsia"/>
                <w:color w:val="auto"/>
              </w:rPr>
            </w:pPr>
            <w:r>
              <w:rPr>
                <w:rFonts w:hint="eastAsia"/>
                <w:bCs/>
                <w:color w:val="auto"/>
                <w:szCs w:val="21"/>
                <w:lang w:eastAsia="zh-CN"/>
              </w:rPr>
              <w:t>本次项目</w:t>
            </w:r>
            <w:r>
              <w:rPr>
                <w:rFonts w:hint="eastAsia"/>
                <w:color w:val="auto"/>
              </w:rPr>
              <w:t>主要</w:t>
            </w:r>
            <w:r>
              <w:rPr>
                <w:rFonts w:hint="eastAsia"/>
                <w:color w:val="auto"/>
                <w:lang w:eastAsia="zh-CN"/>
              </w:rPr>
              <w:t>设备</w:t>
            </w:r>
            <w:r>
              <w:rPr>
                <w:rFonts w:hint="eastAsia"/>
                <w:color w:val="auto"/>
              </w:rPr>
              <w:t>见下表。</w:t>
            </w:r>
          </w:p>
          <w:p w14:paraId="07E39831">
            <w:pPr>
              <w:ind w:firstLine="0" w:firstLineChars="0"/>
              <w:jc w:val="center"/>
              <w:rPr>
                <w:color w:val="auto"/>
              </w:rPr>
            </w:pPr>
            <w:r>
              <w:rPr>
                <w:rFonts w:hint="eastAsia"/>
                <w:b/>
                <w:color w:val="auto"/>
              </w:rPr>
              <w:t>表</w:t>
            </w:r>
            <w:r>
              <w:rPr>
                <w:rFonts w:hint="eastAsia"/>
                <w:b/>
                <w:color w:val="auto"/>
                <w:lang w:val="en-US" w:eastAsia="zh-CN"/>
              </w:rPr>
              <w:t>2-3</w:t>
            </w:r>
            <w:r>
              <w:rPr>
                <w:rFonts w:hint="eastAsia"/>
                <w:b/>
                <w:bCs/>
                <w:color w:val="auto"/>
              </w:rPr>
              <w:t xml:space="preserve"> </w:t>
            </w:r>
            <w:r>
              <w:rPr>
                <w:rFonts w:hint="eastAsia"/>
                <w:b/>
                <w:bCs/>
                <w:color w:val="auto"/>
                <w:lang w:eastAsia="zh-CN"/>
              </w:rPr>
              <w:t>本次项目</w:t>
            </w:r>
            <w:r>
              <w:rPr>
                <w:rFonts w:hint="eastAsia"/>
                <w:b/>
                <w:bCs/>
                <w:color w:val="auto"/>
              </w:rPr>
              <w:t>主要设备一览表</w:t>
            </w:r>
          </w:p>
          <w:tbl>
            <w:tblPr>
              <w:tblStyle w:val="23"/>
              <w:tblW w:w="8340" w:type="dxa"/>
              <w:tblInd w:w="0" w:type="dxa"/>
              <w:tblLayout w:type="fixed"/>
              <w:tblCellMar>
                <w:top w:w="0" w:type="dxa"/>
                <w:left w:w="108" w:type="dxa"/>
                <w:bottom w:w="0" w:type="dxa"/>
                <w:right w:w="108" w:type="dxa"/>
              </w:tblCellMar>
            </w:tblPr>
            <w:tblGrid>
              <w:gridCol w:w="617"/>
              <w:gridCol w:w="3515"/>
              <w:gridCol w:w="2295"/>
              <w:gridCol w:w="1913"/>
            </w:tblGrid>
            <w:tr w14:paraId="4FA2CE5F">
              <w:tblPrEx>
                <w:tblCellMar>
                  <w:top w:w="0" w:type="dxa"/>
                  <w:left w:w="108" w:type="dxa"/>
                  <w:bottom w:w="0" w:type="dxa"/>
                  <w:right w:w="108" w:type="dxa"/>
                </w:tblCellMar>
              </w:tblPrEx>
              <w:trPr>
                <w:trHeight w:val="306" w:hRule="atLeast"/>
              </w:trPr>
              <w:tc>
                <w:tcPr>
                  <w:tcW w:w="617" w:type="dxa"/>
                  <w:tcBorders>
                    <w:top w:val="single" w:color="000000" w:sz="4" w:space="0"/>
                    <w:left w:val="single" w:color="000000" w:sz="4" w:space="0"/>
                    <w:bottom w:val="single" w:color="000000" w:sz="4" w:space="0"/>
                    <w:right w:val="single" w:color="000000" w:sz="4" w:space="0"/>
                  </w:tcBorders>
                  <w:noWrap w:val="0"/>
                  <w:vAlign w:val="center"/>
                </w:tcPr>
                <w:p w14:paraId="6343A5F5">
                  <w:pPr>
                    <w:spacing w:line="240" w:lineRule="auto"/>
                    <w:ind w:firstLine="0" w:firstLineChars="0"/>
                    <w:jc w:val="center"/>
                    <w:rPr>
                      <w:b/>
                      <w:bCs/>
                      <w:color w:val="auto"/>
                      <w:sz w:val="21"/>
                      <w:szCs w:val="21"/>
                    </w:rPr>
                  </w:pPr>
                  <w:r>
                    <w:rPr>
                      <w:rFonts w:hint="eastAsia"/>
                      <w:b/>
                      <w:bCs/>
                      <w:color w:val="auto"/>
                      <w:sz w:val="21"/>
                      <w:szCs w:val="21"/>
                    </w:rPr>
                    <w:t>序号</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FB91835">
                  <w:pPr>
                    <w:spacing w:line="240" w:lineRule="auto"/>
                    <w:ind w:firstLine="0" w:firstLineChars="0"/>
                    <w:jc w:val="center"/>
                    <w:rPr>
                      <w:b/>
                      <w:bCs/>
                      <w:color w:val="auto"/>
                      <w:sz w:val="21"/>
                      <w:szCs w:val="21"/>
                    </w:rPr>
                  </w:pPr>
                  <w:r>
                    <w:rPr>
                      <w:rFonts w:hint="eastAsia"/>
                      <w:b/>
                      <w:bCs/>
                      <w:color w:val="auto"/>
                      <w:sz w:val="21"/>
                      <w:szCs w:val="21"/>
                    </w:rPr>
                    <w:t>设备名称</w:t>
                  </w:r>
                </w:p>
              </w:tc>
              <w:tc>
                <w:tcPr>
                  <w:tcW w:w="2295" w:type="dxa"/>
                  <w:tcBorders>
                    <w:top w:val="single" w:color="000000" w:sz="4" w:space="0"/>
                    <w:left w:val="single" w:color="000000" w:sz="4" w:space="0"/>
                    <w:bottom w:val="single" w:color="000000" w:sz="4" w:space="0"/>
                    <w:right w:val="single" w:color="000000" w:sz="4" w:space="0"/>
                  </w:tcBorders>
                  <w:noWrap w:val="0"/>
                  <w:vAlign w:val="center"/>
                </w:tcPr>
                <w:p w14:paraId="68CA7C3D">
                  <w:pPr>
                    <w:spacing w:line="240" w:lineRule="auto"/>
                    <w:ind w:firstLine="0" w:firstLineChars="0"/>
                    <w:jc w:val="center"/>
                    <w:rPr>
                      <w:b/>
                      <w:bCs/>
                      <w:color w:val="auto"/>
                      <w:sz w:val="21"/>
                      <w:szCs w:val="21"/>
                    </w:rPr>
                  </w:pPr>
                  <w:r>
                    <w:rPr>
                      <w:rFonts w:hint="eastAsia"/>
                      <w:b/>
                      <w:bCs/>
                      <w:color w:val="auto"/>
                      <w:sz w:val="21"/>
                      <w:szCs w:val="21"/>
                    </w:rPr>
                    <w:t>规格型号</w:t>
                  </w:r>
                </w:p>
              </w:tc>
              <w:tc>
                <w:tcPr>
                  <w:tcW w:w="1913" w:type="dxa"/>
                  <w:tcBorders>
                    <w:top w:val="single" w:color="000000" w:sz="4" w:space="0"/>
                    <w:left w:val="single" w:color="000000" w:sz="4" w:space="0"/>
                    <w:bottom w:val="single" w:color="000000" w:sz="4" w:space="0"/>
                    <w:right w:val="single" w:color="000000" w:sz="4" w:space="0"/>
                  </w:tcBorders>
                  <w:noWrap w:val="0"/>
                  <w:vAlign w:val="center"/>
                </w:tcPr>
                <w:p w14:paraId="22C8A609">
                  <w:pPr>
                    <w:spacing w:line="240" w:lineRule="auto"/>
                    <w:ind w:firstLine="0" w:firstLineChars="0"/>
                    <w:jc w:val="center"/>
                    <w:rPr>
                      <w:rFonts w:hint="eastAsia"/>
                      <w:b/>
                      <w:bCs/>
                      <w:color w:val="auto"/>
                      <w:sz w:val="21"/>
                      <w:szCs w:val="21"/>
                    </w:rPr>
                  </w:pPr>
                  <w:r>
                    <w:rPr>
                      <w:rFonts w:hint="eastAsia"/>
                      <w:b/>
                      <w:bCs/>
                      <w:color w:val="auto"/>
                      <w:sz w:val="21"/>
                      <w:szCs w:val="21"/>
                    </w:rPr>
                    <w:t>数量（台/套）</w:t>
                  </w:r>
                </w:p>
              </w:tc>
            </w:tr>
            <w:tr w14:paraId="4A1CE5EC">
              <w:tblPrEx>
                <w:tblCellMar>
                  <w:top w:w="0" w:type="dxa"/>
                  <w:left w:w="108" w:type="dxa"/>
                  <w:bottom w:w="0" w:type="dxa"/>
                  <w:right w:w="108" w:type="dxa"/>
                </w:tblCellMar>
              </w:tblPrEx>
              <w:trPr>
                <w:trHeight w:val="306" w:hRule="atLeast"/>
              </w:trPr>
              <w:tc>
                <w:tcPr>
                  <w:tcW w:w="8340" w:type="dxa"/>
                  <w:gridSpan w:val="4"/>
                  <w:tcBorders>
                    <w:top w:val="single" w:color="000000" w:sz="4" w:space="0"/>
                    <w:left w:val="single" w:color="000000" w:sz="4" w:space="0"/>
                    <w:bottom w:val="single" w:color="auto" w:sz="4" w:space="0"/>
                    <w:right w:val="single" w:color="000000" w:sz="4" w:space="0"/>
                  </w:tcBorders>
                  <w:noWrap w:val="0"/>
                  <w:vAlign w:val="center"/>
                </w:tcPr>
                <w:p w14:paraId="533D6641">
                  <w:pPr>
                    <w:spacing w:line="240" w:lineRule="auto"/>
                    <w:ind w:firstLine="0" w:firstLineChars="0"/>
                    <w:jc w:val="center"/>
                    <w:rPr>
                      <w:rFonts w:hint="default" w:eastAsia="宋体"/>
                      <w:color w:val="auto"/>
                      <w:sz w:val="21"/>
                      <w:szCs w:val="21"/>
                      <w:lang w:val="en-US" w:eastAsia="zh-CN"/>
                    </w:rPr>
                  </w:pPr>
                  <w:r>
                    <w:rPr>
                      <w:rFonts w:hint="eastAsia"/>
                      <w:b/>
                      <w:bCs/>
                      <w:color w:val="auto"/>
                      <w:sz w:val="21"/>
                      <w:szCs w:val="21"/>
                      <w:lang w:val="en-US" w:eastAsia="zh-CN"/>
                    </w:rPr>
                    <w:t>机加工车间</w:t>
                  </w:r>
                </w:p>
              </w:tc>
            </w:tr>
            <w:tr w14:paraId="7BC39E09">
              <w:tblPrEx>
                <w:tblCellMar>
                  <w:top w:w="0" w:type="dxa"/>
                  <w:left w:w="108" w:type="dxa"/>
                  <w:bottom w:w="0" w:type="dxa"/>
                  <w:right w:w="108" w:type="dxa"/>
                </w:tblCellMar>
              </w:tblPrEx>
              <w:trPr>
                <w:trHeight w:val="306" w:hRule="atLeast"/>
              </w:trPr>
              <w:tc>
                <w:tcPr>
                  <w:tcW w:w="617" w:type="dxa"/>
                  <w:tcBorders>
                    <w:top w:val="single" w:color="auto" w:sz="4" w:space="0"/>
                    <w:left w:val="single" w:color="auto" w:sz="4" w:space="0"/>
                    <w:bottom w:val="single" w:color="auto" w:sz="4" w:space="0"/>
                    <w:right w:val="single" w:color="auto" w:sz="4" w:space="0"/>
                  </w:tcBorders>
                  <w:noWrap/>
                  <w:vAlign w:val="center"/>
                </w:tcPr>
                <w:p w14:paraId="75B2A8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3515" w:type="dxa"/>
                  <w:tcBorders>
                    <w:top w:val="single" w:color="auto" w:sz="4" w:space="0"/>
                    <w:left w:val="single" w:color="auto" w:sz="4" w:space="0"/>
                    <w:bottom w:val="single" w:color="auto" w:sz="4" w:space="0"/>
                    <w:right w:val="single" w:color="auto" w:sz="4" w:space="0"/>
                  </w:tcBorders>
                  <w:noWrap w:val="0"/>
                  <w:vAlign w:val="center"/>
                </w:tcPr>
                <w:p w14:paraId="65F45B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立式车床</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749509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16m</w:t>
                  </w:r>
                  <w:r>
                    <w:rPr>
                      <w:rFonts w:hint="eastAsia" w:ascii="Times New Roman" w:hAnsi="Times New Roman" w:eastAsia="宋体" w:cs="Times New Roman"/>
                      <w:color w:val="auto"/>
                      <w:sz w:val="21"/>
                      <w:szCs w:val="21"/>
                      <w:vertAlign w:val="superscript"/>
                      <w:lang w:val="en-US" w:eastAsia="zh-CN"/>
                    </w:rPr>
                    <w:t>3</w:t>
                  </w:r>
                </w:p>
              </w:tc>
              <w:tc>
                <w:tcPr>
                  <w:tcW w:w="1913" w:type="dxa"/>
                  <w:tcBorders>
                    <w:top w:val="single" w:color="auto" w:sz="4" w:space="0"/>
                    <w:left w:val="single" w:color="auto" w:sz="4" w:space="0"/>
                    <w:bottom w:val="single" w:color="auto" w:sz="4" w:space="0"/>
                    <w:right w:val="single" w:color="auto" w:sz="4" w:space="0"/>
                  </w:tcBorders>
                  <w:noWrap/>
                  <w:vAlign w:val="center"/>
                </w:tcPr>
                <w:p w14:paraId="364671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r>
            <w:tr w14:paraId="3D5F6380">
              <w:tblPrEx>
                <w:tblCellMar>
                  <w:top w:w="0" w:type="dxa"/>
                  <w:left w:w="108" w:type="dxa"/>
                  <w:bottom w:w="0" w:type="dxa"/>
                  <w:right w:w="108" w:type="dxa"/>
                </w:tblCellMar>
              </w:tblPrEx>
              <w:trPr>
                <w:trHeight w:val="306" w:hRule="atLeast"/>
              </w:trPr>
              <w:tc>
                <w:tcPr>
                  <w:tcW w:w="617" w:type="dxa"/>
                  <w:tcBorders>
                    <w:top w:val="single" w:color="auto" w:sz="4" w:space="0"/>
                    <w:left w:val="single" w:color="auto" w:sz="4" w:space="0"/>
                    <w:bottom w:val="single" w:color="auto" w:sz="4" w:space="0"/>
                    <w:right w:val="single" w:color="auto" w:sz="4" w:space="0"/>
                  </w:tcBorders>
                  <w:noWrap/>
                  <w:vAlign w:val="center"/>
                </w:tcPr>
                <w:p w14:paraId="3340DF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3515" w:type="dxa"/>
                  <w:tcBorders>
                    <w:top w:val="single" w:color="auto" w:sz="4" w:space="0"/>
                    <w:left w:val="single" w:color="auto" w:sz="4" w:space="0"/>
                    <w:bottom w:val="single" w:color="auto" w:sz="4" w:space="0"/>
                    <w:right w:val="single" w:color="auto" w:sz="4" w:space="0"/>
                  </w:tcBorders>
                  <w:noWrap w:val="0"/>
                  <w:vAlign w:val="center"/>
                </w:tcPr>
                <w:p w14:paraId="61C63B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立式车床</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475B5C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25m</w:t>
                  </w:r>
                  <w:r>
                    <w:rPr>
                      <w:rFonts w:hint="eastAsia" w:ascii="Times New Roman" w:hAnsi="Times New Roman" w:eastAsia="宋体" w:cs="Times New Roman"/>
                      <w:color w:val="auto"/>
                      <w:sz w:val="21"/>
                      <w:szCs w:val="21"/>
                      <w:vertAlign w:val="superscript"/>
                      <w:lang w:val="en-US" w:eastAsia="zh-CN"/>
                    </w:rPr>
                    <w:t>3</w:t>
                  </w:r>
                </w:p>
              </w:tc>
              <w:tc>
                <w:tcPr>
                  <w:tcW w:w="1913" w:type="dxa"/>
                  <w:tcBorders>
                    <w:top w:val="single" w:color="auto" w:sz="4" w:space="0"/>
                    <w:left w:val="single" w:color="auto" w:sz="4" w:space="0"/>
                    <w:bottom w:val="single" w:color="auto" w:sz="4" w:space="0"/>
                    <w:right w:val="single" w:color="auto" w:sz="4" w:space="0"/>
                  </w:tcBorders>
                  <w:noWrap/>
                  <w:vAlign w:val="center"/>
                </w:tcPr>
                <w:p w14:paraId="3DF803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w:t>
                  </w:r>
                </w:p>
              </w:tc>
            </w:tr>
            <w:tr w14:paraId="2AD00F63">
              <w:tblPrEx>
                <w:tblCellMar>
                  <w:top w:w="0" w:type="dxa"/>
                  <w:left w:w="108" w:type="dxa"/>
                  <w:bottom w:w="0" w:type="dxa"/>
                  <w:right w:w="108" w:type="dxa"/>
                </w:tblCellMar>
              </w:tblPrEx>
              <w:trPr>
                <w:trHeight w:val="306" w:hRule="atLeast"/>
              </w:trPr>
              <w:tc>
                <w:tcPr>
                  <w:tcW w:w="617" w:type="dxa"/>
                  <w:tcBorders>
                    <w:top w:val="single" w:color="auto" w:sz="4" w:space="0"/>
                    <w:left w:val="single" w:color="auto" w:sz="4" w:space="0"/>
                    <w:bottom w:val="single" w:color="auto" w:sz="4" w:space="0"/>
                    <w:right w:val="single" w:color="auto" w:sz="4" w:space="0"/>
                  </w:tcBorders>
                  <w:noWrap/>
                  <w:vAlign w:val="center"/>
                </w:tcPr>
                <w:p w14:paraId="5F0188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3515" w:type="dxa"/>
                  <w:tcBorders>
                    <w:top w:val="single" w:color="auto" w:sz="4" w:space="0"/>
                    <w:left w:val="single" w:color="auto" w:sz="4" w:space="0"/>
                    <w:bottom w:val="single" w:color="auto" w:sz="4" w:space="0"/>
                    <w:right w:val="single" w:color="auto" w:sz="4" w:space="0"/>
                  </w:tcBorders>
                  <w:noWrap w:val="0"/>
                  <w:vAlign w:val="center"/>
                </w:tcPr>
                <w:p w14:paraId="78A8F0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锯床</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64F382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913" w:type="dxa"/>
                  <w:tcBorders>
                    <w:top w:val="single" w:color="auto" w:sz="4" w:space="0"/>
                    <w:left w:val="single" w:color="auto" w:sz="4" w:space="0"/>
                    <w:bottom w:val="single" w:color="auto" w:sz="4" w:space="0"/>
                    <w:right w:val="single" w:color="auto" w:sz="4" w:space="0"/>
                  </w:tcBorders>
                  <w:noWrap/>
                  <w:vAlign w:val="center"/>
                </w:tcPr>
                <w:p w14:paraId="5ACA4D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041F377E">
              <w:tblPrEx>
                <w:tblCellMar>
                  <w:top w:w="0" w:type="dxa"/>
                  <w:left w:w="108" w:type="dxa"/>
                  <w:bottom w:w="0" w:type="dxa"/>
                  <w:right w:w="108" w:type="dxa"/>
                </w:tblCellMar>
              </w:tblPrEx>
              <w:trPr>
                <w:trHeight w:val="306" w:hRule="atLeast"/>
              </w:trPr>
              <w:tc>
                <w:tcPr>
                  <w:tcW w:w="617" w:type="dxa"/>
                  <w:tcBorders>
                    <w:top w:val="single" w:color="auto" w:sz="4" w:space="0"/>
                    <w:left w:val="single" w:color="auto" w:sz="4" w:space="0"/>
                    <w:bottom w:val="single" w:color="auto" w:sz="4" w:space="0"/>
                    <w:right w:val="single" w:color="auto" w:sz="4" w:space="0"/>
                  </w:tcBorders>
                  <w:noWrap/>
                  <w:vAlign w:val="center"/>
                </w:tcPr>
                <w:p w14:paraId="7EA23C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3515" w:type="dxa"/>
                  <w:tcBorders>
                    <w:top w:val="single" w:color="auto" w:sz="4" w:space="0"/>
                    <w:left w:val="single" w:color="auto" w:sz="4" w:space="0"/>
                    <w:bottom w:val="single" w:color="auto" w:sz="4" w:space="0"/>
                    <w:right w:val="single" w:color="auto" w:sz="4" w:space="0"/>
                  </w:tcBorders>
                  <w:noWrap w:val="0"/>
                  <w:vAlign w:val="center"/>
                </w:tcPr>
                <w:p w14:paraId="799ADA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卧式车床</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45E34E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913" w:type="dxa"/>
                  <w:tcBorders>
                    <w:top w:val="single" w:color="auto" w:sz="4" w:space="0"/>
                    <w:left w:val="single" w:color="auto" w:sz="4" w:space="0"/>
                    <w:bottom w:val="single" w:color="auto" w:sz="4" w:space="0"/>
                    <w:right w:val="single" w:color="auto" w:sz="4" w:space="0"/>
                  </w:tcBorders>
                  <w:noWrap/>
                  <w:vAlign w:val="center"/>
                </w:tcPr>
                <w:p w14:paraId="3FF5FD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r>
            <w:tr w14:paraId="57E97E5D">
              <w:tblPrEx>
                <w:tblCellMar>
                  <w:top w:w="0" w:type="dxa"/>
                  <w:left w:w="108" w:type="dxa"/>
                  <w:bottom w:w="0" w:type="dxa"/>
                  <w:right w:w="108" w:type="dxa"/>
                </w:tblCellMar>
              </w:tblPrEx>
              <w:trPr>
                <w:trHeight w:val="306" w:hRule="atLeast"/>
              </w:trPr>
              <w:tc>
                <w:tcPr>
                  <w:tcW w:w="617" w:type="dxa"/>
                  <w:tcBorders>
                    <w:top w:val="single" w:color="auto" w:sz="4" w:space="0"/>
                    <w:left w:val="single" w:color="auto" w:sz="4" w:space="0"/>
                    <w:bottom w:val="single" w:color="auto" w:sz="4" w:space="0"/>
                    <w:right w:val="single" w:color="auto" w:sz="4" w:space="0"/>
                  </w:tcBorders>
                  <w:noWrap/>
                  <w:vAlign w:val="center"/>
                </w:tcPr>
                <w:p w14:paraId="0E2266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3515" w:type="dxa"/>
                  <w:tcBorders>
                    <w:top w:val="single" w:color="auto" w:sz="4" w:space="0"/>
                    <w:left w:val="single" w:color="auto" w:sz="4" w:space="0"/>
                    <w:bottom w:val="single" w:color="auto" w:sz="4" w:space="0"/>
                    <w:right w:val="single" w:color="auto" w:sz="4" w:space="0"/>
                  </w:tcBorders>
                  <w:noWrap w:val="0"/>
                  <w:vAlign w:val="center"/>
                </w:tcPr>
                <w:p w14:paraId="7A0E02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eastAsiaTheme="minorEastAsia"/>
                      <w:i w:val="0"/>
                      <w:iCs w:val="0"/>
                      <w:color w:val="000000"/>
                      <w:kern w:val="0"/>
                      <w:sz w:val="21"/>
                      <w:szCs w:val="21"/>
                      <w:u w:val="none"/>
                      <w:lang w:val="en-US" w:eastAsia="zh-CN" w:bidi="ar"/>
                    </w:rPr>
                    <w:t>铣边</w:t>
                  </w:r>
                  <w:r>
                    <w:rPr>
                      <w:rFonts w:hint="default" w:ascii="Times New Roman" w:hAnsi="Times New Roman" w:cs="Times New Roman" w:eastAsiaTheme="minorEastAsia"/>
                      <w:i w:val="0"/>
                      <w:iCs w:val="0"/>
                      <w:color w:val="000000"/>
                      <w:kern w:val="0"/>
                      <w:sz w:val="21"/>
                      <w:szCs w:val="21"/>
                      <w:u w:val="none"/>
                      <w:lang w:val="en-US" w:eastAsia="zh-CN" w:bidi="ar"/>
                    </w:rPr>
                    <w:t>机</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2881CD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913" w:type="dxa"/>
                  <w:tcBorders>
                    <w:top w:val="single" w:color="auto" w:sz="4" w:space="0"/>
                    <w:left w:val="single" w:color="auto" w:sz="4" w:space="0"/>
                    <w:bottom w:val="single" w:color="auto" w:sz="4" w:space="0"/>
                    <w:right w:val="single" w:color="auto" w:sz="4" w:space="0"/>
                  </w:tcBorders>
                  <w:noWrap/>
                  <w:vAlign w:val="center"/>
                </w:tcPr>
                <w:p w14:paraId="034DF3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4DA6EBF0">
              <w:tblPrEx>
                <w:tblCellMar>
                  <w:top w:w="0" w:type="dxa"/>
                  <w:left w:w="108" w:type="dxa"/>
                  <w:bottom w:w="0" w:type="dxa"/>
                  <w:right w:w="108" w:type="dxa"/>
                </w:tblCellMar>
              </w:tblPrEx>
              <w:trPr>
                <w:trHeight w:val="306" w:hRule="atLeast"/>
              </w:trPr>
              <w:tc>
                <w:tcPr>
                  <w:tcW w:w="617" w:type="dxa"/>
                  <w:tcBorders>
                    <w:top w:val="single" w:color="auto" w:sz="4" w:space="0"/>
                    <w:left w:val="single" w:color="auto" w:sz="4" w:space="0"/>
                    <w:bottom w:val="single" w:color="auto" w:sz="4" w:space="0"/>
                    <w:right w:val="single" w:color="auto" w:sz="4" w:space="0"/>
                  </w:tcBorders>
                  <w:noWrap/>
                  <w:vAlign w:val="center"/>
                </w:tcPr>
                <w:p w14:paraId="3FF06A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3515" w:type="dxa"/>
                  <w:tcBorders>
                    <w:top w:val="single" w:color="auto" w:sz="4" w:space="0"/>
                    <w:left w:val="single" w:color="auto" w:sz="4" w:space="0"/>
                    <w:bottom w:val="single" w:color="auto" w:sz="4" w:space="0"/>
                    <w:right w:val="single" w:color="auto" w:sz="4" w:space="0"/>
                  </w:tcBorders>
                  <w:noWrap w:val="0"/>
                  <w:vAlign w:val="center"/>
                </w:tcPr>
                <w:p w14:paraId="4FDFAA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机械裁板机</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7C14DF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913" w:type="dxa"/>
                  <w:tcBorders>
                    <w:top w:val="single" w:color="auto" w:sz="4" w:space="0"/>
                    <w:left w:val="single" w:color="auto" w:sz="4" w:space="0"/>
                    <w:bottom w:val="single" w:color="auto" w:sz="4" w:space="0"/>
                    <w:right w:val="single" w:color="auto" w:sz="4" w:space="0"/>
                  </w:tcBorders>
                  <w:noWrap/>
                  <w:vAlign w:val="center"/>
                </w:tcPr>
                <w:p w14:paraId="1C02DA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r>
            <w:tr w14:paraId="4A448BFD">
              <w:tblPrEx>
                <w:tblCellMar>
                  <w:top w:w="0" w:type="dxa"/>
                  <w:left w:w="108" w:type="dxa"/>
                  <w:bottom w:w="0" w:type="dxa"/>
                  <w:right w:w="108" w:type="dxa"/>
                </w:tblCellMar>
              </w:tblPrEx>
              <w:trPr>
                <w:trHeight w:val="306" w:hRule="atLeast"/>
              </w:trPr>
              <w:tc>
                <w:tcPr>
                  <w:tcW w:w="617" w:type="dxa"/>
                  <w:tcBorders>
                    <w:top w:val="single" w:color="auto" w:sz="4" w:space="0"/>
                    <w:left w:val="single" w:color="auto" w:sz="4" w:space="0"/>
                    <w:bottom w:val="single" w:color="auto" w:sz="4" w:space="0"/>
                    <w:right w:val="single" w:color="auto" w:sz="4" w:space="0"/>
                  </w:tcBorders>
                  <w:noWrap/>
                  <w:vAlign w:val="center"/>
                </w:tcPr>
                <w:p w14:paraId="3FCB86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3515" w:type="dxa"/>
                  <w:vMerge w:val="restart"/>
                  <w:tcBorders>
                    <w:top w:val="single" w:color="auto" w:sz="4" w:space="0"/>
                    <w:left w:val="single" w:color="auto" w:sz="4" w:space="0"/>
                    <w:right w:val="single" w:color="auto" w:sz="4" w:space="0"/>
                  </w:tcBorders>
                  <w:noWrap w:val="0"/>
                  <w:vAlign w:val="center"/>
                </w:tcPr>
                <w:p w14:paraId="5F5D63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电动平板机</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4546C6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大平板</w:t>
                  </w:r>
                </w:p>
              </w:tc>
              <w:tc>
                <w:tcPr>
                  <w:tcW w:w="1913" w:type="dxa"/>
                  <w:tcBorders>
                    <w:top w:val="single" w:color="auto" w:sz="4" w:space="0"/>
                    <w:left w:val="single" w:color="auto" w:sz="4" w:space="0"/>
                    <w:bottom w:val="single" w:color="auto" w:sz="4" w:space="0"/>
                    <w:right w:val="single" w:color="auto" w:sz="4" w:space="0"/>
                  </w:tcBorders>
                  <w:noWrap/>
                  <w:vAlign w:val="center"/>
                </w:tcPr>
                <w:p w14:paraId="72AC98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r>
            <w:tr w14:paraId="18FBCC92">
              <w:tblPrEx>
                <w:tblCellMar>
                  <w:top w:w="0" w:type="dxa"/>
                  <w:left w:w="108" w:type="dxa"/>
                  <w:bottom w:w="0" w:type="dxa"/>
                  <w:right w:w="108" w:type="dxa"/>
                </w:tblCellMar>
              </w:tblPrEx>
              <w:trPr>
                <w:trHeight w:val="306" w:hRule="atLeast"/>
              </w:trPr>
              <w:tc>
                <w:tcPr>
                  <w:tcW w:w="617" w:type="dxa"/>
                  <w:tcBorders>
                    <w:top w:val="single" w:color="auto" w:sz="4" w:space="0"/>
                    <w:left w:val="single" w:color="auto" w:sz="4" w:space="0"/>
                    <w:bottom w:val="single" w:color="auto" w:sz="4" w:space="0"/>
                    <w:right w:val="single" w:color="auto" w:sz="4" w:space="0"/>
                  </w:tcBorders>
                  <w:noWrap/>
                  <w:vAlign w:val="center"/>
                </w:tcPr>
                <w:p w14:paraId="030706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3515" w:type="dxa"/>
                  <w:vMerge w:val="continue"/>
                  <w:tcBorders>
                    <w:left w:val="single" w:color="auto" w:sz="4" w:space="0"/>
                    <w:bottom w:val="single" w:color="auto" w:sz="4" w:space="0"/>
                    <w:right w:val="single" w:color="auto" w:sz="4" w:space="0"/>
                  </w:tcBorders>
                  <w:noWrap w:val="0"/>
                  <w:vAlign w:val="center"/>
                </w:tcPr>
                <w:p w14:paraId="337A92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p>
              </w:tc>
              <w:tc>
                <w:tcPr>
                  <w:tcW w:w="2295" w:type="dxa"/>
                  <w:tcBorders>
                    <w:top w:val="single" w:color="auto" w:sz="4" w:space="0"/>
                    <w:left w:val="single" w:color="auto" w:sz="4" w:space="0"/>
                    <w:bottom w:val="single" w:color="auto" w:sz="4" w:space="0"/>
                    <w:right w:val="single" w:color="auto" w:sz="4" w:space="0"/>
                  </w:tcBorders>
                  <w:noWrap w:val="0"/>
                  <w:vAlign w:val="center"/>
                </w:tcPr>
                <w:p w14:paraId="3B6599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小平板</w:t>
                  </w:r>
                </w:p>
              </w:tc>
              <w:tc>
                <w:tcPr>
                  <w:tcW w:w="1913" w:type="dxa"/>
                  <w:tcBorders>
                    <w:top w:val="single" w:color="auto" w:sz="4" w:space="0"/>
                    <w:left w:val="single" w:color="auto" w:sz="4" w:space="0"/>
                    <w:bottom w:val="single" w:color="auto" w:sz="4" w:space="0"/>
                    <w:right w:val="single" w:color="auto" w:sz="4" w:space="0"/>
                  </w:tcBorders>
                  <w:noWrap/>
                  <w:vAlign w:val="center"/>
                </w:tcPr>
                <w:p w14:paraId="05A148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r>
            <w:tr w14:paraId="0F378DBF">
              <w:tblPrEx>
                <w:tblCellMar>
                  <w:top w:w="0" w:type="dxa"/>
                  <w:left w:w="108" w:type="dxa"/>
                  <w:bottom w:w="0" w:type="dxa"/>
                  <w:right w:w="108" w:type="dxa"/>
                </w:tblCellMar>
              </w:tblPrEx>
              <w:trPr>
                <w:trHeight w:val="306" w:hRule="atLeast"/>
              </w:trPr>
              <w:tc>
                <w:tcPr>
                  <w:tcW w:w="617" w:type="dxa"/>
                  <w:tcBorders>
                    <w:top w:val="single" w:color="auto" w:sz="4" w:space="0"/>
                    <w:left w:val="single" w:color="auto" w:sz="4" w:space="0"/>
                    <w:bottom w:val="single" w:color="auto" w:sz="4" w:space="0"/>
                    <w:right w:val="single" w:color="auto" w:sz="4" w:space="0"/>
                  </w:tcBorders>
                  <w:noWrap/>
                  <w:vAlign w:val="center"/>
                </w:tcPr>
                <w:p w14:paraId="74B4C2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3515" w:type="dxa"/>
                  <w:tcBorders>
                    <w:top w:val="single" w:color="auto" w:sz="4" w:space="0"/>
                    <w:left w:val="single" w:color="auto" w:sz="4" w:space="0"/>
                    <w:bottom w:val="single" w:color="auto" w:sz="4" w:space="0"/>
                    <w:right w:val="single" w:color="auto" w:sz="4" w:space="0"/>
                  </w:tcBorders>
                  <w:noWrap w:val="0"/>
                  <w:vAlign w:val="center"/>
                </w:tcPr>
                <w:p w14:paraId="6387E2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大族激光机</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5E771E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913" w:type="dxa"/>
                  <w:tcBorders>
                    <w:top w:val="single" w:color="auto" w:sz="4" w:space="0"/>
                    <w:left w:val="single" w:color="auto" w:sz="4" w:space="0"/>
                    <w:bottom w:val="single" w:color="auto" w:sz="4" w:space="0"/>
                    <w:right w:val="single" w:color="auto" w:sz="4" w:space="0"/>
                  </w:tcBorders>
                  <w:noWrap/>
                  <w:vAlign w:val="center"/>
                </w:tcPr>
                <w:p w14:paraId="406266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r>
            <w:tr w14:paraId="03660A7F">
              <w:tblPrEx>
                <w:tblCellMar>
                  <w:top w:w="0" w:type="dxa"/>
                  <w:left w:w="108" w:type="dxa"/>
                  <w:bottom w:w="0" w:type="dxa"/>
                  <w:right w:w="108" w:type="dxa"/>
                </w:tblCellMar>
              </w:tblPrEx>
              <w:trPr>
                <w:trHeight w:val="306" w:hRule="atLeast"/>
              </w:trPr>
              <w:tc>
                <w:tcPr>
                  <w:tcW w:w="617" w:type="dxa"/>
                  <w:tcBorders>
                    <w:top w:val="single" w:color="auto" w:sz="4" w:space="0"/>
                    <w:left w:val="single" w:color="auto" w:sz="4" w:space="0"/>
                    <w:bottom w:val="single" w:color="auto" w:sz="4" w:space="0"/>
                    <w:right w:val="single" w:color="auto" w:sz="4" w:space="0"/>
                  </w:tcBorders>
                  <w:noWrap/>
                  <w:vAlign w:val="center"/>
                </w:tcPr>
                <w:p w14:paraId="20CEEF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3515" w:type="dxa"/>
                  <w:tcBorders>
                    <w:top w:val="single" w:color="auto" w:sz="4" w:space="0"/>
                    <w:left w:val="single" w:color="auto" w:sz="4" w:space="0"/>
                    <w:bottom w:val="single" w:color="auto" w:sz="4" w:space="0"/>
                    <w:right w:val="single" w:color="auto" w:sz="4" w:space="0"/>
                  </w:tcBorders>
                  <w:noWrap w:val="0"/>
                  <w:vAlign w:val="center"/>
                </w:tcPr>
                <w:p w14:paraId="4A5924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立式喷砂机</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4CFAD3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913" w:type="dxa"/>
                  <w:tcBorders>
                    <w:top w:val="single" w:color="auto" w:sz="4" w:space="0"/>
                    <w:left w:val="single" w:color="auto" w:sz="4" w:space="0"/>
                    <w:bottom w:val="single" w:color="auto" w:sz="4" w:space="0"/>
                    <w:right w:val="single" w:color="auto" w:sz="4" w:space="0"/>
                  </w:tcBorders>
                  <w:noWrap/>
                  <w:vAlign w:val="center"/>
                </w:tcPr>
                <w:p w14:paraId="76447C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r>
            <w:tr w14:paraId="427875CB">
              <w:tblPrEx>
                <w:tblCellMar>
                  <w:top w:w="0" w:type="dxa"/>
                  <w:left w:w="108" w:type="dxa"/>
                  <w:bottom w:w="0" w:type="dxa"/>
                  <w:right w:w="108" w:type="dxa"/>
                </w:tblCellMar>
              </w:tblPrEx>
              <w:trPr>
                <w:trHeight w:val="306" w:hRule="atLeast"/>
              </w:trPr>
              <w:tc>
                <w:tcPr>
                  <w:tcW w:w="617" w:type="dxa"/>
                  <w:tcBorders>
                    <w:top w:val="single" w:color="auto" w:sz="4" w:space="0"/>
                    <w:left w:val="single" w:color="auto" w:sz="4" w:space="0"/>
                    <w:bottom w:val="single" w:color="auto" w:sz="4" w:space="0"/>
                    <w:right w:val="single" w:color="auto" w:sz="4" w:space="0"/>
                  </w:tcBorders>
                  <w:noWrap/>
                  <w:vAlign w:val="center"/>
                </w:tcPr>
                <w:p w14:paraId="0939FE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3515" w:type="dxa"/>
                  <w:tcBorders>
                    <w:top w:val="single" w:color="auto" w:sz="4" w:space="0"/>
                    <w:left w:val="single" w:color="auto" w:sz="4" w:space="0"/>
                    <w:bottom w:val="single" w:color="auto" w:sz="4" w:space="0"/>
                    <w:right w:val="single" w:color="auto" w:sz="4" w:space="0"/>
                  </w:tcBorders>
                  <w:noWrap w:val="0"/>
                  <w:vAlign w:val="center"/>
                </w:tcPr>
                <w:p w14:paraId="7286EE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卧式喷砂机</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4B49C6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913" w:type="dxa"/>
                  <w:tcBorders>
                    <w:top w:val="single" w:color="auto" w:sz="4" w:space="0"/>
                    <w:left w:val="single" w:color="auto" w:sz="4" w:space="0"/>
                    <w:bottom w:val="single" w:color="auto" w:sz="4" w:space="0"/>
                    <w:right w:val="single" w:color="auto" w:sz="4" w:space="0"/>
                  </w:tcBorders>
                  <w:noWrap/>
                  <w:vAlign w:val="center"/>
                </w:tcPr>
                <w:p w14:paraId="570D31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r>
            <w:tr w14:paraId="19C630F7">
              <w:tblPrEx>
                <w:tblCellMar>
                  <w:top w:w="0" w:type="dxa"/>
                  <w:left w:w="108" w:type="dxa"/>
                  <w:bottom w:w="0" w:type="dxa"/>
                  <w:right w:w="108" w:type="dxa"/>
                </w:tblCellMar>
              </w:tblPrEx>
              <w:trPr>
                <w:trHeight w:val="306" w:hRule="atLeast"/>
              </w:trPr>
              <w:tc>
                <w:tcPr>
                  <w:tcW w:w="8340" w:type="dxa"/>
                  <w:gridSpan w:val="4"/>
                  <w:tcBorders>
                    <w:top w:val="single" w:color="auto" w:sz="4" w:space="0"/>
                    <w:left w:val="single" w:color="auto" w:sz="4" w:space="0"/>
                    <w:bottom w:val="single" w:color="auto" w:sz="4" w:space="0"/>
                    <w:right w:val="single" w:color="auto" w:sz="4" w:space="0"/>
                  </w:tcBorders>
                  <w:noWrap/>
                  <w:vAlign w:val="center"/>
                </w:tcPr>
                <w:p w14:paraId="3B254D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密炼车间</w:t>
                  </w:r>
                </w:p>
              </w:tc>
            </w:tr>
            <w:tr w14:paraId="32F36C80">
              <w:tblPrEx>
                <w:tblCellMar>
                  <w:top w:w="0" w:type="dxa"/>
                  <w:left w:w="108" w:type="dxa"/>
                  <w:bottom w:w="0" w:type="dxa"/>
                  <w:right w:w="108" w:type="dxa"/>
                </w:tblCellMar>
              </w:tblPrEx>
              <w:trPr>
                <w:trHeight w:val="306" w:hRule="atLeast"/>
              </w:trPr>
              <w:tc>
                <w:tcPr>
                  <w:tcW w:w="617" w:type="dxa"/>
                  <w:tcBorders>
                    <w:top w:val="single" w:color="auto" w:sz="4" w:space="0"/>
                    <w:left w:val="single" w:color="auto" w:sz="4" w:space="0"/>
                    <w:bottom w:val="single" w:color="auto" w:sz="4" w:space="0"/>
                    <w:right w:val="single" w:color="auto" w:sz="4" w:space="0"/>
                  </w:tcBorders>
                  <w:noWrap/>
                  <w:vAlign w:val="center"/>
                </w:tcPr>
                <w:p w14:paraId="13FF3C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3515" w:type="dxa"/>
                  <w:tcBorders>
                    <w:top w:val="single" w:color="auto" w:sz="4" w:space="0"/>
                    <w:left w:val="single" w:color="auto" w:sz="4" w:space="0"/>
                    <w:bottom w:val="single" w:color="auto" w:sz="4" w:space="0"/>
                    <w:right w:val="single" w:color="auto" w:sz="4" w:space="0"/>
                  </w:tcBorders>
                  <w:noWrap w:val="0"/>
                  <w:vAlign w:val="center"/>
                </w:tcPr>
                <w:p w14:paraId="58B37D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密炼机</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535149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75L</w:t>
                  </w:r>
                </w:p>
              </w:tc>
              <w:tc>
                <w:tcPr>
                  <w:tcW w:w="1913" w:type="dxa"/>
                  <w:tcBorders>
                    <w:top w:val="single" w:color="auto" w:sz="4" w:space="0"/>
                    <w:left w:val="single" w:color="auto" w:sz="4" w:space="0"/>
                    <w:bottom w:val="single" w:color="auto" w:sz="4" w:space="0"/>
                    <w:right w:val="single" w:color="auto" w:sz="4" w:space="0"/>
                  </w:tcBorders>
                  <w:noWrap/>
                  <w:vAlign w:val="center"/>
                </w:tcPr>
                <w:p w14:paraId="3C066A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r>
            <w:tr w14:paraId="459AF567">
              <w:tblPrEx>
                <w:tblCellMar>
                  <w:top w:w="0" w:type="dxa"/>
                  <w:left w:w="108" w:type="dxa"/>
                  <w:bottom w:w="0" w:type="dxa"/>
                  <w:right w:w="108" w:type="dxa"/>
                </w:tblCellMar>
              </w:tblPrEx>
              <w:trPr>
                <w:trHeight w:val="306" w:hRule="atLeast"/>
              </w:trPr>
              <w:tc>
                <w:tcPr>
                  <w:tcW w:w="617" w:type="dxa"/>
                  <w:tcBorders>
                    <w:top w:val="single" w:color="auto" w:sz="4" w:space="0"/>
                    <w:left w:val="single" w:color="auto" w:sz="4" w:space="0"/>
                    <w:bottom w:val="single" w:color="auto" w:sz="4" w:space="0"/>
                    <w:right w:val="single" w:color="auto" w:sz="4" w:space="0"/>
                  </w:tcBorders>
                  <w:noWrap/>
                  <w:vAlign w:val="center"/>
                </w:tcPr>
                <w:p w14:paraId="639E24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3515" w:type="dxa"/>
                  <w:tcBorders>
                    <w:top w:val="single" w:color="auto" w:sz="4" w:space="0"/>
                    <w:left w:val="single" w:color="auto" w:sz="4" w:space="0"/>
                    <w:bottom w:val="single" w:color="auto" w:sz="4" w:space="0"/>
                    <w:right w:val="single" w:color="auto" w:sz="4" w:space="0"/>
                  </w:tcBorders>
                  <w:noWrap w:val="0"/>
                  <w:vAlign w:val="center"/>
                </w:tcPr>
                <w:p w14:paraId="767A57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开炼机</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6EA665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18寸</w:t>
                  </w:r>
                </w:p>
              </w:tc>
              <w:tc>
                <w:tcPr>
                  <w:tcW w:w="1913" w:type="dxa"/>
                  <w:tcBorders>
                    <w:top w:val="single" w:color="auto" w:sz="4" w:space="0"/>
                    <w:left w:val="single" w:color="auto" w:sz="4" w:space="0"/>
                    <w:bottom w:val="single" w:color="auto" w:sz="4" w:space="0"/>
                    <w:right w:val="single" w:color="auto" w:sz="4" w:space="0"/>
                  </w:tcBorders>
                  <w:noWrap/>
                  <w:vAlign w:val="center"/>
                </w:tcPr>
                <w:p w14:paraId="613BC1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r>
            <w:tr w14:paraId="5350476C">
              <w:tblPrEx>
                <w:tblCellMar>
                  <w:top w:w="0" w:type="dxa"/>
                  <w:left w:w="108" w:type="dxa"/>
                  <w:bottom w:w="0" w:type="dxa"/>
                  <w:right w:w="108" w:type="dxa"/>
                </w:tblCellMar>
              </w:tblPrEx>
              <w:trPr>
                <w:trHeight w:val="306" w:hRule="atLeast"/>
              </w:trPr>
              <w:tc>
                <w:tcPr>
                  <w:tcW w:w="617" w:type="dxa"/>
                  <w:tcBorders>
                    <w:top w:val="single" w:color="auto" w:sz="4" w:space="0"/>
                    <w:left w:val="single" w:color="auto" w:sz="4" w:space="0"/>
                    <w:bottom w:val="single" w:color="auto" w:sz="4" w:space="0"/>
                    <w:right w:val="single" w:color="auto" w:sz="4" w:space="0"/>
                  </w:tcBorders>
                  <w:noWrap/>
                  <w:vAlign w:val="center"/>
                </w:tcPr>
                <w:p w14:paraId="657610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3515" w:type="dxa"/>
                  <w:tcBorders>
                    <w:top w:val="single" w:color="auto" w:sz="4" w:space="0"/>
                    <w:left w:val="single" w:color="auto" w:sz="4" w:space="0"/>
                    <w:bottom w:val="single" w:color="auto" w:sz="4" w:space="0"/>
                    <w:right w:val="single" w:color="auto" w:sz="4" w:space="0"/>
                  </w:tcBorders>
                  <w:noWrap w:val="0"/>
                  <w:vAlign w:val="center"/>
                </w:tcPr>
                <w:p w14:paraId="2CCC52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电动液压切胶机</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70A882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913" w:type="dxa"/>
                  <w:tcBorders>
                    <w:top w:val="single" w:color="auto" w:sz="4" w:space="0"/>
                    <w:left w:val="single" w:color="auto" w:sz="4" w:space="0"/>
                    <w:bottom w:val="single" w:color="auto" w:sz="4" w:space="0"/>
                    <w:right w:val="single" w:color="auto" w:sz="4" w:space="0"/>
                  </w:tcBorders>
                  <w:noWrap/>
                  <w:vAlign w:val="center"/>
                </w:tcPr>
                <w:p w14:paraId="1F724E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r>
            <w:tr w14:paraId="6AAAF0F9">
              <w:tblPrEx>
                <w:tblCellMar>
                  <w:top w:w="0" w:type="dxa"/>
                  <w:left w:w="108" w:type="dxa"/>
                  <w:bottom w:w="0" w:type="dxa"/>
                  <w:right w:w="108" w:type="dxa"/>
                </w:tblCellMar>
              </w:tblPrEx>
              <w:trPr>
                <w:trHeight w:val="265" w:hRule="atLeast"/>
              </w:trPr>
              <w:tc>
                <w:tcPr>
                  <w:tcW w:w="617" w:type="dxa"/>
                  <w:tcBorders>
                    <w:top w:val="single" w:color="auto" w:sz="4" w:space="0"/>
                    <w:left w:val="single" w:color="auto" w:sz="4" w:space="0"/>
                    <w:bottom w:val="single" w:color="auto" w:sz="4" w:space="0"/>
                    <w:right w:val="single" w:color="auto" w:sz="4" w:space="0"/>
                  </w:tcBorders>
                  <w:noWrap/>
                  <w:vAlign w:val="center"/>
                </w:tcPr>
                <w:p w14:paraId="1C7010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3515" w:type="dxa"/>
                  <w:tcBorders>
                    <w:top w:val="single" w:color="auto" w:sz="4" w:space="0"/>
                    <w:left w:val="single" w:color="auto" w:sz="4" w:space="0"/>
                    <w:bottom w:val="single" w:color="auto" w:sz="4" w:space="0"/>
                    <w:right w:val="single" w:color="auto" w:sz="4" w:space="0"/>
                  </w:tcBorders>
                  <w:noWrap w:val="0"/>
                  <w:vAlign w:val="center"/>
                </w:tcPr>
                <w:p w14:paraId="3DA220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水冷设备</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69CB18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913" w:type="dxa"/>
                  <w:tcBorders>
                    <w:top w:val="single" w:color="auto" w:sz="4" w:space="0"/>
                    <w:left w:val="single" w:color="auto" w:sz="4" w:space="0"/>
                    <w:bottom w:val="single" w:color="auto" w:sz="4" w:space="0"/>
                    <w:right w:val="single" w:color="auto" w:sz="4" w:space="0"/>
                  </w:tcBorders>
                  <w:noWrap/>
                  <w:vAlign w:val="center"/>
                </w:tcPr>
                <w:p w14:paraId="55F569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r>
            <w:tr w14:paraId="5377AFCB">
              <w:tblPrEx>
                <w:tblCellMar>
                  <w:top w:w="0" w:type="dxa"/>
                  <w:left w:w="108" w:type="dxa"/>
                  <w:bottom w:w="0" w:type="dxa"/>
                  <w:right w:w="108" w:type="dxa"/>
                </w:tblCellMar>
              </w:tblPrEx>
              <w:trPr>
                <w:trHeight w:val="306" w:hRule="atLeast"/>
              </w:trPr>
              <w:tc>
                <w:tcPr>
                  <w:tcW w:w="617" w:type="dxa"/>
                  <w:tcBorders>
                    <w:top w:val="single" w:color="auto" w:sz="4" w:space="0"/>
                    <w:left w:val="single" w:color="auto" w:sz="4" w:space="0"/>
                    <w:bottom w:val="single" w:color="auto" w:sz="4" w:space="0"/>
                    <w:right w:val="single" w:color="auto" w:sz="4" w:space="0"/>
                  </w:tcBorders>
                  <w:noWrap/>
                  <w:vAlign w:val="center"/>
                </w:tcPr>
                <w:p w14:paraId="24BBA2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3515" w:type="dxa"/>
                  <w:tcBorders>
                    <w:top w:val="single" w:color="auto" w:sz="4" w:space="0"/>
                    <w:left w:val="single" w:color="auto" w:sz="4" w:space="0"/>
                    <w:bottom w:val="single" w:color="auto" w:sz="4" w:space="0"/>
                    <w:right w:val="single" w:color="auto" w:sz="4" w:space="0"/>
                  </w:tcBorders>
                  <w:noWrap w:val="0"/>
                  <w:vAlign w:val="center"/>
                </w:tcPr>
                <w:p w14:paraId="1263A6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水冷下片机</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75223C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913" w:type="dxa"/>
                  <w:tcBorders>
                    <w:top w:val="single" w:color="auto" w:sz="4" w:space="0"/>
                    <w:left w:val="single" w:color="auto" w:sz="4" w:space="0"/>
                    <w:bottom w:val="single" w:color="auto" w:sz="4" w:space="0"/>
                    <w:right w:val="single" w:color="auto" w:sz="4" w:space="0"/>
                  </w:tcBorders>
                  <w:noWrap/>
                  <w:vAlign w:val="center"/>
                </w:tcPr>
                <w:p w14:paraId="17A54E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r>
            <w:tr w14:paraId="3F0FB39A">
              <w:tblPrEx>
                <w:tblCellMar>
                  <w:top w:w="0" w:type="dxa"/>
                  <w:left w:w="108" w:type="dxa"/>
                  <w:bottom w:w="0" w:type="dxa"/>
                  <w:right w:w="108" w:type="dxa"/>
                </w:tblCellMar>
              </w:tblPrEx>
              <w:trPr>
                <w:trHeight w:val="306" w:hRule="atLeast"/>
              </w:trPr>
              <w:tc>
                <w:tcPr>
                  <w:tcW w:w="8340" w:type="dxa"/>
                  <w:gridSpan w:val="4"/>
                  <w:tcBorders>
                    <w:top w:val="single" w:color="auto" w:sz="4" w:space="0"/>
                    <w:left w:val="single" w:color="auto" w:sz="4" w:space="0"/>
                    <w:bottom w:val="single" w:color="auto" w:sz="4" w:space="0"/>
                    <w:right w:val="single" w:color="auto" w:sz="4" w:space="0"/>
                  </w:tcBorders>
                  <w:noWrap/>
                  <w:vAlign w:val="center"/>
                </w:tcPr>
                <w:p w14:paraId="6544FA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硫化车间</w:t>
                  </w:r>
                </w:p>
              </w:tc>
            </w:tr>
            <w:tr w14:paraId="015A47B3">
              <w:tblPrEx>
                <w:tblCellMar>
                  <w:top w:w="0" w:type="dxa"/>
                  <w:left w:w="108" w:type="dxa"/>
                  <w:bottom w:w="0" w:type="dxa"/>
                  <w:right w:w="108" w:type="dxa"/>
                </w:tblCellMar>
              </w:tblPrEx>
              <w:trPr>
                <w:trHeight w:val="306"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29A5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3515" w:type="dxa"/>
                  <w:tcBorders>
                    <w:top w:val="single" w:color="auto" w:sz="4" w:space="0"/>
                    <w:left w:val="single" w:color="auto" w:sz="4" w:space="0"/>
                    <w:bottom w:val="single" w:color="auto" w:sz="4" w:space="0"/>
                    <w:right w:val="single" w:color="auto" w:sz="4" w:space="0"/>
                  </w:tcBorders>
                  <w:noWrap w:val="0"/>
                  <w:vAlign w:val="center"/>
                </w:tcPr>
                <w:p w14:paraId="015699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硫化机</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243575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800mm*800mm</w:t>
                  </w:r>
                </w:p>
              </w:tc>
              <w:tc>
                <w:tcPr>
                  <w:tcW w:w="1913" w:type="dxa"/>
                  <w:tcBorders>
                    <w:top w:val="single" w:color="auto" w:sz="4" w:space="0"/>
                    <w:left w:val="single" w:color="auto" w:sz="4" w:space="0"/>
                    <w:bottom w:val="single" w:color="auto" w:sz="4" w:space="0"/>
                    <w:right w:val="single" w:color="auto" w:sz="4" w:space="0"/>
                  </w:tcBorders>
                  <w:noWrap/>
                  <w:vAlign w:val="center"/>
                </w:tcPr>
                <w:p w14:paraId="53991C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w:t>
                  </w:r>
                </w:p>
              </w:tc>
            </w:tr>
            <w:tr w14:paraId="5B533791">
              <w:tblPrEx>
                <w:tblCellMar>
                  <w:top w:w="0" w:type="dxa"/>
                  <w:left w:w="108" w:type="dxa"/>
                  <w:bottom w:w="0" w:type="dxa"/>
                  <w:right w:w="108" w:type="dxa"/>
                </w:tblCellMar>
              </w:tblPrEx>
              <w:trPr>
                <w:trHeight w:val="306"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1359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351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24FF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硫化机</w:t>
                  </w:r>
                </w:p>
              </w:tc>
              <w:tc>
                <w:tcPr>
                  <w:tcW w:w="22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B9B6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1200mm*1200mm</w:t>
                  </w:r>
                </w:p>
              </w:tc>
              <w:tc>
                <w:tcPr>
                  <w:tcW w:w="19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EE83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34</w:t>
                  </w:r>
                </w:p>
              </w:tc>
            </w:tr>
            <w:tr w14:paraId="71E6F34A">
              <w:tblPrEx>
                <w:tblCellMar>
                  <w:top w:w="0" w:type="dxa"/>
                  <w:left w:w="108" w:type="dxa"/>
                  <w:bottom w:w="0" w:type="dxa"/>
                  <w:right w:w="108" w:type="dxa"/>
                </w:tblCellMar>
              </w:tblPrEx>
              <w:trPr>
                <w:trHeight w:val="306"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A6EF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w:t>
                  </w:r>
                </w:p>
              </w:tc>
              <w:tc>
                <w:tcPr>
                  <w:tcW w:w="351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A224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硫化机</w:t>
                  </w:r>
                </w:p>
              </w:tc>
              <w:tc>
                <w:tcPr>
                  <w:tcW w:w="22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F2AA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1600mm*1600mm</w:t>
                  </w:r>
                </w:p>
              </w:tc>
              <w:tc>
                <w:tcPr>
                  <w:tcW w:w="19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A230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30</w:t>
                  </w:r>
                </w:p>
              </w:tc>
            </w:tr>
            <w:tr w14:paraId="3610E023">
              <w:tblPrEx>
                <w:tblCellMar>
                  <w:top w:w="0" w:type="dxa"/>
                  <w:left w:w="108" w:type="dxa"/>
                  <w:bottom w:w="0" w:type="dxa"/>
                  <w:right w:w="108" w:type="dxa"/>
                </w:tblCellMar>
              </w:tblPrEx>
              <w:trPr>
                <w:trHeight w:val="306"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547D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w:t>
                  </w:r>
                </w:p>
              </w:tc>
              <w:tc>
                <w:tcPr>
                  <w:tcW w:w="3515" w:type="dxa"/>
                  <w:tcBorders>
                    <w:top w:val="single" w:color="auto" w:sz="4" w:space="0"/>
                    <w:left w:val="single" w:color="auto" w:sz="4" w:space="0"/>
                    <w:bottom w:val="single" w:color="auto" w:sz="4" w:space="0"/>
                    <w:right w:val="single" w:color="auto" w:sz="4" w:space="0"/>
                  </w:tcBorders>
                  <w:noWrap w:val="0"/>
                  <w:vAlign w:val="center"/>
                </w:tcPr>
                <w:p w14:paraId="73C1C3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电动液压出模机</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6248D0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913" w:type="dxa"/>
                  <w:tcBorders>
                    <w:top w:val="single" w:color="auto" w:sz="4" w:space="0"/>
                    <w:left w:val="single" w:color="auto" w:sz="4" w:space="0"/>
                    <w:bottom w:val="single" w:color="auto" w:sz="4" w:space="0"/>
                    <w:right w:val="single" w:color="auto" w:sz="4" w:space="0"/>
                  </w:tcBorders>
                  <w:noWrap/>
                  <w:vAlign w:val="center"/>
                </w:tcPr>
                <w:p w14:paraId="3A9DD0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r>
            <w:tr w14:paraId="7303DBC3">
              <w:tblPrEx>
                <w:tblCellMar>
                  <w:top w:w="0" w:type="dxa"/>
                  <w:left w:w="108" w:type="dxa"/>
                  <w:bottom w:w="0" w:type="dxa"/>
                  <w:right w:w="108" w:type="dxa"/>
                </w:tblCellMar>
              </w:tblPrEx>
              <w:trPr>
                <w:trHeight w:val="306"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9CE0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w:t>
                  </w:r>
                </w:p>
              </w:tc>
              <w:tc>
                <w:tcPr>
                  <w:tcW w:w="3515" w:type="dxa"/>
                  <w:tcBorders>
                    <w:top w:val="single" w:color="auto" w:sz="4" w:space="0"/>
                    <w:left w:val="single" w:color="auto" w:sz="4" w:space="0"/>
                    <w:bottom w:val="single" w:color="auto" w:sz="4" w:space="0"/>
                    <w:right w:val="single" w:color="auto" w:sz="4" w:space="0"/>
                  </w:tcBorders>
                  <w:noWrap w:val="0"/>
                  <w:vAlign w:val="center"/>
                </w:tcPr>
                <w:p w14:paraId="7F6C5F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大裁胶机</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3409BC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913" w:type="dxa"/>
                  <w:tcBorders>
                    <w:top w:val="single" w:color="auto" w:sz="4" w:space="0"/>
                    <w:left w:val="single" w:color="auto" w:sz="4" w:space="0"/>
                    <w:bottom w:val="single" w:color="auto" w:sz="4" w:space="0"/>
                    <w:right w:val="single" w:color="auto" w:sz="4" w:space="0"/>
                  </w:tcBorders>
                  <w:noWrap/>
                  <w:vAlign w:val="center"/>
                </w:tcPr>
                <w:p w14:paraId="3B8F2D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r>
            <w:tr w14:paraId="4CE0F92E">
              <w:tblPrEx>
                <w:tblCellMar>
                  <w:top w:w="0" w:type="dxa"/>
                  <w:left w:w="108" w:type="dxa"/>
                  <w:bottom w:w="0" w:type="dxa"/>
                  <w:right w:w="108" w:type="dxa"/>
                </w:tblCellMar>
              </w:tblPrEx>
              <w:trPr>
                <w:trHeight w:val="306"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7CFF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6</w:t>
                  </w:r>
                </w:p>
              </w:tc>
              <w:tc>
                <w:tcPr>
                  <w:tcW w:w="3515" w:type="dxa"/>
                  <w:tcBorders>
                    <w:top w:val="single" w:color="auto" w:sz="4" w:space="0"/>
                    <w:left w:val="single" w:color="auto" w:sz="4" w:space="0"/>
                    <w:bottom w:val="single" w:color="auto" w:sz="4" w:space="0"/>
                    <w:right w:val="single" w:color="auto" w:sz="4" w:space="0"/>
                  </w:tcBorders>
                  <w:noWrap w:val="0"/>
                  <w:vAlign w:val="center"/>
                </w:tcPr>
                <w:p w14:paraId="4D8310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小裁胶机</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6AE2DA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913" w:type="dxa"/>
                  <w:tcBorders>
                    <w:top w:val="single" w:color="auto" w:sz="4" w:space="0"/>
                    <w:left w:val="single" w:color="auto" w:sz="4" w:space="0"/>
                    <w:bottom w:val="single" w:color="auto" w:sz="4" w:space="0"/>
                    <w:right w:val="single" w:color="auto" w:sz="4" w:space="0"/>
                  </w:tcBorders>
                  <w:noWrap/>
                  <w:vAlign w:val="center"/>
                </w:tcPr>
                <w:p w14:paraId="318C13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r>
            <w:tr w14:paraId="0594A88F">
              <w:tblPrEx>
                <w:tblCellMar>
                  <w:top w:w="0" w:type="dxa"/>
                  <w:left w:w="108" w:type="dxa"/>
                  <w:bottom w:w="0" w:type="dxa"/>
                  <w:right w:w="108" w:type="dxa"/>
                </w:tblCellMar>
              </w:tblPrEx>
              <w:trPr>
                <w:trHeight w:val="306" w:hRule="atLeast"/>
              </w:trPr>
              <w:tc>
                <w:tcPr>
                  <w:tcW w:w="6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E820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7</w:t>
                  </w:r>
                </w:p>
              </w:tc>
              <w:tc>
                <w:tcPr>
                  <w:tcW w:w="351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9CAD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密炼机</w:t>
                  </w:r>
                </w:p>
              </w:tc>
              <w:tc>
                <w:tcPr>
                  <w:tcW w:w="22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579A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75L</w:t>
                  </w:r>
                </w:p>
              </w:tc>
              <w:tc>
                <w:tcPr>
                  <w:tcW w:w="1913" w:type="dxa"/>
                  <w:tcBorders>
                    <w:top w:val="single" w:color="auto" w:sz="4" w:space="0"/>
                    <w:left w:val="single" w:color="auto" w:sz="4" w:space="0"/>
                    <w:bottom w:val="single" w:color="auto" w:sz="4" w:space="0"/>
                    <w:right w:val="single" w:color="auto" w:sz="4" w:space="0"/>
                  </w:tcBorders>
                  <w:noWrap/>
                  <w:vAlign w:val="center"/>
                </w:tcPr>
                <w:p w14:paraId="691D25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4F41AA99">
              <w:tblPrEx>
                <w:tblCellMar>
                  <w:top w:w="0" w:type="dxa"/>
                  <w:left w:w="108" w:type="dxa"/>
                  <w:bottom w:w="0" w:type="dxa"/>
                  <w:right w:w="108" w:type="dxa"/>
                </w:tblCellMar>
              </w:tblPrEx>
              <w:trPr>
                <w:trHeight w:val="306" w:hRule="atLeast"/>
              </w:trPr>
              <w:tc>
                <w:tcPr>
                  <w:tcW w:w="617" w:type="dxa"/>
                  <w:tcBorders>
                    <w:top w:val="single" w:color="auto" w:sz="4" w:space="0"/>
                    <w:left w:val="single" w:color="auto" w:sz="4" w:space="0"/>
                    <w:bottom w:val="single" w:color="auto" w:sz="4" w:space="0"/>
                    <w:right w:val="single" w:color="auto" w:sz="4" w:space="0"/>
                  </w:tcBorders>
                  <w:noWrap/>
                  <w:vAlign w:val="center"/>
                </w:tcPr>
                <w:p w14:paraId="77B60E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351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2B7D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开炼机</w:t>
                  </w:r>
                </w:p>
              </w:tc>
              <w:tc>
                <w:tcPr>
                  <w:tcW w:w="22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30742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18寸</w:t>
                  </w:r>
                </w:p>
              </w:tc>
              <w:tc>
                <w:tcPr>
                  <w:tcW w:w="1913" w:type="dxa"/>
                  <w:tcBorders>
                    <w:top w:val="single" w:color="auto" w:sz="4" w:space="0"/>
                    <w:left w:val="single" w:color="auto" w:sz="4" w:space="0"/>
                    <w:bottom w:val="single" w:color="auto" w:sz="4" w:space="0"/>
                    <w:right w:val="single" w:color="auto" w:sz="4" w:space="0"/>
                  </w:tcBorders>
                  <w:noWrap/>
                  <w:vAlign w:val="center"/>
                </w:tcPr>
                <w:p w14:paraId="19578F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152172E9">
              <w:tblPrEx>
                <w:tblCellMar>
                  <w:top w:w="0" w:type="dxa"/>
                  <w:left w:w="108" w:type="dxa"/>
                  <w:bottom w:w="0" w:type="dxa"/>
                  <w:right w:w="108" w:type="dxa"/>
                </w:tblCellMar>
              </w:tblPrEx>
              <w:trPr>
                <w:trHeight w:val="306" w:hRule="atLeast"/>
              </w:trPr>
              <w:tc>
                <w:tcPr>
                  <w:tcW w:w="8340" w:type="dxa"/>
                  <w:gridSpan w:val="4"/>
                  <w:tcBorders>
                    <w:top w:val="single" w:color="auto" w:sz="4" w:space="0"/>
                    <w:left w:val="single" w:color="auto" w:sz="4" w:space="0"/>
                    <w:bottom w:val="single" w:color="auto" w:sz="4" w:space="0"/>
                    <w:right w:val="single" w:color="auto" w:sz="4" w:space="0"/>
                  </w:tcBorders>
                  <w:noWrap/>
                  <w:vAlign w:val="center"/>
                </w:tcPr>
                <w:p w14:paraId="66B755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实验室</w:t>
                  </w:r>
                </w:p>
              </w:tc>
            </w:tr>
            <w:tr w14:paraId="5E080D65">
              <w:tblPrEx>
                <w:tblCellMar>
                  <w:top w:w="0" w:type="dxa"/>
                  <w:left w:w="108" w:type="dxa"/>
                  <w:bottom w:w="0" w:type="dxa"/>
                  <w:right w:w="108" w:type="dxa"/>
                </w:tblCellMar>
              </w:tblPrEx>
              <w:trPr>
                <w:trHeight w:val="306" w:hRule="atLeast"/>
              </w:trPr>
              <w:tc>
                <w:tcPr>
                  <w:tcW w:w="617" w:type="dxa"/>
                  <w:tcBorders>
                    <w:top w:val="single" w:color="auto" w:sz="4" w:space="0"/>
                    <w:left w:val="single" w:color="auto" w:sz="4" w:space="0"/>
                    <w:bottom w:val="single" w:color="auto" w:sz="4" w:space="0"/>
                    <w:right w:val="single" w:color="auto" w:sz="4" w:space="0"/>
                  </w:tcBorders>
                  <w:noWrap/>
                  <w:vAlign w:val="center"/>
                </w:tcPr>
                <w:p w14:paraId="21CA07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351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894B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500吨压力试验机</w:t>
                  </w:r>
                </w:p>
              </w:tc>
              <w:tc>
                <w:tcPr>
                  <w:tcW w:w="22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D0E7F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913" w:type="dxa"/>
                  <w:tcBorders>
                    <w:top w:val="single" w:color="auto" w:sz="4" w:space="0"/>
                    <w:left w:val="single" w:color="auto" w:sz="4" w:space="0"/>
                    <w:bottom w:val="single" w:color="auto" w:sz="4" w:space="0"/>
                    <w:right w:val="single" w:color="auto" w:sz="4" w:space="0"/>
                  </w:tcBorders>
                  <w:noWrap/>
                  <w:vAlign w:val="center"/>
                </w:tcPr>
                <w:p w14:paraId="301013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r>
            <w:tr w14:paraId="5C7D98C5">
              <w:tblPrEx>
                <w:tblCellMar>
                  <w:top w:w="0" w:type="dxa"/>
                  <w:left w:w="108" w:type="dxa"/>
                  <w:bottom w:w="0" w:type="dxa"/>
                  <w:right w:w="108" w:type="dxa"/>
                </w:tblCellMar>
              </w:tblPrEx>
              <w:trPr>
                <w:trHeight w:val="306" w:hRule="atLeast"/>
              </w:trPr>
              <w:tc>
                <w:tcPr>
                  <w:tcW w:w="617" w:type="dxa"/>
                  <w:tcBorders>
                    <w:top w:val="single" w:color="auto" w:sz="4" w:space="0"/>
                    <w:left w:val="single" w:color="auto" w:sz="4" w:space="0"/>
                    <w:bottom w:val="single" w:color="auto" w:sz="4" w:space="0"/>
                    <w:right w:val="single" w:color="auto" w:sz="4" w:space="0"/>
                  </w:tcBorders>
                  <w:noWrap/>
                  <w:vAlign w:val="center"/>
                </w:tcPr>
                <w:p w14:paraId="4CD5A0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351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D50C1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200吨压力试验机</w:t>
                  </w:r>
                </w:p>
              </w:tc>
              <w:tc>
                <w:tcPr>
                  <w:tcW w:w="22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A59C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913" w:type="dxa"/>
                  <w:tcBorders>
                    <w:top w:val="single" w:color="auto" w:sz="4" w:space="0"/>
                    <w:left w:val="single" w:color="auto" w:sz="4" w:space="0"/>
                    <w:bottom w:val="single" w:color="auto" w:sz="4" w:space="0"/>
                    <w:right w:val="single" w:color="auto" w:sz="4" w:space="0"/>
                  </w:tcBorders>
                  <w:noWrap/>
                  <w:vAlign w:val="center"/>
                </w:tcPr>
                <w:p w14:paraId="393DEB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1424395E">
              <w:tblPrEx>
                <w:tblCellMar>
                  <w:top w:w="0" w:type="dxa"/>
                  <w:left w:w="108" w:type="dxa"/>
                  <w:bottom w:w="0" w:type="dxa"/>
                  <w:right w:w="108" w:type="dxa"/>
                </w:tblCellMar>
              </w:tblPrEx>
              <w:trPr>
                <w:trHeight w:val="306" w:hRule="atLeast"/>
              </w:trPr>
              <w:tc>
                <w:tcPr>
                  <w:tcW w:w="617" w:type="dxa"/>
                  <w:tcBorders>
                    <w:top w:val="single" w:color="auto" w:sz="4" w:space="0"/>
                    <w:left w:val="single" w:color="auto" w:sz="4" w:space="0"/>
                    <w:bottom w:val="single" w:color="auto" w:sz="4" w:space="0"/>
                    <w:right w:val="single" w:color="auto" w:sz="4" w:space="0"/>
                  </w:tcBorders>
                  <w:noWrap/>
                  <w:vAlign w:val="center"/>
                </w:tcPr>
                <w:p w14:paraId="1DAAD2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351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70533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拉力试验机</w:t>
                  </w:r>
                </w:p>
              </w:tc>
              <w:tc>
                <w:tcPr>
                  <w:tcW w:w="22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C7F8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913" w:type="dxa"/>
                  <w:tcBorders>
                    <w:top w:val="single" w:color="auto" w:sz="4" w:space="0"/>
                    <w:left w:val="single" w:color="auto" w:sz="4" w:space="0"/>
                    <w:bottom w:val="single" w:color="auto" w:sz="4" w:space="0"/>
                    <w:right w:val="single" w:color="auto" w:sz="4" w:space="0"/>
                  </w:tcBorders>
                  <w:noWrap/>
                  <w:vAlign w:val="center"/>
                </w:tcPr>
                <w:p w14:paraId="2F6009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r>
          </w:tbl>
          <w:p w14:paraId="3251AEA4">
            <w:pPr>
              <w:numPr>
                <w:ilvl w:val="0"/>
                <w:numId w:val="0"/>
              </w:numPr>
              <w:ind w:firstLine="0" w:firstLineChars="0"/>
              <w:rPr>
                <w:rFonts w:hint="eastAsia"/>
                <w:b/>
                <w:bCs/>
                <w:color w:val="auto"/>
              </w:rPr>
            </w:pPr>
            <w:r>
              <w:rPr>
                <w:rFonts w:hint="eastAsia" w:ascii="Times New Roman" w:hAnsi="Times New Roman" w:eastAsia="宋体" w:cs="Times New Roman"/>
                <w:b/>
                <w:color w:val="auto"/>
                <w:kern w:val="2"/>
                <w:sz w:val="24"/>
                <w:szCs w:val="21"/>
                <w:lang w:val="en-US" w:eastAsia="zh-CN" w:bidi="ar-SA"/>
              </w:rPr>
              <w:t>5</w:t>
            </w:r>
            <w:r>
              <w:rPr>
                <w:rFonts w:hint="eastAsia" w:ascii="Times New Roman" w:hAnsi="Times New Roman" w:eastAsia="宋体" w:cs="Times New Roman"/>
                <w:b/>
                <w:bCs/>
                <w:color w:val="auto"/>
                <w:kern w:val="2"/>
                <w:sz w:val="24"/>
                <w:szCs w:val="24"/>
                <w:lang w:val="en-US" w:eastAsia="zh-CN" w:bidi="ar-SA"/>
              </w:rPr>
              <w:t>、</w:t>
            </w:r>
            <w:r>
              <w:rPr>
                <w:rFonts w:hint="eastAsia"/>
                <w:b/>
                <w:bCs/>
                <w:color w:val="auto"/>
                <w:lang w:eastAsia="zh-CN"/>
              </w:rPr>
              <w:t>项目</w:t>
            </w:r>
            <w:r>
              <w:rPr>
                <w:rFonts w:hint="eastAsia"/>
                <w:b/>
                <w:bCs/>
                <w:color w:val="auto"/>
              </w:rPr>
              <w:t>原辅材料及用量</w:t>
            </w:r>
          </w:p>
          <w:p w14:paraId="41614C96">
            <w:pPr>
              <w:bidi w:val="0"/>
              <w:ind w:firstLine="480" w:firstLineChars="200"/>
              <w:rPr>
                <w:rFonts w:hint="eastAsia"/>
                <w:color w:val="auto"/>
              </w:rPr>
            </w:pPr>
            <w:r>
              <w:rPr>
                <w:rFonts w:hint="eastAsia"/>
                <w:color w:val="auto"/>
                <w:lang w:eastAsia="zh-CN"/>
              </w:rPr>
              <w:t>项目</w:t>
            </w:r>
            <w:r>
              <w:rPr>
                <w:rFonts w:hint="eastAsia"/>
                <w:color w:val="auto"/>
              </w:rPr>
              <w:t>主要原辅材料消耗情况见下表。</w:t>
            </w:r>
          </w:p>
          <w:p w14:paraId="587F3FEF">
            <w:pPr>
              <w:ind w:firstLine="0" w:firstLineChars="0"/>
              <w:jc w:val="center"/>
              <w:rPr>
                <w:color w:val="auto"/>
              </w:rPr>
            </w:pPr>
            <w:r>
              <w:rPr>
                <w:rFonts w:hint="eastAsia"/>
                <w:b/>
                <w:color w:val="auto"/>
              </w:rPr>
              <w:t>表</w:t>
            </w:r>
            <w:r>
              <w:rPr>
                <w:rFonts w:hint="eastAsia"/>
                <w:b/>
                <w:color w:val="auto"/>
                <w:lang w:val="en-US" w:eastAsia="zh-CN"/>
              </w:rPr>
              <w:t>2-4</w:t>
            </w:r>
            <w:r>
              <w:rPr>
                <w:rFonts w:hint="eastAsia"/>
                <w:b/>
                <w:bCs/>
                <w:color w:val="auto"/>
              </w:rPr>
              <w:t xml:space="preserve"> </w:t>
            </w:r>
            <w:r>
              <w:rPr>
                <w:rFonts w:hint="eastAsia"/>
                <w:b/>
                <w:bCs/>
                <w:color w:val="auto"/>
                <w:lang w:val="en-US" w:eastAsia="zh-CN"/>
              </w:rPr>
              <w:t>项目</w:t>
            </w:r>
            <w:r>
              <w:rPr>
                <w:rFonts w:hint="eastAsia"/>
                <w:b/>
                <w:bCs/>
                <w:color w:val="auto"/>
              </w:rPr>
              <w:t>主要原辅材料消耗一览表</w:t>
            </w:r>
          </w:p>
          <w:tbl>
            <w:tblPr>
              <w:tblStyle w:val="23"/>
              <w:tblW w:w="81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619"/>
              <w:gridCol w:w="900"/>
              <w:gridCol w:w="882"/>
              <w:gridCol w:w="969"/>
              <w:gridCol w:w="968"/>
              <w:gridCol w:w="1097"/>
              <w:gridCol w:w="1121"/>
            </w:tblGrid>
            <w:tr w14:paraId="11354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40" w:type="dxa"/>
                  <w:noWrap w:val="0"/>
                  <w:vAlign w:val="center"/>
                </w:tcPr>
                <w:p w14:paraId="77EC4CA7">
                  <w:pPr>
                    <w:spacing w:line="240" w:lineRule="auto"/>
                    <w:ind w:firstLine="0" w:firstLineChars="0"/>
                    <w:jc w:val="center"/>
                    <w:rPr>
                      <w:rFonts w:hint="eastAsia"/>
                      <w:b/>
                      <w:bCs/>
                      <w:color w:val="auto"/>
                      <w:sz w:val="21"/>
                      <w:szCs w:val="21"/>
                    </w:rPr>
                  </w:pPr>
                  <w:r>
                    <w:rPr>
                      <w:rFonts w:hint="eastAsia"/>
                      <w:b/>
                      <w:bCs/>
                      <w:color w:val="auto"/>
                      <w:sz w:val="21"/>
                      <w:szCs w:val="21"/>
                    </w:rPr>
                    <w:t>序号</w:t>
                  </w:r>
                </w:p>
              </w:tc>
              <w:tc>
                <w:tcPr>
                  <w:tcW w:w="1619" w:type="dxa"/>
                  <w:noWrap w:val="0"/>
                  <w:vAlign w:val="center"/>
                </w:tcPr>
                <w:p w14:paraId="238A4791">
                  <w:pPr>
                    <w:spacing w:line="240" w:lineRule="auto"/>
                    <w:ind w:firstLine="0" w:firstLineChars="0"/>
                    <w:jc w:val="center"/>
                    <w:rPr>
                      <w:rFonts w:hint="eastAsia"/>
                      <w:b/>
                      <w:bCs/>
                      <w:color w:val="auto"/>
                      <w:sz w:val="21"/>
                      <w:szCs w:val="21"/>
                    </w:rPr>
                  </w:pPr>
                  <w:r>
                    <w:rPr>
                      <w:rFonts w:hint="eastAsia"/>
                      <w:b/>
                      <w:bCs/>
                      <w:color w:val="auto"/>
                      <w:sz w:val="21"/>
                      <w:szCs w:val="21"/>
                    </w:rPr>
                    <w:t>原辅材料名称</w:t>
                  </w:r>
                </w:p>
              </w:tc>
              <w:tc>
                <w:tcPr>
                  <w:tcW w:w="900" w:type="dxa"/>
                  <w:noWrap w:val="0"/>
                  <w:vAlign w:val="center"/>
                </w:tcPr>
                <w:p w14:paraId="7C9D92CA">
                  <w:pPr>
                    <w:spacing w:line="240" w:lineRule="auto"/>
                    <w:ind w:firstLine="0" w:firstLineChars="0"/>
                    <w:jc w:val="center"/>
                    <w:rPr>
                      <w:rFonts w:hint="eastAsia"/>
                      <w:b/>
                      <w:bCs/>
                      <w:color w:val="auto"/>
                      <w:sz w:val="21"/>
                      <w:szCs w:val="21"/>
                    </w:rPr>
                  </w:pPr>
                  <w:r>
                    <w:rPr>
                      <w:rFonts w:hint="eastAsia"/>
                      <w:b/>
                      <w:bCs/>
                      <w:color w:val="auto"/>
                      <w:sz w:val="21"/>
                      <w:szCs w:val="21"/>
                    </w:rPr>
                    <w:t>年</w:t>
                  </w:r>
                  <w:r>
                    <w:rPr>
                      <w:rFonts w:hint="eastAsia"/>
                      <w:b/>
                      <w:bCs/>
                      <w:color w:val="auto"/>
                      <w:sz w:val="21"/>
                      <w:szCs w:val="21"/>
                      <w:lang w:eastAsia="zh-CN"/>
                    </w:rPr>
                    <w:t>最大</w:t>
                  </w:r>
                  <w:r>
                    <w:rPr>
                      <w:rFonts w:hint="eastAsia"/>
                      <w:b/>
                      <w:bCs/>
                      <w:color w:val="auto"/>
                      <w:sz w:val="21"/>
                      <w:szCs w:val="21"/>
                    </w:rPr>
                    <w:t>消耗量</w:t>
                  </w:r>
                </w:p>
              </w:tc>
              <w:tc>
                <w:tcPr>
                  <w:tcW w:w="882" w:type="dxa"/>
                  <w:noWrap w:val="0"/>
                  <w:vAlign w:val="center"/>
                </w:tcPr>
                <w:p w14:paraId="458DE9DD">
                  <w:pPr>
                    <w:spacing w:line="240" w:lineRule="auto"/>
                    <w:ind w:firstLine="0" w:firstLineChars="0"/>
                    <w:jc w:val="center"/>
                    <w:rPr>
                      <w:rFonts w:hint="eastAsia"/>
                      <w:b/>
                      <w:bCs/>
                      <w:color w:val="auto"/>
                      <w:sz w:val="21"/>
                      <w:szCs w:val="21"/>
                    </w:rPr>
                  </w:pPr>
                  <w:r>
                    <w:rPr>
                      <w:rFonts w:hint="eastAsia"/>
                      <w:b/>
                      <w:bCs/>
                      <w:color w:val="auto"/>
                      <w:sz w:val="21"/>
                      <w:szCs w:val="21"/>
                    </w:rPr>
                    <w:t>储存位置</w:t>
                  </w:r>
                </w:p>
              </w:tc>
              <w:tc>
                <w:tcPr>
                  <w:tcW w:w="969" w:type="dxa"/>
                  <w:noWrap w:val="0"/>
                  <w:vAlign w:val="center"/>
                </w:tcPr>
                <w:p w14:paraId="5BE67C76">
                  <w:pPr>
                    <w:spacing w:line="240" w:lineRule="auto"/>
                    <w:ind w:firstLine="0" w:firstLineChars="0"/>
                    <w:jc w:val="center"/>
                    <w:rPr>
                      <w:rFonts w:hint="eastAsia"/>
                      <w:b/>
                      <w:bCs/>
                      <w:color w:val="auto"/>
                      <w:sz w:val="21"/>
                      <w:szCs w:val="21"/>
                    </w:rPr>
                  </w:pPr>
                  <w:r>
                    <w:rPr>
                      <w:rFonts w:hint="eastAsia"/>
                      <w:b/>
                      <w:bCs/>
                      <w:color w:val="auto"/>
                      <w:sz w:val="21"/>
                      <w:szCs w:val="21"/>
                    </w:rPr>
                    <w:t>储存周期</w:t>
                  </w:r>
                </w:p>
              </w:tc>
              <w:tc>
                <w:tcPr>
                  <w:tcW w:w="968" w:type="dxa"/>
                  <w:noWrap w:val="0"/>
                  <w:vAlign w:val="center"/>
                </w:tcPr>
                <w:p w14:paraId="52955282">
                  <w:pPr>
                    <w:spacing w:line="240" w:lineRule="auto"/>
                    <w:ind w:firstLine="0" w:firstLineChars="0"/>
                    <w:jc w:val="center"/>
                    <w:rPr>
                      <w:rFonts w:hint="eastAsia"/>
                      <w:b/>
                      <w:bCs/>
                      <w:color w:val="auto"/>
                      <w:sz w:val="21"/>
                      <w:szCs w:val="21"/>
                    </w:rPr>
                  </w:pPr>
                  <w:r>
                    <w:rPr>
                      <w:rFonts w:hint="eastAsia"/>
                      <w:b/>
                      <w:bCs/>
                      <w:color w:val="auto"/>
                      <w:sz w:val="21"/>
                      <w:szCs w:val="21"/>
                    </w:rPr>
                    <w:t>一次最大储存量</w:t>
                  </w:r>
                </w:p>
              </w:tc>
              <w:tc>
                <w:tcPr>
                  <w:tcW w:w="1097" w:type="dxa"/>
                  <w:noWrap w:val="0"/>
                  <w:vAlign w:val="center"/>
                </w:tcPr>
                <w:p w14:paraId="56D61A1F">
                  <w:pPr>
                    <w:spacing w:line="240" w:lineRule="auto"/>
                    <w:ind w:firstLine="0" w:firstLineChars="0"/>
                    <w:jc w:val="center"/>
                    <w:rPr>
                      <w:rFonts w:hint="eastAsia"/>
                      <w:b/>
                      <w:bCs/>
                      <w:color w:val="auto"/>
                      <w:sz w:val="21"/>
                      <w:szCs w:val="21"/>
                    </w:rPr>
                  </w:pPr>
                  <w:r>
                    <w:rPr>
                      <w:rFonts w:hint="eastAsia"/>
                      <w:b/>
                      <w:bCs/>
                      <w:color w:val="auto"/>
                      <w:sz w:val="21"/>
                      <w:szCs w:val="21"/>
                    </w:rPr>
                    <w:t>规格</w:t>
                  </w:r>
                </w:p>
              </w:tc>
              <w:tc>
                <w:tcPr>
                  <w:tcW w:w="1121" w:type="dxa"/>
                  <w:noWrap w:val="0"/>
                  <w:vAlign w:val="center"/>
                </w:tcPr>
                <w:p w14:paraId="53D163B8">
                  <w:pPr>
                    <w:spacing w:line="240" w:lineRule="auto"/>
                    <w:ind w:firstLine="0" w:firstLineChars="0"/>
                    <w:jc w:val="center"/>
                    <w:rPr>
                      <w:rFonts w:hint="eastAsia"/>
                      <w:b/>
                      <w:bCs/>
                      <w:color w:val="auto"/>
                      <w:sz w:val="21"/>
                      <w:szCs w:val="21"/>
                    </w:rPr>
                  </w:pPr>
                  <w:r>
                    <w:rPr>
                      <w:rFonts w:hint="eastAsia"/>
                      <w:b/>
                      <w:bCs/>
                      <w:color w:val="auto"/>
                      <w:sz w:val="21"/>
                      <w:szCs w:val="21"/>
                    </w:rPr>
                    <w:t>包装方式</w:t>
                  </w:r>
                </w:p>
              </w:tc>
            </w:tr>
            <w:tr w14:paraId="757F5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40" w:type="dxa"/>
                  <w:noWrap w:val="0"/>
                  <w:vAlign w:val="center"/>
                </w:tcPr>
                <w:p w14:paraId="02E2FD87">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c>
                <w:tcPr>
                  <w:tcW w:w="1619" w:type="dxa"/>
                  <w:shd w:val="clear" w:color="auto" w:fill="auto"/>
                  <w:noWrap w:val="0"/>
                  <w:vAlign w:val="center"/>
                </w:tcPr>
                <w:p w14:paraId="160289F6">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天然橡胶</w:t>
                  </w:r>
                </w:p>
              </w:tc>
              <w:tc>
                <w:tcPr>
                  <w:tcW w:w="900" w:type="dxa"/>
                  <w:shd w:val="clear" w:color="auto" w:fill="auto"/>
                  <w:noWrap w:val="0"/>
                  <w:vAlign w:val="center"/>
                </w:tcPr>
                <w:p w14:paraId="29514F42">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4200吨</w:t>
                  </w:r>
                </w:p>
              </w:tc>
              <w:tc>
                <w:tcPr>
                  <w:tcW w:w="882" w:type="dxa"/>
                  <w:vMerge w:val="restart"/>
                  <w:noWrap w:val="0"/>
                  <w:vAlign w:val="center"/>
                </w:tcPr>
                <w:p w14:paraId="2E005C99">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b w:val="0"/>
                      <w:bCs/>
                      <w:color w:val="auto"/>
                      <w:sz w:val="21"/>
                      <w:szCs w:val="21"/>
                      <w:lang w:val="en-US" w:eastAsia="zh-CN"/>
                    </w:rPr>
                    <w:t>天然橡胶存放区</w:t>
                  </w:r>
                </w:p>
              </w:tc>
              <w:tc>
                <w:tcPr>
                  <w:tcW w:w="969" w:type="dxa"/>
                  <w:noWrap w:val="0"/>
                  <w:vAlign w:val="center"/>
                </w:tcPr>
                <w:p w14:paraId="6E7F448A">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半个月</w:t>
                  </w:r>
                </w:p>
              </w:tc>
              <w:tc>
                <w:tcPr>
                  <w:tcW w:w="968" w:type="dxa"/>
                  <w:noWrap w:val="0"/>
                  <w:vAlign w:val="center"/>
                </w:tcPr>
                <w:p w14:paraId="70E29555">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200吨</w:t>
                  </w:r>
                </w:p>
              </w:tc>
              <w:tc>
                <w:tcPr>
                  <w:tcW w:w="1097" w:type="dxa"/>
                  <w:shd w:val="clear" w:color="auto" w:fill="auto"/>
                  <w:noWrap w:val="0"/>
                  <w:vAlign w:val="center"/>
                </w:tcPr>
                <w:p w14:paraId="762582BF">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200kg/袋</w:t>
                  </w:r>
                </w:p>
              </w:tc>
              <w:tc>
                <w:tcPr>
                  <w:tcW w:w="1121" w:type="dxa"/>
                  <w:shd w:val="clear" w:color="auto" w:fill="auto"/>
                  <w:noWrap w:val="0"/>
                  <w:vAlign w:val="center"/>
                </w:tcPr>
                <w:p w14:paraId="6D57978F">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塑料袋装</w:t>
                  </w:r>
                </w:p>
              </w:tc>
            </w:tr>
            <w:tr w14:paraId="4740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40" w:type="dxa"/>
                  <w:noWrap w:val="0"/>
                  <w:vAlign w:val="center"/>
                </w:tcPr>
                <w:p w14:paraId="5314F7BA">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w:t>
                  </w:r>
                </w:p>
              </w:tc>
              <w:tc>
                <w:tcPr>
                  <w:tcW w:w="1619" w:type="dxa"/>
                  <w:shd w:val="clear" w:color="auto" w:fill="auto"/>
                  <w:noWrap w:val="0"/>
                  <w:vAlign w:val="center"/>
                </w:tcPr>
                <w:p w14:paraId="59D2408D">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氯丁合成胶</w:t>
                  </w:r>
                </w:p>
              </w:tc>
              <w:tc>
                <w:tcPr>
                  <w:tcW w:w="900" w:type="dxa"/>
                  <w:shd w:val="clear" w:color="auto" w:fill="auto"/>
                  <w:noWrap w:val="0"/>
                  <w:vAlign w:val="center"/>
                </w:tcPr>
                <w:p w14:paraId="562244D4">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460吨</w:t>
                  </w:r>
                </w:p>
              </w:tc>
              <w:tc>
                <w:tcPr>
                  <w:tcW w:w="882" w:type="dxa"/>
                  <w:vMerge w:val="continue"/>
                  <w:noWrap w:val="0"/>
                  <w:vAlign w:val="center"/>
                </w:tcPr>
                <w:p w14:paraId="7CBECB7A">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p>
              </w:tc>
              <w:tc>
                <w:tcPr>
                  <w:tcW w:w="969" w:type="dxa"/>
                  <w:noWrap w:val="0"/>
                  <w:vAlign w:val="center"/>
                </w:tcPr>
                <w:p w14:paraId="6D1693D5">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半个月</w:t>
                  </w:r>
                </w:p>
              </w:tc>
              <w:tc>
                <w:tcPr>
                  <w:tcW w:w="968" w:type="dxa"/>
                  <w:noWrap w:val="0"/>
                  <w:vAlign w:val="center"/>
                </w:tcPr>
                <w:p w14:paraId="768CF40D">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20吨</w:t>
                  </w:r>
                </w:p>
              </w:tc>
              <w:tc>
                <w:tcPr>
                  <w:tcW w:w="1097" w:type="dxa"/>
                  <w:shd w:val="clear" w:color="auto" w:fill="auto"/>
                  <w:noWrap w:val="0"/>
                  <w:vAlign w:val="center"/>
                </w:tcPr>
                <w:p w14:paraId="6B372D08">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100kg/袋</w:t>
                  </w:r>
                </w:p>
              </w:tc>
              <w:tc>
                <w:tcPr>
                  <w:tcW w:w="1121" w:type="dxa"/>
                  <w:shd w:val="clear" w:color="auto" w:fill="auto"/>
                  <w:noWrap w:val="0"/>
                  <w:vAlign w:val="center"/>
                </w:tcPr>
                <w:p w14:paraId="5EA53EE0">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牛皮纸袋</w:t>
                  </w:r>
                </w:p>
              </w:tc>
            </w:tr>
            <w:tr w14:paraId="1098A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40" w:type="dxa"/>
                  <w:noWrap w:val="0"/>
                  <w:vAlign w:val="center"/>
                </w:tcPr>
                <w:p w14:paraId="49C9CCC6">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w:t>
                  </w:r>
                </w:p>
              </w:tc>
              <w:tc>
                <w:tcPr>
                  <w:tcW w:w="1619" w:type="dxa"/>
                  <w:shd w:val="clear" w:color="auto" w:fill="auto"/>
                  <w:noWrap w:val="0"/>
                  <w:vAlign w:val="center"/>
                </w:tcPr>
                <w:p w14:paraId="4DF1173E">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炭黑</w:t>
                  </w:r>
                </w:p>
              </w:tc>
              <w:tc>
                <w:tcPr>
                  <w:tcW w:w="900" w:type="dxa"/>
                  <w:shd w:val="clear" w:color="auto" w:fill="auto"/>
                  <w:noWrap w:val="0"/>
                  <w:vAlign w:val="center"/>
                </w:tcPr>
                <w:p w14:paraId="18056576">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800吨</w:t>
                  </w:r>
                </w:p>
              </w:tc>
              <w:tc>
                <w:tcPr>
                  <w:tcW w:w="882" w:type="dxa"/>
                  <w:vMerge w:val="restart"/>
                  <w:noWrap w:val="0"/>
                  <w:vAlign w:val="center"/>
                </w:tcPr>
                <w:p w14:paraId="153D06F6">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bCs/>
                      <w:color w:val="auto"/>
                      <w:kern w:val="2"/>
                      <w:sz w:val="21"/>
                      <w:szCs w:val="18"/>
                      <w:lang w:val="en-US" w:eastAsia="zh-CN" w:bidi="ar-SA"/>
                    </w:rPr>
                    <w:t>辅料</w:t>
                  </w:r>
                  <w:r>
                    <w:rPr>
                      <w:rFonts w:hint="eastAsia" w:eastAsia="宋体"/>
                      <w:bCs/>
                      <w:color w:val="auto"/>
                      <w:kern w:val="2"/>
                      <w:sz w:val="21"/>
                      <w:szCs w:val="18"/>
                      <w:lang w:val="en-US" w:eastAsia="zh-CN" w:bidi="ar-SA"/>
                    </w:rPr>
                    <w:t>库房</w:t>
                  </w:r>
                </w:p>
              </w:tc>
              <w:tc>
                <w:tcPr>
                  <w:tcW w:w="969" w:type="dxa"/>
                  <w:shd w:val="clear" w:color="auto" w:fill="auto"/>
                  <w:noWrap w:val="0"/>
                  <w:vAlign w:val="center"/>
                </w:tcPr>
                <w:p w14:paraId="398FA19B">
                  <w:pPr>
                    <w:spacing w:line="240" w:lineRule="auto"/>
                    <w:ind w:firstLine="0" w:firstLine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半个月</w:t>
                  </w:r>
                </w:p>
              </w:tc>
              <w:tc>
                <w:tcPr>
                  <w:tcW w:w="968" w:type="dxa"/>
                  <w:noWrap w:val="0"/>
                  <w:vAlign w:val="center"/>
                </w:tcPr>
                <w:p w14:paraId="193DC22E">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35吨</w:t>
                  </w:r>
                </w:p>
              </w:tc>
              <w:tc>
                <w:tcPr>
                  <w:tcW w:w="1097" w:type="dxa"/>
                  <w:shd w:val="clear" w:color="auto" w:fill="auto"/>
                  <w:noWrap w:val="0"/>
                  <w:vAlign w:val="center"/>
                </w:tcPr>
                <w:p w14:paraId="54AB82CE">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50kg/袋</w:t>
                  </w:r>
                </w:p>
              </w:tc>
              <w:tc>
                <w:tcPr>
                  <w:tcW w:w="1121" w:type="dxa"/>
                  <w:shd w:val="clear" w:color="auto" w:fill="auto"/>
                  <w:noWrap w:val="0"/>
                  <w:vAlign w:val="center"/>
                </w:tcPr>
                <w:p w14:paraId="3C1DEF04">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牛皮纸袋</w:t>
                  </w:r>
                </w:p>
              </w:tc>
            </w:tr>
            <w:tr w14:paraId="4897F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Align w:val="center"/>
                </w:tcPr>
                <w:p w14:paraId="4ABFB6C7">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w:t>
                  </w:r>
                </w:p>
              </w:tc>
              <w:tc>
                <w:tcPr>
                  <w:tcW w:w="0" w:type="auto"/>
                  <w:shd w:val="clear" w:color="auto" w:fill="auto"/>
                  <w:vAlign w:val="center"/>
                </w:tcPr>
                <w:p w14:paraId="0DF9C196">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防老剂4010</w:t>
                  </w:r>
                </w:p>
              </w:tc>
              <w:tc>
                <w:tcPr>
                  <w:tcW w:w="900" w:type="dxa"/>
                  <w:shd w:val="clear" w:color="auto" w:fill="auto"/>
                  <w:vAlign w:val="center"/>
                </w:tcPr>
                <w:p w14:paraId="36C3F6D0">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14吨</w:t>
                  </w:r>
                </w:p>
              </w:tc>
              <w:tc>
                <w:tcPr>
                  <w:tcW w:w="882" w:type="dxa"/>
                  <w:vMerge w:val="continue"/>
                  <w:vAlign w:val="center"/>
                </w:tcPr>
                <w:p w14:paraId="5690870A">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p>
              </w:tc>
              <w:tc>
                <w:tcPr>
                  <w:tcW w:w="969" w:type="dxa"/>
                  <w:vAlign w:val="center"/>
                </w:tcPr>
                <w:p w14:paraId="368A3328">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一个月</w:t>
                  </w:r>
                </w:p>
              </w:tc>
              <w:tc>
                <w:tcPr>
                  <w:tcW w:w="968" w:type="dxa"/>
                  <w:vAlign w:val="center"/>
                </w:tcPr>
                <w:p w14:paraId="2BE7F710">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1.1吨</w:t>
                  </w:r>
                </w:p>
              </w:tc>
              <w:tc>
                <w:tcPr>
                  <w:tcW w:w="1097" w:type="dxa"/>
                  <w:shd w:val="clear" w:color="auto" w:fill="auto"/>
                  <w:vAlign w:val="center"/>
                </w:tcPr>
                <w:p w14:paraId="5E711F11">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50kg/袋</w:t>
                  </w:r>
                </w:p>
              </w:tc>
              <w:tc>
                <w:tcPr>
                  <w:tcW w:w="1121" w:type="dxa"/>
                  <w:shd w:val="clear" w:color="auto" w:fill="auto"/>
                  <w:vAlign w:val="center"/>
                </w:tcPr>
                <w:p w14:paraId="0CA086D8">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牛皮纸袋</w:t>
                  </w:r>
                </w:p>
              </w:tc>
            </w:tr>
            <w:tr w14:paraId="5A2EF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0" w:type="auto"/>
                  <w:vAlign w:val="center"/>
                </w:tcPr>
                <w:p w14:paraId="152D591C">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6</w:t>
                  </w:r>
                </w:p>
              </w:tc>
              <w:tc>
                <w:tcPr>
                  <w:tcW w:w="0" w:type="auto"/>
                  <w:shd w:val="clear" w:color="auto" w:fill="auto"/>
                  <w:vAlign w:val="center"/>
                </w:tcPr>
                <w:p w14:paraId="51260858">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氧化锌</w:t>
                  </w:r>
                </w:p>
              </w:tc>
              <w:tc>
                <w:tcPr>
                  <w:tcW w:w="900" w:type="dxa"/>
                  <w:shd w:val="clear" w:color="auto" w:fill="auto"/>
                  <w:vAlign w:val="center"/>
                </w:tcPr>
                <w:p w14:paraId="061913FE">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300吨</w:t>
                  </w:r>
                </w:p>
              </w:tc>
              <w:tc>
                <w:tcPr>
                  <w:tcW w:w="882" w:type="dxa"/>
                  <w:vMerge w:val="continue"/>
                  <w:vAlign w:val="center"/>
                </w:tcPr>
                <w:p w14:paraId="6BBF5AD9">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p>
              </w:tc>
              <w:tc>
                <w:tcPr>
                  <w:tcW w:w="969" w:type="dxa"/>
                  <w:vAlign w:val="center"/>
                </w:tcPr>
                <w:p w14:paraId="08A653AC">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十天</w:t>
                  </w:r>
                </w:p>
              </w:tc>
              <w:tc>
                <w:tcPr>
                  <w:tcW w:w="968" w:type="dxa"/>
                  <w:vAlign w:val="center"/>
                </w:tcPr>
                <w:p w14:paraId="20ACDC42">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10吨</w:t>
                  </w:r>
                </w:p>
              </w:tc>
              <w:tc>
                <w:tcPr>
                  <w:tcW w:w="1097" w:type="dxa"/>
                  <w:shd w:val="clear" w:color="auto" w:fill="auto"/>
                  <w:vAlign w:val="center"/>
                </w:tcPr>
                <w:p w14:paraId="14C61A98">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50kg/袋</w:t>
                  </w:r>
                </w:p>
              </w:tc>
              <w:tc>
                <w:tcPr>
                  <w:tcW w:w="1121" w:type="dxa"/>
                  <w:shd w:val="clear" w:color="auto" w:fill="auto"/>
                  <w:vAlign w:val="center"/>
                </w:tcPr>
                <w:p w14:paraId="332A653B">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塑料袋装</w:t>
                  </w:r>
                </w:p>
              </w:tc>
            </w:tr>
            <w:tr w14:paraId="5CA7B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Align w:val="center"/>
                </w:tcPr>
                <w:p w14:paraId="6F9DD0B7">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7</w:t>
                  </w:r>
                </w:p>
              </w:tc>
              <w:tc>
                <w:tcPr>
                  <w:tcW w:w="0" w:type="auto"/>
                  <w:shd w:val="clear" w:color="auto" w:fill="auto"/>
                  <w:vAlign w:val="center"/>
                </w:tcPr>
                <w:p w14:paraId="22E3B1B2">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防老剂 RD</w:t>
                  </w:r>
                </w:p>
              </w:tc>
              <w:tc>
                <w:tcPr>
                  <w:tcW w:w="900" w:type="dxa"/>
                  <w:shd w:val="clear" w:color="auto" w:fill="auto"/>
                  <w:vAlign w:val="center"/>
                </w:tcPr>
                <w:p w14:paraId="087E348B">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14吨</w:t>
                  </w:r>
                </w:p>
              </w:tc>
              <w:tc>
                <w:tcPr>
                  <w:tcW w:w="882" w:type="dxa"/>
                  <w:vMerge w:val="continue"/>
                  <w:vAlign w:val="center"/>
                </w:tcPr>
                <w:p w14:paraId="575FAEB5">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p>
              </w:tc>
              <w:tc>
                <w:tcPr>
                  <w:tcW w:w="969" w:type="dxa"/>
                  <w:vAlign w:val="center"/>
                </w:tcPr>
                <w:p w14:paraId="1CB13CEF">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一个月</w:t>
                  </w:r>
                </w:p>
              </w:tc>
              <w:tc>
                <w:tcPr>
                  <w:tcW w:w="968" w:type="dxa"/>
                  <w:vAlign w:val="center"/>
                </w:tcPr>
                <w:p w14:paraId="08ABD207">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1.1吨</w:t>
                  </w:r>
                </w:p>
              </w:tc>
              <w:tc>
                <w:tcPr>
                  <w:tcW w:w="1097" w:type="dxa"/>
                  <w:shd w:val="clear" w:color="auto" w:fill="auto"/>
                  <w:vAlign w:val="center"/>
                </w:tcPr>
                <w:p w14:paraId="0A235097">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50kg/袋</w:t>
                  </w:r>
                </w:p>
              </w:tc>
              <w:tc>
                <w:tcPr>
                  <w:tcW w:w="1121" w:type="dxa"/>
                  <w:shd w:val="clear" w:color="auto" w:fill="auto"/>
                  <w:vAlign w:val="center"/>
                </w:tcPr>
                <w:p w14:paraId="2593D73C">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牛皮纸袋</w:t>
                  </w:r>
                </w:p>
              </w:tc>
            </w:tr>
            <w:tr w14:paraId="5835E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Align w:val="center"/>
                </w:tcPr>
                <w:p w14:paraId="3A665FC6">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8</w:t>
                  </w:r>
                </w:p>
              </w:tc>
              <w:tc>
                <w:tcPr>
                  <w:tcW w:w="0" w:type="auto"/>
                  <w:shd w:val="clear" w:color="auto" w:fill="auto"/>
                  <w:vAlign w:val="center"/>
                </w:tcPr>
                <w:p w14:paraId="7CE98BCC">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硬脂酸 SA</w:t>
                  </w:r>
                </w:p>
              </w:tc>
              <w:tc>
                <w:tcPr>
                  <w:tcW w:w="900" w:type="dxa"/>
                  <w:shd w:val="clear" w:color="auto" w:fill="auto"/>
                  <w:vAlign w:val="center"/>
                </w:tcPr>
                <w:p w14:paraId="7F2D176B">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190吨</w:t>
                  </w:r>
                </w:p>
              </w:tc>
              <w:tc>
                <w:tcPr>
                  <w:tcW w:w="882" w:type="dxa"/>
                  <w:vMerge w:val="continue"/>
                  <w:vAlign w:val="center"/>
                </w:tcPr>
                <w:p w14:paraId="539E98BA">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p>
              </w:tc>
              <w:tc>
                <w:tcPr>
                  <w:tcW w:w="969" w:type="dxa"/>
                  <w:vAlign w:val="center"/>
                </w:tcPr>
                <w:p w14:paraId="125475A6">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一个月</w:t>
                  </w:r>
                </w:p>
              </w:tc>
              <w:tc>
                <w:tcPr>
                  <w:tcW w:w="968" w:type="dxa"/>
                  <w:vAlign w:val="center"/>
                </w:tcPr>
                <w:p w14:paraId="54CDACBF">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15吨</w:t>
                  </w:r>
                </w:p>
              </w:tc>
              <w:tc>
                <w:tcPr>
                  <w:tcW w:w="1097" w:type="dxa"/>
                  <w:shd w:val="clear" w:color="auto" w:fill="auto"/>
                  <w:vAlign w:val="center"/>
                </w:tcPr>
                <w:p w14:paraId="4261E54A">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50kg/袋</w:t>
                  </w:r>
                </w:p>
              </w:tc>
              <w:tc>
                <w:tcPr>
                  <w:tcW w:w="1121" w:type="dxa"/>
                  <w:shd w:val="clear" w:color="auto" w:fill="auto"/>
                  <w:vAlign w:val="center"/>
                </w:tcPr>
                <w:p w14:paraId="50F112DE">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塑料袋装</w:t>
                  </w:r>
                </w:p>
              </w:tc>
            </w:tr>
            <w:tr w14:paraId="04258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Align w:val="center"/>
                </w:tcPr>
                <w:p w14:paraId="7F22CD6A">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9</w:t>
                  </w:r>
                </w:p>
              </w:tc>
              <w:tc>
                <w:tcPr>
                  <w:tcW w:w="0" w:type="auto"/>
                  <w:shd w:val="clear" w:color="auto" w:fill="auto"/>
                  <w:vAlign w:val="center"/>
                </w:tcPr>
                <w:p w14:paraId="4EFFD4A6">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氧化镁</w:t>
                  </w:r>
                </w:p>
              </w:tc>
              <w:tc>
                <w:tcPr>
                  <w:tcW w:w="900" w:type="dxa"/>
                  <w:shd w:val="clear" w:color="auto" w:fill="auto"/>
                  <w:vAlign w:val="center"/>
                </w:tcPr>
                <w:p w14:paraId="556EF51B">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19吨</w:t>
                  </w:r>
                </w:p>
              </w:tc>
              <w:tc>
                <w:tcPr>
                  <w:tcW w:w="882" w:type="dxa"/>
                  <w:vMerge w:val="continue"/>
                  <w:vAlign w:val="center"/>
                </w:tcPr>
                <w:p w14:paraId="61EB82E9">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p>
              </w:tc>
              <w:tc>
                <w:tcPr>
                  <w:tcW w:w="969" w:type="dxa"/>
                  <w:vAlign w:val="center"/>
                </w:tcPr>
                <w:p w14:paraId="1EEB88CC">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一个月</w:t>
                  </w:r>
                </w:p>
              </w:tc>
              <w:tc>
                <w:tcPr>
                  <w:tcW w:w="968" w:type="dxa"/>
                  <w:vAlign w:val="center"/>
                </w:tcPr>
                <w:p w14:paraId="0E64154A">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1.5吨</w:t>
                  </w:r>
                </w:p>
              </w:tc>
              <w:tc>
                <w:tcPr>
                  <w:tcW w:w="1097" w:type="dxa"/>
                  <w:shd w:val="clear" w:color="auto" w:fill="auto"/>
                  <w:vAlign w:val="center"/>
                </w:tcPr>
                <w:p w14:paraId="054BD8D3">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50kg/袋</w:t>
                  </w:r>
                </w:p>
              </w:tc>
              <w:tc>
                <w:tcPr>
                  <w:tcW w:w="1121" w:type="dxa"/>
                  <w:shd w:val="clear" w:color="auto" w:fill="auto"/>
                  <w:vAlign w:val="center"/>
                </w:tcPr>
                <w:p w14:paraId="7B14276D">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牛皮纸袋</w:t>
                  </w:r>
                </w:p>
              </w:tc>
            </w:tr>
            <w:tr w14:paraId="6BD7E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Align w:val="center"/>
                </w:tcPr>
                <w:p w14:paraId="0E66D926">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10</w:t>
                  </w:r>
                </w:p>
              </w:tc>
              <w:tc>
                <w:tcPr>
                  <w:tcW w:w="0" w:type="auto"/>
                  <w:shd w:val="clear" w:color="auto" w:fill="auto"/>
                  <w:vAlign w:val="center"/>
                </w:tcPr>
                <w:p w14:paraId="1209BC11">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二氧化硅土</w:t>
                  </w:r>
                </w:p>
              </w:tc>
              <w:tc>
                <w:tcPr>
                  <w:tcW w:w="900" w:type="dxa"/>
                  <w:shd w:val="clear" w:color="auto" w:fill="auto"/>
                  <w:vAlign w:val="center"/>
                </w:tcPr>
                <w:p w14:paraId="12407735">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1150吨</w:t>
                  </w:r>
                </w:p>
              </w:tc>
              <w:tc>
                <w:tcPr>
                  <w:tcW w:w="882" w:type="dxa"/>
                  <w:vMerge w:val="continue"/>
                  <w:vAlign w:val="center"/>
                </w:tcPr>
                <w:p w14:paraId="6F61DF4A">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p>
              </w:tc>
              <w:tc>
                <w:tcPr>
                  <w:tcW w:w="969" w:type="dxa"/>
                  <w:vAlign w:val="center"/>
                </w:tcPr>
                <w:p w14:paraId="6A3B3AC4">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一个月</w:t>
                  </w:r>
                </w:p>
              </w:tc>
              <w:tc>
                <w:tcPr>
                  <w:tcW w:w="968" w:type="dxa"/>
                  <w:vAlign w:val="center"/>
                </w:tcPr>
                <w:p w14:paraId="48E4FD17">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12吨</w:t>
                  </w:r>
                </w:p>
              </w:tc>
              <w:tc>
                <w:tcPr>
                  <w:tcW w:w="1097" w:type="dxa"/>
                  <w:shd w:val="clear" w:color="auto" w:fill="auto"/>
                  <w:vAlign w:val="center"/>
                </w:tcPr>
                <w:p w14:paraId="6106A80C">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50kg/袋</w:t>
                  </w:r>
                </w:p>
              </w:tc>
              <w:tc>
                <w:tcPr>
                  <w:tcW w:w="1121" w:type="dxa"/>
                  <w:shd w:val="clear" w:color="auto" w:fill="auto"/>
                  <w:vAlign w:val="center"/>
                </w:tcPr>
                <w:p w14:paraId="00F1AE20">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牛皮纸袋</w:t>
                  </w:r>
                </w:p>
              </w:tc>
            </w:tr>
            <w:tr w14:paraId="07091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Align w:val="center"/>
                </w:tcPr>
                <w:p w14:paraId="617AC28E">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11</w:t>
                  </w:r>
                </w:p>
              </w:tc>
              <w:tc>
                <w:tcPr>
                  <w:tcW w:w="0" w:type="auto"/>
                  <w:shd w:val="clear" w:color="auto" w:fill="auto"/>
                  <w:vAlign w:val="center"/>
                </w:tcPr>
                <w:p w14:paraId="0A085D70">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促进剂 DM</w:t>
                  </w:r>
                </w:p>
              </w:tc>
              <w:tc>
                <w:tcPr>
                  <w:tcW w:w="900" w:type="dxa"/>
                  <w:shd w:val="clear" w:color="auto" w:fill="auto"/>
                  <w:vAlign w:val="center"/>
                </w:tcPr>
                <w:p w14:paraId="598D679C">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70吨</w:t>
                  </w:r>
                </w:p>
              </w:tc>
              <w:tc>
                <w:tcPr>
                  <w:tcW w:w="882" w:type="dxa"/>
                  <w:vMerge w:val="continue"/>
                  <w:vAlign w:val="center"/>
                </w:tcPr>
                <w:p w14:paraId="30C5CAAC">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p>
              </w:tc>
              <w:tc>
                <w:tcPr>
                  <w:tcW w:w="969" w:type="dxa"/>
                  <w:vAlign w:val="center"/>
                </w:tcPr>
                <w:p w14:paraId="6A2BF9EC">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一个月</w:t>
                  </w:r>
                </w:p>
              </w:tc>
              <w:tc>
                <w:tcPr>
                  <w:tcW w:w="968" w:type="dxa"/>
                  <w:vAlign w:val="center"/>
                </w:tcPr>
                <w:p w14:paraId="001B92EB">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5吨</w:t>
                  </w:r>
                </w:p>
              </w:tc>
              <w:tc>
                <w:tcPr>
                  <w:tcW w:w="1097" w:type="dxa"/>
                  <w:shd w:val="clear" w:color="auto" w:fill="auto"/>
                  <w:vAlign w:val="center"/>
                </w:tcPr>
                <w:p w14:paraId="47546D87">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50kg/袋</w:t>
                  </w:r>
                </w:p>
              </w:tc>
              <w:tc>
                <w:tcPr>
                  <w:tcW w:w="1121" w:type="dxa"/>
                  <w:shd w:val="clear" w:color="auto" w:fill="auto"/>
                  <w:vAlign w:val="center"/>
                </w:tcPr>
                <w:p w14:paraId="0E7130A4">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牛皮纸袋</w:t>
                  </w:r>
                </w:p>
              </w:tc>
            </w:tr>
            <w:tr w14:paraId="693D2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Align w:val="center"/>
                </w:tcPr>
                <w:p w14:paraId="642E1AAF">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12</w:t>
                  </w:r>
                </w:p>
              </w:tc>
              <w:tc>
                <w:tcPr>
                  <w:tcW w:w="0" w:type="auto"/>
                  <w:shd w:val="clear" w:color="auto" w:fill="auto"/>
                  <w:vAlign w:val="center"/>
                </w:tcPr>
                <w:p w14:paraId="55A69F8E">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促进剂 CZ</w:t>
                  </w:r>
                </w:p>
              </w:tc>
              <w:tc>
                <w:tcPr>
                  <w:tcW w:w="900" w:type="dxa"/>
                  <w:shd w:val="clear" w:color="auto" w:fill="auto"/>
                  <w:vAlign w:val="center"/>
                </w:tcPr>
                <w:p w14:paraId="10477E4A">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92吨</w:t>
                  </w:r>
                </w:p>
              </w:tc>
              <w:tc>
                <w:tcPr>
                  <w:tcW w:w="882" w:type="dxa"/>
                  <w:vMerge w:val="continue"/>
                  <w:vAlign w:val="center"/>
                </w:tcPr>
                <w:p w14:paraId="2FB38DA5">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p>
              </w:tc>
              <w:tc>
                <w:tcPr>
                  <w:tcW w:w="969" w:type="dxa"/>
                  <w:vAlign w:val="center"/>
                </w:tcPr>
                <w:p w14:paraId="471F7582">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一个月</w:t>
                  </w:r>
                </w:p>
              </w:tc>
              <w:tc>
                <w:tcPr>
                  <w:tcW w:w="968" w:type="dxa"/>
                  <w:vAlign w:val="center"/>
                </w:tcPr>
                <w:p w14:paraId="24BE2708">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7吨</w:t>
                  </w:r>
                </w:p>
              </w:tc>
              <w:tc>
                <w:tcPr>
                  <w:tcW w:w="1097" w:type="dxa"/>
                  <w:shd w:val="clear" w:color="auto" w:fill="auto"/>
                  <w:vAlign w:val="center"/>
                </w:tcPr>
                <w:p w14:paraId="36A542C0">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50kg/袋</w:t>
                  </w:r>
                </w:p>
              </w:tc>
              <w:tc>
                <w:tcPr>
                  <w:tcW w:w="1121" w:type="dxa"/>
                  <w:shd w:val="clear" w:color="auto" w:fill="auto"/>
                  <w:vAlign w:val="center"/>
                </w:tcPr>
                <w:p w14:paraId="0540BDC1">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牛皮纸袋</w:t>
                  </w:r>
                </w:p>
              </w:tc>
            </w:tr>
            <w:tr w14:paraId="16E59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Align w:val="center"/>
                </w:tcPr>
                <w:p w14:paraId="005DBE04">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13</w:t>
                  </w:r>
                </w:p>
              </w:tc>
              <w:tc>
                <w:tcPr>
                  <w:tcW w:w="0" w:type="auto"/>
                  <w:shd w:val="clear" w:color="auto" w:fill="auto"/>
                  <w:vAlign w:val="center"/>
                </w:tcPr>
                <w:p w14:paraId="525C85D6">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硫磺</w:t>
                  </w:r>
                </w:p>
              </w:tc>
              <w:tc>
                <w:tcPr>
                  <w:tcW w:w="900" w:type="dxa"/>
                  <w:shd w:val="clear" w:color="auto" w:fill="auto"/>
                  <w:vAlign w:val="center"/>
                </w:tcPr>
                <w:p w14:paraId="3D947C8C">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8</w:t>
                  </w:r>
                  <w:r>
                    <w:rPr>
                      <w:rFonts w:hint="eastAsia" w:ascii="Times New Roman" w:hAnsi="Times New Roman" w:eastAsia="宋体" w:cs="Times New Roman"/>
                      <w:b w:val="0"/>
                      <w:bCs w:val="0"/>
                      <w:color w:val="auto"/>
                      <w:sz w:val="21"/>
                      <w:szCs w:val="21"/>
                      <w:lang w:val="en-US" w:eastAsia="zh-CN"/>
                    </w:rPr>
                    <w:t>吨</w:t>
                  </w:r>
                </w:p>
              </w:tc>
              <w:tc>
                <w:tcPr>
                  <w:tcW w:w="882" w:type="dxa"/>
                  <w:vAlign w:val="center"/>
                </w:tcPr>
                <w:p w14:paraId="203CBA51">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b w:val="0"/>
                      <w:bCs/>
                      <w:color w:val="auto"/>
                      <w:sz w:val="21"/>
                      <w:szCs w:val="21"/>
                      <w:lang w:val="en-US" w:eastAsia="zh-CN"/>
                    </w:rPr>
                    <w:t>硫磺防爆间</w:t>
                  </w:r>
                </w:p>
              </w:tc>
              <w:tc>
                <w:tcPr>
                  <w:tcW w:w="969" w:type="dxa"/>
                  <w:vAlign w:val="center"/>
                </w:tcPr>
                <w:p w14:paraId="404F07DE">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三个月</w:t>
                  </w:r>
                </w:p>
              </w:tc>
              <w:tc>
                <w:tcPr>
                  <w:tcW w:w="968" w:type="dxa"/>
                  <w:vAlign w:val="center"/>
                </w:tcPr>
                <w:p w14:paraId="401A8C5D">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w:t>
                  </w:r>
                  <w:r>
                    <w:rPr>
                      <w:rFonts w:hint="eastAsia" w:ascii="Times New Roman" w:hAnsi="Times New Roman" w:eastAsia="宋体" w:cs="Times New Roman"/>
                      <w:b w:val="0"/>
                      <w:bCs w:val="0"/>
                      <w:color w:val="auto"/>
                      <w:sz w:val="21"/>
                      <w:szCs w:val="21"/>
                      <w:lang w:val="en-US" w:eastAsia="zh-CN"/>
                    </w:rPr>
                    <w:t>吨</w:t>
                  </w:r>
                </w:p>
              </w:tc>
              <w:tc>
                <w:tcPr>
                  <w:tcW w:w="1097" w:type="dxa"/>
                  <w:shd w:val="clear" w:color="auto" w:fill="auto"/>
                  <w:vAlign w:val="center"/>
                </w:tcPr>
                <w:p w14:paraId="535CF52F">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25kg/袋</w:t>
                  </w:r>
                </w:p>
              </w:tc>
              <w:tc>
                <w:tcPr>
                  <w:tcW w:w="1121" w:type="dxa"/>
                  <w:shd w:val="clear" w:color="auto" w:fill="auto"/>
                  <w:vAlign w:val="center"/>
                </w:tcPr>
                <w:p w14:paraId="66433D2D">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牛皮纸袋</w:t>
                  </w:r>
                </w:p>
              </w:tc>
            </w:tr>
            <w:tr w14:paraId="7209D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0" w:type="auto"/>
                  <w:vAlign w:val="center"/>
                </w:tcPr>
                <w:p w14:paraId="47BCB918">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14</w:t>
                  </w:r>
                </w:p>
              </w:tc>
              <w:tc>
                <w:tcPr>
                  <w:tcW w:w="0" w:type="auto"/>
                  <w:shd w:val="clear" w:color="auto" w:fill="auto"/>
                  <w:vAlign w:val="center"/>
                </w:tcPr>
                <w:p w14:paraId="2D36E824">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环保胶黏剂</w:t>
                  </w:r>
                </w:p>
              </w:tc>
              <w:tc>
                <w:tcPr>
                  <w:tcW w:w="900" w:type="dxa"/>
                  <w:shd w:val="clear" w:color="auto" w:fill="auto"/>
                  <w:vAlign w:val="center"/>
                </w:tcPr>
                <w:p w14:paraId="1F3A6778">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w:t>
                  </w:r>
                  <w:r>
                    <w:rPr>
                      <w:rFonts w:hint="eastAsia" w:ascii="Times New Roman" w:hAnsi="Times New Roman" w:eastAsia="宋体" w:cs="Times New Roman"/>
                      <w:b w:val="0"/>
                      <w:bCs w:val="0"/>
                      <w:color w:val="auto"/>
                      <w:sz w:val="21"/>
                      <w:szCs w:val="21"/>
                      <w:lang w:val="en-US" w:eastAsia="zh-CN"/>
                    </w:rPr>
                    <w:t>吨</w:t>
                  </w:r>
                </w:p>
              </w:tc>
              <w:tc>
                <w:tcPr>
                  <w:tcW w:w="882" w:type="dxa"/>
                  <w:vAlign w:val="center"/>
                </w:tcPr>
                <w:p w14:paraId="2DA06EDA">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bCs/>
                      <w:color w:val="auto"/>
                      <w:kern w:val="2"/>
                      <w:sz w:val="21"/>
                      <w:szCs w:val="18"/>
                      <w:lang w:val="en-US" w:eastAsia="zh-CN" w:bidi="ar-SA"/>
                    </w:rPr>
                    <w:t>辅料</w:t>
                  </w:r>
                  <w:r>
                    <w:rPr>
                      <w:rFonts w:hint="eastAsia" w:eastAsia="宋体"/>
                      <w:bCs/>
                      <w:color w:val="auto"/>
                      <w:kern w:val="2"/>
                      <w:sz w:val="21"/>
                      <w:szCs w:val="18"/>
                      <w:lang w:val="en-US" w:eastAsia="zh-CN" w:bidi="ar-SA"/>
                    </w:rPr>
                    <w:t>库房</w:t>
                  </w:r>
                </w:p>
              </w:tc>
              <w:tc>
                <w:tcPr>
                  <w:tcW w:w="969" w:type="dxa"/>
                  <w:vAlign w:val="center"/>
                </w:tcPr>
                <w:p w14:paraId="4325E0A8">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一个月</w:t>
                  </w:r>
                </w:p>
              </w:tc>
              <w:tc>
                <w:tcPr>
                  <w:tcW w:w="968" w:type="dxa"/>
                  <w:vAlign w:val="center"/>
                </w:tcPr>
                <w:p w14:paraId="47652711">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0.3</w:t>
                  </w:r>
                  <w:r>
                    <w:rPr>
                      <w:rFonts w:hint="eastAsia" w:ascii="Times New Roman" w:hAnsi="Times New Roman" w:eastAsia="宋体" w:cs="Times New Roman"/>
                      <w:b w:val="0"/>
                      <w:bCs w:val="0"/>
                      <w:color w:val="auto"/>
                      <w:sz w:val="21"/>
                      <w:szCs w:val="21"/>
                      <w:lang w:val="en-US" w:eastAsia="zh-CN"/>
                    </w:rPr>
                    <w:t>吨</w:t>
                  </w:r>
                </w:p>
              </w:tc>
              <w:tc>
                <w:tcPr>
                  <w:tcW w:w="1097" w:type="dxa"/>
                  <w:shd w:val="clear" w:color="auto" w:fill="auto"/>
                  <w:vAlign w:val="center"/>
                </w:tcPr>
                <w:p w14:paraId="346644EA">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20kg/桶</w:t>
                  </w:r>
                </w:p>
              </w:tc>
              <w:tc>
                <w:tcPr>
                  <w:tcW w:w="1121" w:type="dxa"/>
                  <w:shd w:val="clear" w:color="auto" w:fill="auto"/>
                  <w:vAlign w:val="center"/>
                </w:tcPr>
                <w:p w14:paraId="7AF0023C">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桶装</w:t>
                  </w:r>
                </w:p>
              </w:tc>
            </w:tr>
            <w:tr w14:paraId="4800D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shd w:val="clear" w:color="auto" w:fill="auto"/>
                  <w:vAlign w:val="center"/>
                </w:tcPr>
                <w:p w14:paraId="2B40A6F1">
                  <w:pPr>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15</w:t>
                  </w:r>
                </w:p>
              </w:tc>
              <w:tc>
                <w:tcPr>
                  <w:tcW w:w="0" w:type="auto"/>
                  <w:shd w:val="clear" w:color="auto" w:fill="auto"/>
                  <w:vAlign w:val="center"/>
                </w:tcPr>
                <w:p w14:paraId="228C8AD4">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钢板</w:t>
                  </w:r>
                </w:p>
              </w:tc>
              <w:tc>
                <w:tcPr>
                  <w:tcW w:w="900" w:type="dxa"/>
                  <w:shd w:val="clear" w:color="auto" w:fill="auto"/>
                  <w:vAlign w:val="center"/>
                </w:tcPr>
                <w:p w14:paraId="54FDF47A">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26700吨</w:t>
                  </w:r>
                </w:p>
              </w:tc>
              <w:tc>
                <w:tcPr>
                  <w:tcW w:w="882" w:type="dxa"/>
                  <w:vAlign w:val="center"/>
                </w:tcPr>
                <w:p w14:paraId="2B5D16F2">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b w:val="0"/>
                      <w:bCs/>
                      <w:color w:val="auto"/>
                      <w:sz w:val="21"/>
                      <w:szCs w:val="21"/>
                      <w:lang w:val="en-US" w:eastAsia="zh-CN"/>
                    </w:rPr>
                    <w:t>钢板存放区</w:t>
                  </w:r>
                </w:p>
              </w:tc>
              <w:tc>
                <w:tcPr>
                  <w:tcW w:w="969" w:type="dxa"/>
                  <w:vAlign w:val="center"/>
                </w:tcPr>
                <w:p w14:paraId="430655D6">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半</w:t>
                  </w:r>
                  <w:bookmarkStart w:id="8" w:name="_GoBack"/>
                  <w:bookmarkEnd w:id="8"/>
                  <w:r>
                    <w:rPr>
                      <w:rFonts w:hint="eastAsia" w:ascii="Times New Roman" w:hAnsi="Times New Roman" w:eastAsia="宋体" w:cs="Times New Roman"/>
                      <w:b w:val="0"/>
                      <w:bCs w:val="0"/>
                      <w:color w:val="auto"/>
                      <w:sz w:val="21"/>
                      <w:szCs w:val="21"/>
                      <w:lang w:val="en-US" w:eastAsia="zh-CN"/>
                    </w:rPr>
                    <w:t>个月</w:t>
                  </w:r>
                </w:p>
              </w:tc>
              <w:tc>
                <w:tcPr>
                  <w:tcW w:w="968" w:type="dxa"/>
                  <w:vAlign w:val="center"/>
                </w:tcPr>
                <w:p w14:paraId="2985FD18">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1120吨</w:t>
                  </w:r>
                </w:p>
              </w:tc>
              <w:tc>
                <w:tcPr>
                  <w:tcW w:w="1097" w:type="dxa"/>
                  <w:shd w:val="clear" w:color="auto" w:fill="auto"/>
                  <w:vAlign w:val="center"/>
                </w:tcPr>
                <w:p w14:paraId="3166AC93">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1121" w:type="dxa"/>
                  <w:shd w:val="clear" w:color="auto" w:fill="auto"/>
                  <w:vAlign w:val="center"/>
                </w:tcPr>
                <w:p w14:paraId="23C36971">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堆放</w:t>
                  </w:r>
                </w:p>
              </w:tc>
            </w:tr>
            <w:tr w14:paraId="3047B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shd w:val="clear" w:color="auto" w:fill="auto"/>
                  <w:vAlign w:val="center"/>
                </w:tcPr>
                <w:p w14:paraId="7418FD92">
                  <w:pPr>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16</w:t>
                  </w:r>
                </w:p>
              </w:tc>
              <w:tc>
                <w:tcPr>
                  <w:tcW w:w="0" w:type="auto"/>
                  <w:shd w:val="clear" w:color="auto" w:fill="auto"/>
                  <w:vAlign w:val="center"/>
                </w:tcPr>
                <w:p w14:paraId="7E7B0CDE">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钢丸</w:t>
                  </w:r>
                </w:p>
              </w:tc>
              <w:tc>
                <w:tcPr>
                  <w:tcW w:w="900" w:type="dxa"/>
                  <w:shd w:val="clear" w:color="auto" w:fill="auto"/>
                  <w:vAlign w:val="center"/>
                </w:tcPr>
                <w:p w14:paraId="7CF2394B">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8吨</w:t>
                  </w:r>
                </w:p>
              </w:tc>
              <w:tc>
                <w:tcPr>
                  <w:tcW w:w="882" w:type="dxa"/>
                  <w:vMerge w:val="restart"/>
                  <w:vAlign w:val="center"/>
                </w:tcPr>
                <w:p w14:paraId="0B9DDA8C">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b w:val="0"/>
                      <w:bCs/>
                      <w:color w:val="auto"/>
                      <w:sz w:val="21"/>
                      <w:szCs w:val="21"/>
                      <w:lang w:val="en-US" w:eastAsia="zh-CN"/>
                    </w:rPr>
                    <w:t>天然橡胶存放区</w:t>
                  </w:r>
                </w:p>
              </w:tc>
              <w:tc>
                <w:tcPr>
                  <w:tcW w:w="969" w:type="dxa"/>
                  <w:vAlign w:val="center"/>
                </w:tcPr>
                <w:p w14:paraId="6D2230D4">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一个月</w:t>
                  </w:r>
                </w:p>
              </w:tc>
              <w:tc>
                <w:tcPr>
                  <w:tcW w:w="968" w:type="dxa"/>
                  <w:vAlign w:val="center"/>
                </w:tcPr>
                <w:p w14:paraId="0AA8CAC4">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0.7吨</w:t>
                  </w:r>
                </w:p>
              </w:tc>
              <w:tc>
                <w:tcPr>
                  <w:tcW w:w="1097" w:type="dxa"/>
                  <w:shd w:val="clear" w:color="auto" w:fill="auto"/>
                  <w:vAlign w:val="center"/>
                </w:tcPr>
                <w:p w14:paraId="615F38CD">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50</w:t>
                  </w:r>
                  <w:r>
                    <w:rPr>
                      <w:rFonts w:hint="default" w:ascii="Times New Roman" w:hAnsi="Times New Roman" w:eastAsia="宋体" w:cs="Times New Roman"/>
                      <w:b w:val="0"/>
                      <w:bCs w:val="0"/>
                      <w:color w:val="auto"/>
                      <w:sz w:val="21"/>
                      <w:szCs w:val="21"/>
                    </w:rPr>
                    <w:t>kg/袋</w:t>
                  </w:r>
                </w:p>
              </w:tc>
              <w:tc>
                <w:tcPr>
                  <w:tcW w:w="1121" w:type="dxa"/>
                  <w:shd w:val="clear" w:color="auto" w:fill="auto"/>
                  <w:vAlign w:val="center"/>
                </w:tcPr>
                <w:p w14:paraId="060CBE0C">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袋装</w:t>
                  </w:r>
                </w:p>
              </w:tc>
            </w:tr>
            <w:tr w14:paraId="2D007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shd w:val="clear" w:color="auto" w:fill="auto"/>
                  <w:vAlign w:val="center"/>
                </w:tcPr>
                <w:p w14:paraId="54D02AA3">
                  <w:pPr>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17</w:t>
                  </w:r>
                </w:p>
              </w:tc>
              <w:tc>
                <w:tcPr>
                  <w:tcW w:w="0" w:type="auto"/>
                  <w:shd w:val="clear" w:color="auto" w:fill="auto"/>
                  <w:vAlign w:val="center"/>
                </w:tcPr>
                <w:p w14:paraId="2F5F00F8">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四氟板</w:t>
                  </w:r>
                </w:p>
              </w:tc>
              <w:tc>
                <w:tcPr>
                  <w:tcW w:w="900" w:type="dxa"/>
                  <w:shd w:val="clear" w:color="auto" w:fill="auto"/>
                  <w:vAlign w:val="center"/>
                </w:tcPr>
                <w:p w14:paraId="74EDE147">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6000吨</w:t>
                  </w:r>
                </w:p>
              </w:tc>
              <w:tc>
                <w:tcPr>
                  <w:tcW w:w="882" w:type="dxa"/>
                  <w:vMerge w:val="continue"/>
                  <w:vAlign w:val="center"/>
                </w:tcPr>
                <w:p w14:paraId="27CFD89F">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p>
              </w:tc>
              <w:tc>
                <w:tcPr>
                  <w:tcW w:w="969" w:type="dxa"/>
                  <w:vAlign w:val="center"/>
                </w:tcPr>
                <w:p w14:paraId="26493720">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半个月</w:t>
                  </w:r>
                </w:p>
              </w:tc>
              <w:tc>
                <w:tcPr>
                  <w:tcW w:w="968" w:type="dxa"/>
                  <w:vAlign w:val="center"/>
                </w:tcPr>
                <w:p w14:paraId="703398E9">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250吨</w:t>
                  </w:r>
                </w:p>
              </w:tc>
              <w:tc>
                <w:tcPr>
                  <w:tcW w:w="1097" w:type="dxa"/>
                  <w:shd w:val="clear" w:color="auto" w:fill="auto"/>
                  <w:vAlign w:val="center"/>
                </w:tcPr>
                <w:p w14:paraId="024E898B">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堆放</w:t>
                  </w:r>
                </w:p>
              </w:tc>
              <w:tc>
                <w:tcPr>
                  <w:tcW w:w="1121" w:type="dxa"/>
                  <w:shd w:val="clear" w:color="auto" w:fill="auto"/>
                  <w:vAlign w:val="center"/>
                </w:tcPr>
                <w:p w14:paraId="15C0C105">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堆放</w:t>
                  </w:r>
                </w:p>
              </w:tc>
            </w:tr>
            <w:tr w14:paraId="6FC78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shd w:val="clear" w:color="auto" w:fill="auto"/>
                  <w:vAlign w:val="center"/>
                </w:tcPr>
                <w:p w14:paraId="2671A254">
                  <w:pPr>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18</w:t>
                  </w:r>
                </w:p>
              </w:tc>
              <w:tc>
                <w:tcPr>
                  <w:tcW w:w="0" w:type="auto"/>
                  <w:shd w:val="clear" w:color="auto" w:fill="auto"/>
                  <w:vAlign w:val="center"/>
                </w:tcPr>
                <w:p w14:paraId="4AE504E5">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润滑</w:t>
                  </w:r>
                  <w:r>
                    <w:rPr>
                      <w:rFonts w:hint="default" w:ascii="Times New Roman" w:hAnsi="Times New Roman" w:eastAsia="宋体" w:cs="Times New Roman"/>
                      <w:b w:val="0"/>
                      <w:bCs w:val="0"/>
                      <w:color w:val="auto"/>
                      <w:sz w:val="21"/>
                      <w:szCs w:val="21"/>
                    </w:rPr>
                    <w:t>油</w:t>
                  </w:r>
                </w:p>
              </w:tc>
              <w:tc>
                <w:tcPr>
                  <w:tcW w:w="900" w:type="dxa"/>
                  <w:shd w:val="clear" w:color="auto" w:fill="auto"/>
                  <w:vAlign w:val="center"/>
                </w:tcPr>
                <w:p w14:paraId="7A087B28">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5吨</w:t>
                  </w:r>
                </w:p>
              </w:tc>
              <w:tc>
                <w:tcPr>
                  <w:tcW w:w="882" w:type="dxa"/>
                  <w:vAlign w:val="center"/>
                </w:tcPr>
                <w:p w14:paraId="5E9E0A78">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bCs/>
                      <w:color w:val="auto"/>
                      <w:kern w:val="2"/>
                      <w:sz w:val="21"/>
                      <w:szCs w:val="18"/>
                      <w:lang w:val="en-US" w:eastAsia="zh-CN" w:bidi="ar-SA"/>
                    </w:rPr>
                    <w:t>辅料</w:t>
                  </w:r>
                  <w:r>
                    <w:rPr>
                      <w:rFonts w:hint="eastAsia" w:eastAsia="宋体"/>
                      <w:bCs/>
                      <w:color w:val="auto"/>
                      <w:kern w:val="2"/>
                      <w:sz w:val="21"/>
                      <w:szCs w:val="18"/>
                      <w:lang w:val="en-US" w:eastAsia="zh-CN" w:bidi="ar-SA"/>
                    </w:rPr>
                    <w:t>库房</w:t>
                  </w:r>
                </w:p>
              </w:tc>
              <w:tc>
                <w:tcPr>
                  <w:tcW w:w="969" w:type="dxa"/>
                  <w:vAlign w:val="center"/>
                </w:tcPr>
                <w:p w14:paraId="4296B23B">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半个月</w:t>
                  </w:r>
                </w:p>
              </w:tc>
              <w:tc>
                <w:tcPr>
                  <w:tcW w:w="968" w:type="dxa"/>
                  <w:vAlign w:val="center"/>
                </w:tcPr>
                <w:p w14:paraId="76CF6773">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0.5吨</w:t>
                  </w:r>
                </w:p>
              </w:tc>
              <w:tc>
                <w:tcPr>
                  <w:tcW w:w="1097" w:type="dxa"/>
                  <w:shd w:val="clear" w:color="auto" w:fill="auto"/>
                  <w:vAlign w:val="center"/>
                </w:tcPr>
                <w:p w14:paraId="6BB6F5EB">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50</w:t>
                  </w:r>
                  <w:r>
                    <w:rPr>
                      <w:rFonts w:hint="default" w:ascii="Times New Roman" w:hAnsi="Times New Roman" w:eastAsia="宋体" w:cs="Times New Roman"/>
                      <w:b w:val="0"/>
                      <w:bCs w:val="0"/>
                      <w:color w:val="auto"/>
                      <w:sz w:val="21"/>
                      <w:szCs w:val="21"/>
                    </w:rPr>
                    <w:t>kg/桶</w:t>
                  </w:r>
                </w:p>
              </w:tc>
              <w:tc>
                <w:tcPr>
                  <w:tcW w:w="1121" w:type="dxa"/>
                  <w:shd w:val="clear" w:color="auto" w:fill="auto"/>
                  <w:vAlign w:val="center"/>
                </w:tcPr>
                <w:p w14:paraId="7665816F">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桶装</w:t>
                  </w:r>
                </w:p>
              </w:tc>
            </w:tr>
          </w:tbl>
          <w:p w14:paraId="073BD372">
            <w:pPr>
              <w:bidi w:val="0"/>
              <w:ind w:firstLine="480" w:firstLineChars="200"/>
              <w:rPr>
                <w:rFonts w:hint="eastAsia"/>
                <w:lang w:val="en-US" w:eastAsia="zh-CN"/>
              </w:rPr>
            </w:pPr>
            <w:r>
              <w:rPr>
                <w:rFonts w:hint="eastAsia"/>
              </w:rPr>
              <w:t>各原辅</w:t>
            </w:r>
            <w:r>
              <w:rPr>
                <w:rFonts w:hint="eastAsia"/>
                <w:b w:val="0"/>
                <w:bCs w:val="0"/>
              </w:rPr>
              <w:t>材料</w:t>
            </w:r>
            <w:r>
              <w:rPr>
                <w:rFonts w:hint="eastAsia"/>
                <w:b w:val="0"/>
                <w:bCs w:val="0"/>
                <w:color w:val="auto"/>
              </w:rPr>
              <w:t>成分、</w:t>
            </w:r>
            <w:r>
              <w:rPr>
                <w:rFonts w:hint="eastAsia"/>
              </w:rPr>
              <w:t>理化性质</w:t>
            </w:r>
            <w:r>
              <w:rPr>
                <w:rFonts w:hint="eastAsia"/>
                <w:lang w:val="en-US" w:eastAsia="zh-CN"/>
              </w:rPr>
              <w:t>如下。</w:t>
            </w:r>
          </w:p>
          <w:p w14:paraId="7C487D1A">
            <w:pPr>
              <w:ind w:firstLine="0" w:firstLineChars="0"/>
              <w:jc w:val="center"/>
              <w:rPr>
                <w:color w:val="auto"/>
              </w:rPr>
            </w:pPr>
            <w:r>
              <w:rPr>
                <w:rFonts w:hint="eastAsia"/>
                <w:b/>
                <w:color w:val="auto"/>
              </w:rPr>
              <w:t>表</w:t>
            </w:r>
            <w:r>
              <w:rPr>
                <w:rFonts w:hint="eastAsia"/>
                <w:b/>
                <w:color w:val="auto"/>
                <w:lang w:val="en-US" w:eastAsia="zh-CN"/>
              </w:rPr>
              <w:t>2-5</w:t>
            </w:r>
            <w:r>
              <w:rPr>
                <w:rFonts w:hint="eastAsia"/>
                <w:b/>
                <w:bCs/>
                <w:color w:val="auto"/>
              </w:rPr>
              <w:t xml:space="preserve"> 项目主要原辅材料成分、理化性质一览表</w:t>
            </w:r>
          </w:p>
          <w:tbl>
            <w:tblPr>
              <w:tblStyle w:val="23"/>
              <w:tblW w:w="81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318"/>
              <w:gridCol w:w="3686"/>
              <w:gridCol w:w="1628"/>
              <w:gridCol w:w="819"/>
            </w:tblGrid>
            <w:tr w14:paraId="72B9E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2" w:type="dxa"/>
                  <w:noWrap w:val="0"/>
                  <w:vAlign w:val="center"/>
                </w:tcPr>
                <w:p w14:paraId="65ADD12E">
                  <w:pPr>
                    <w:spacing w:line="240" w:lineRule="auto"/>
                    <w:ind w:firstLine="0" w:firstLineChars="0"/>
                    <w:jc w:val="center"/>
                    <w:rPr>
                      <w:b/>
                      <w:bCs/>
                      <w:color w:val="auto"/>
                      <w:sz w:val="21"/>
                      <w:szCs w:val="21"/>
                    </w:rPr>
                  </w:pPr>
                  <w:r>
                    <w:rPr>
                      <w:b/>
                      <w:bCs/>
                      <w:color w:val="auto"/>
                      <w:sz w:val="21"/>
                      <w:szCs w:val="21"/>
                    </w:rPr>
                    <w:t>材料名称</w:t>
                  </w:r>
                </w:p>
              </w:tc>
              <w:tc>
                <w:tcPr>
                  <w:tcW w:w="1318" w:type="dxa"/>
                  <w:shd w:val="clear" w:color="auto" w:fill="auto"/>
                  <w:noWrap w:val="0"/>
                  <w:vAlign w:val="center"/>
                </w:tcPr>
                <w:p w14:paraId="730D0F24">
                  <w:pPr>
                    <w:spacing w:line="240" w:lineRule="auto"/>
                    <w:ind w:firstLine="0" w:firstLineChars="0"/>
                    <w:jc w:val="center"/>
                    <w:rPr>
                      <w:rFonts w:hint="eastAsia" w:ascii="Times New Roman" w:hAnsi="Times New Roman" w:eastAsia="宋体" w:cs="Times New Roman"/>
                      <w:b/>
                      <w:bCs/>
                      <w:color w:val="auto"/>
                      <w:kern w:val="2"/>
                      <w:sz w:val="21"/>
                      <w:szCs w:val="21"/>
                      <w:lang w:val="en-US" w:eastAsia="zh-CN" w:bidi="ar-SA"/>
                    </w:rPr>
                  </w:pPr>
                  <w:r>
                    <w:rPr>
                      <w:rFonts w:hint="eastAsia"/>
                      <w:b/>
                      <w:bCs/>
                      <w:color w:val="auto"/>
                      <w:sz w:val="21"/>
                      <w:szCs w:val="21"/>
                      <w:lang w:val="en-US" w:eastAsia="zh-CN"/>
                    </w:rPr>
                    <w:t>分子式</w:t>
                  </w:r>
                </w:p>
              </w:tc>
              <w:tc>
                <w:tcPr>
                  <w:tcW w:w="3686" w:type="dxa"/>
                  <w:shd w:val="clear" w:color="auto" w:fill="auto"/>
                  <w:noWrap w:val="0"/>
                  <w:vAlign w:val="center"/>
                </w:tcPr>
                <w:p w14:paraId="7E946618">
                  <w:pPr>
                    <w:spacing w:line="240" w:lineRule="auto"/>
                    <w:ind w:firstLine="0" w:firstLineChars="0"/>
                    <w:jc w:val="center"/>
                    <w:rPr>
                      <w:rFonts w:ascii="Times New Roman" w:hAnsi="Times New Roman" w:eastAsia="宋体" w:cs="Times New Roman"/>
                      <w:b/>
                      <w:bCs/>
                      <w:color w:val="auto"/>
                      <w:kern w:val="2"/>
                      <w:sz w:val="21"/>
                      <w:szCs w:val="21"/>
                      <w:lang w:val="en-US" w:eastAsia="zh-CN" w:bidi="ar-SA"/>
                    </w:rPr>
                  </w:pPr>
                  <w:r>
                    <w:rPr>
                      <w:b/>
                      <w:bCs/>
                      <w:color w:val="auto"/>
                      <w:sz w:val="21"/>
                      <w:szCs w:val="21"/>
                    </w:rPr>
                    <w:t>理化性质</w:t>
                  </w:r>
                </w:p>
              </w:tc>
              <w:tc>
                <w:tcPr>
                  <w:tcW w:w="1628" w:type="dxa"/>
                  <w:noWrap w:val="0"/>
                  <w:vAlign w:val="center"/>
                </w:tcPr>
                <w:p w14:paraId="7AA53EA5">
                  <w:pPr>
                    <w:spacing w:line="240" w:lineRule="auto"/>
                    <w:ind w:firstLine="0" w:firstLineChars="0"/>
                    <w:jc w:val="center"/>
                    <w:rPr>
                      <w:b/>
                      <w:bCs/>
                      <w:color w:val="auto"/>
                      <w:sz w:val="21"/>
                      <w:szCs w:val="21"/>
                    </w:rPr>
                  </w:pPr>
                  <w:r>
                    <w:rPr>
                      <w:b/>
                      <w:bCs/>
                      <w:color w:val="auto"/>
                      <w:sz w:val="21"/>
                      <w:szCs w:val="21"/>
                    </w:rPr>
                    <w:t>燃烧爆炸性</w:t>
                  </w:r>
                </w:p>
              </w:tc>
              <w:tc>
                <w:tcPr>
                  <w:tcW w:w="819" w:type="dxa"/>
                  <w:noWrap w:val="0"/>
                  <w:vAlign w:val="center"/>
                </w:tcPr>
                <w:p w14:paraId="58D9DD15">
                  <w:pPr>
                    <w:spacing w:line="240" w:lineRule="auto"/>
                    <w:ind w:firstLine="0" w:firstLineChars="0"/>
                    <w:jc w:val="center"/>
                    <w:rPr>
                      <w:bCs/>
                      <w:color w:val="auto"/>
                      <w:sz w:val="21"/>
                      <w:szCs w:val="21"/>
                    </w:rPr>
                  </w:pPr>
                  <w:r>
                    <w:rPr>
                      <w:b/>
                      <w:bCs/>
                      <w:color w:val="auto"/>
                      <w:sz w:val="21"/>
                      <w:szCs w:val="21"/>
                    </w:rPr>
                    <w:t>毒性毒理</w:t>
                  </w:r>
                </w:p>
              </w:tc>
            </w:tr>
            <w:tr w14:paraId="55807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shd w:val="clear" w:color="auto" w:fill="auto"/>
                  <w:noWrap w:val="0"/>
                  <w:vAlign w:val="center"/>
                </w:tcPr>
                <w:p w14:paraId="58285D7F">
                  <w:pPr>
                    <w:tabs>
                      <w:tab w:val="left" w:pos="825"/>
                    </w:tabs>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ascii="Times New Roman" w:hAnsi="Times New Roman"/>
                      <w:color w:val="000000"/>
                      <w:spacing w:val="0"/>
                      <w:sz w:val="21"/>
                      <w:szCs w:val="21"/>
                      <w:shd w:val="clear" w:color="auto" w:fill="FFFFFF"/>
                    </w:rPr>
                    <w:t>天然橡胶</w:t>
                  </w:r>
                </w:p>
              </w:tc>
              <w:tc>
                <w:tcPr>
                  <w:tcW w:w="1318" w:type="dxa"/>
                  <w:shd w:val="clear" w:color="auto" w:fill="auto"/>
                  <w:noWrap w:val="0"/>
                  <w:vAlign w:val="center"/>
                </w:tcPr>
                <w:p w14:paraId="57903D9A">
                  <w:pPr>
                    <w:tabs>
                      <w:tab w:val="left" w:pos="825"/>
                    </w:tabs>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ascii="Times New Roman" w:hAnsi="Times New Roman"/>
                      <w:color w:val="000000"/>
                      <w:spacing w:val="0"/>
                      <w:sz w:val="21"/>
                      <w:szCs w:val="21"/>
                      <w:shd w:val="clear" w:color="auto" w:fill="FFFFFF"/>
                    </w:rPr>
                    <w:t>（C</w:t>
                  </w:r>
                  <w:r>
                    <w:rPr>
                      <w:rFonts w:ascii="Times New Roman" w:hAnsi="Times New Roman"/>
                      <w:color w:val="000000"/>
                      <w:spacing w:val="0"/>
                      <w:sz w:val="21"/>
                      <w:szCs w:val="21"/>
                      <w:shd w:val="clear" w:color="auto" w:fill="FFFFFF"/>
                      <w:vertAlign w:val="subscript"/>
                    </w:rPr>
                    <w:t>5</w:t>
                  </w:r>
                  <w:r>
                    <w:rPr>
                      <w:rFonts w:ascii="Times New Roman" w:hAnsi="Times New Roman"/>
                      <w:color w:val="000000"/>
                      <w:spacing w:val="0"/>
                      <w:sz w:val="21"/>
                      <w:szCs w:val="21"/>
                      <w:shd w:val="clear" w:color="auto" w:fill="FFFFFF"/>
                    </w:rPr>
                    <w:t>H</w:t>
                  </w:r>
                  <w:r>
                    <w:rPr>
                      <w:rFonts w:ascii="Times New Roman" w:hAnsi="Times New Roman"/>
                      <w:color w:val="000000"/>
                      <w:spacing w:val="0"/>
                      <w:sz w:val="21"/>
                      <w:szCs w:val="21"/>
                      <w:shd w:val="clear" w:color="auto" w:fill="FFFFFF"/>
                      <w:vertAlign w:val="subscript"/>
                    </w:rPr>
                    <w:t>8</w:t>
                  </w:r>
                  <w:r>
                    <w:rPr>
                      <w:rFonts w:ascii="Times New Roman" w:hAnsi="Times New Roman"/>
                      <w:color w:val="000000"/>
                      <w:spacing w:val="0"/>
                      <w:sz w:val="21"/>
                      <w:szCs w:val="21"/>
                      <w:shd w:val="clear" w:color="auto" w:fill="FFFFFF"/>
                    </w:rPr>
                    <w:t>）n</w:t>
                  </w:r>
                </w:p>
              </w:tc>
              <w:tc>
                <w:tcPr>
                  <w:tcW w:w="3686" w:type="dxa"/>
                  <w:shd w:val="clear" w:color="auto" w:fill="auto"/>
                  <w:noWrap w:val="0"/>
                  <w:vAlign w:val="center"/>
                </w:tcPr>
                <w:p w14:paraId="012E381F">
                  <w:pPr>
                    <w:tabs>
                      <w:tab w:val="left" w:pos="825"/>
                    </w:tabs>
                    <w:spacing w:line="240" w:lineRule="auto"/>
                    <w:ind w:firstLine="0" w:firstLineChars="0"/>
                    <w:jc w:val="center"/>
                    <w:rPr>
                      <w:rFonts w:hint="eastAsia" w:ascii="Times New Roman" w:hAnsi="Times New Roman" w:eastAsia="宋体" w:cs="Times New Roman"/>
                      <w:color w:val="000000"/>
                      <w:spacing w:val="0"/>
                      <w:kern w:val="2"/>
                      <w:sz w:val="21"/>
                      <w:szCs w:val="21"/>
                      <w:shd w:val="clear" w:color="auto" w:fill="FFFFFF"/>
                      <w:lang w:val="en-US" w:eastAsia="zh-CN" w:bidi="ar-SA"/>
                    </w:rPr>
                  </w:pPr>
                  <w:r>
                    <w:rPr>
                      <w:rFonts w:ascii="Times New Roman" w:hAnsi="Times New Roman"/>
                      <w:color w:val="000000"/>
                      <w:spacing w:val="0"/>
                      <w:sz w:val="21"/>
                      <w:szCs w:val="21"/>
                      <w:shd w:val="clear" w:color="auto" w:fill="FFFFFF"/>
                    </w:rPr>
                    <w:t>天然橡胶是一种以顺-1，4-聚异戊二烯为主要成分的</w:t>
                  </w:r>
                  <w:r>
                    <w:rPr>
                      <w:rFonts w:ascii="Times New Roman" w:hAnsi="Times New Roman"/>
                      <w:color w:val="000000"/>
                      <w:spacing w:val="0"/>
                      <w:sz w:val="21"/>
                      <w:szCs w:val="21"/>
                      <w:shd w:val="clear" w:color="auto" w:fill="FFFFFF"/>
                    </w:rPr>
                    <w:fldChar w:fldCharType="begin"/>
                  </w:r>
                  <w:r>
                    <w:rPr>
                      <w:rFonts w:ascii="Times New Roman" w:hAnsi="Times New Roman"/>
                      <w:color w:val="000000"/>
                      <w:spacing w:val="0"/>
                      <w:sz w:val="21"/>
                      <w:szCs w:val="21"/>
                      <w:shd w:val="clear" w:color="auto" w:fill="FFFFFF"/>
                    </w:rPr>
                    <w:instrText xml:space="preserve"> HYPERLINK "http://baike.baidu.com/view/1316750.htm" \t "http://baike.baidu.com/_blank" </w:instrText>
                  </w:r>
                  <w:r>
                    <w:rPr>
                      <w:rFonts w:ascii="Times New Roman" w:hAnsi="Times New Roman"/>
                      <w:color w:val="000000"/>
                      <w:spacing w:val="0"/>
                      <w:sz w:val="21"/>
                      <w:szCs w:val="21"/>
                      <w:shd w:val="clear" w:color="auto" w:fill="FFFFFF"/>
                    </w:rPr>
                    <w:fldChar w:fldCharType="separate"/>
                  </w:r>
                  <w:r>
                    <w:rPr>
                      <w:rStyle w:val="30"/>
                      <w:rFonts w:ascii="Times New Roman" w:hAnsi="Times New Roman"/>
                      <w:color w:val="000000"/>
                      <w:spacing w:val="0"/>
                      <w:sz w:val="21"/>
                      <w:szCs w:val="21"/>
                      <w:shd w:val="clear" w:color="auto" w:fill="FFFFFF"/>
                    </w:rPr>
                    <w:t>天然高分子化合物</w:t>
                  </w:r>
                  <w:r>
                    <w:rPr>
                      <w:rFonts w:ascii="Times New Roman" w:hAnsi="Times New Roman"/>
                      <w:color w:val="000000"/>
                      <w:spacing w:val="0"/>
                      <w:sz w:val="21"/>
                      <w:szCs w:val="21"/>
                      <w:shd w:val="clear" w:color="auto" w:fill="FFFFFF"/>
                    </w:rPr>
                    <w:fldChar w:fldCharType="end"/>
                  </w:r>
                  <w:r>
                    <w:rPr>
                      <w:rFonts w:ascii="Times New Roman" w:hAnsi="Times New Roman"/>
                      <w:color w:val="000000"/>
                      <w:spacing w:val="0"/>
                      <w:sz w:val="21"/>
                      <w:szCs w:val="21"/>
                      <w:shd w:val="clear" w:color="auto" w:fill="FFFFFF"/>
                    </w:rPr>
                    <w:t>，其成分中91%～94%是</w:t>
                  </w:r>
                  <w:r>
                    <w:rPr>
                      <w:rFonts w:ascii="Times New Roman" w:hAnsi="Times New Roman"/>
                      <w:color w:val="000000"/>
                      <w:spacing w:val="0"/>
                      <w:sz w:val="21"/>
                      <w:szCs w:val="21"/>
                      <w:shd w:val="clear" w:color="auto" w:fill="FFFFFF"/>
                    </w:rPr>
                    <w:fldChar w:fldCharType="begin"/>
                  </w:r>
                  <w:r>
                    <w:rPr>
                      <w:rFonts w:ascii="Times New Roman" w:hAnsi="Times New Roman"/>
                      <w:color w:val="000000"/>
                      <w:spacing w:val="0"/>
                      <w:sz w:val="21"/>
                      <w:szCs w:val="21"/>
                      <w:shd w:val="clear" w:color="auto" w:fill="FFFFFF"/>
                    </w:rPr>
                    <w:instrText xml:space="preserve"> HYPERLINK "http://baike.baidu.com/view/1926119.htm" \t "http://baike.baidu.com/_blank" </w:instrText>
                  </w:r>
                  <w:r>
                    <w:rPr>
                      <w:rFonts w:ascii="Times New Roman" w:hAnsi="Times New Roman"/>
                      <w:color w:val="000000"/>
                      <w:spacing w:val="0"/>
                      <w:sz w:val="21"/>
                      <w:szCs w:val="21"/>
                      <w:shd w:val="clear" w:color="auto" w:fill="FFFFFF"/>
                    </w:rPr>
                    <w:fldChar w:fldCharType="separate"/>
                  </w:r>
                  <w:r>
                    <w:rPr>
                      <w:rStyle w:val="30"/>
                      <w:rFonts w:ascii="Times New Roman" w:hAnsi="Times New Roman"/>
                      <w:color w:val="000000"/>
                      <w:spacing w:val="0"/>
                      <w:sz w:val="21"/>
                      <w:szCs w:val="21"/>
                      <w:shd w:val="clear" w:color="auto" w:fill="FFFFFF"/>
                    </w:rPr>
                    <w:t>橡胶烃</w:t>
                  </w:r>
                  <w:r>
                    <w:rPr>
                      <w:rFonts w:ascii="Times New Roman" w:hAnsi="Times New Roman"/>
                      <w:color w:val="000000"/>
                      <w:spacing w:val="0"/>
                      <w:sz w:val="21"/>
                      <w:szCs w:val="21"/>
                      <w:shd w:val="clear" w:color="auto" w:fill="FFFFFF"/>
                    </w:rPr>
                    <w:fldChar w:fldCharType="end"/>
                  </w:r>
                  <w:r>
                    <w:rPr>
                      <w:rFonts w:ascii="Times New Roman" w:hAnsi="Times New Roman"/>
                      <w:color w:val="000000"/>
                      <w:spacing w:val="0"/>
                      <w:sz w:val="21"/>
                      <w:szCs w:val="21"/>
                      <w:shd w:val="clear" w:color="auto" w:fill="FFFFFF"/>
                    </w:rPr>
                    <w:t>（顺-1，4-聚异戊二烯），其余为</w:t>
                  </w:r>
                  <w:r>
                    <w:rPr>
                      <w:rFonts w:ascii="Times New Roman" w:hAnsi="Times New Roman"/>
                      <w:color w:val="000000"/>
                      <w:spacing w:val="0"/>
                      <w:sz w:val="21"/>
                      <w:szCs w:val="21"/>
                      <w:shd w:val="clear" w:color="auto" w:fill="FFFFFF"/>
                    </w:rPr>
                    <w:fldChar w:fldCharType="begin"/>
                  </w:r>
                  <w:r>
                    <w:rPr>
                      <w:rFonts w:ascii="Times New Roman" w:hAnsi="Times New Roman"/>
                      <w:color w:val="000000"/>
                      <w:spacing w:val="0"/>
                      <w:sz w:val="21"/>
                      <w:szCs w:val="21"/>
                      <w:shd w:val="clear" w:color="auto" w:fill="FFFFFF"/>
                    </w:rPr>
                    <w:instrText xml:space="preserve"> HYPERLINK "http://baike.baidu.com/subview/15472/13245380.htm" \t "http://baike.baidu.com/_blank" </w:instrText>
                  </w:r>
                  <w:r>
                    <w:rPr>
                      <w:rFonts w:ascii="Times New Roman" w:hAnsi="Times New Roman"/>
                      <w:color w:val="000000"/>
                      <w:spacing w:val="0"/>
                      <w:sz w:val="21"/>
                      <w:szCs w:val="21"/>
                      <w:shd w:val="clear" w:color="auto" w:fill="FFFFFF"/>
                    </w:rPr>
                    <w:fldChar w:fldCharType="separate"/>
                  </w:r>
                  <w:r>
                    <w:rPr>
                      <w:rStyle w:val="30"/>
                      <w:rFonts w:ascii="Times New Roman" w:hAnsi="Times New Roman"/>
                      <w:color w:val="000000"/>
                      <w:spacing w:val="0"/>
                      <w:sz w:val="21"/>
                      <w:szCs w:val="21"/>
                      <w:shd w:val="clear" w:color="auto" w:fill="FFFFFF"/>
                    </w:rPr>
                    <w:t>蛋白质</w:t>
                  </w:r>
                  <w:r>
                    <w:rPr>
                      <w:rFonts w:ascii="Times New Roman" w:hAnsi="Times New Roman"/>
                      <w:color w:val="000000"/>
                      <w:spacing w:val="0"/>
                      <w:sz w:val="21"/>
                      <w:szCs w:val="21"/>
                      <w:shd w:val="clear" w:color="auto" w:fill="FFFFFF"/>
                    </w:rPr>
                    <w:fldChar w:fldCharType="end"/>
                  </w:r>
                  <w:r>
                    <w:rPr>
                      <w:rFonts w:ascii="Times New Roman" w:hAnsi="Times New Roman"/>
                      <w:color w:val="000000"/>
                      <w:spacing w:val="0"/>
                      <w:sz w:val="21"/>
                      <w:szCs w:val="21"/>
                      <w:shd w:val="clear" w:color="auto" w:fill="FFFFFF"/>
                    </w:rPr>
                    <w:t>、脂肪酸、灰分、糖类等非橡胶物质。天然橡胶是应用最广的</w:t>
                  </w:r>
                  <w:r>
                    <w:rPr>
                      <w:rFonts w:ascii="Times New Roman" w:hAnsi="Times New Roman"/>
                      <w:color w:val="000000"/>
                      <w:spacing w:val="0"/>
                      <w:sz w:val="21"/>
                      <w:szCs w:val="21"/>
                      <w:shd w:val="clear" w:color="auto" w:fill="FFFFFF"/>
                    </w:rPr>
                    <w:fldChar w:fldCharType="begin"/>
                  </w:r>
                  <w:r>
                    <w:rPr>
                      <w:rFonts w:ascii="Times New Roman" w:hAnsi="Times New Roman"/>
                      <w:color w:val="000000"/>
                      <w:spacing w:val="0"/>
                      <w:sz w:val="21"/>
                      <w:szCs w:val="21"/>
                      <w:shd w:val="clear" w:color="auto" w:fill="FFFFFF"/>
                    </w:rPr>
                    <w:instrText xml:space="preserve"> HYPERLINK "http://baike.baidu.com/view/565783.htm" \t "http://baike.baidu.com/_blank" </w:instrText>
                  </w:r>
                  <w:r>
                    <w:rPr>
                      <w:rFonts w:ascii="Times New Roman" w:hAnsi="Times New Roman"/>
                      <w:color w:val="000000"/>
                      <w:spacing w:val="0"/>
                      <w:sz w:val="21"/>
                      <w:szCs w:val="21"/>
                      <w:shd w:val="clear" w:color="auto" w:fill="FFFFFF"/>
                    </w:rPr>
                    <w:fldChar w:fldCharType="separate"/>
                  </w:r>
                  <w:r>
                    <w:rPr>
                      <w:rStyle w:val="30"/>
                      <w:rFonts w:ascii="Times New Roman" w:hAnsi="Times New Roman"/>
                      <w:color w:val="000000"/>
                      <w:spacing w:val="0"/>
                      <w:sz w:val="21"/>
                      <w:szCs w:val="21"/>
                      <w:shd w:val="clear" w:color="auto" w:fill="FFFFFF"/>
                    </w:rPr>
                    <w:t>通用橡胶</w:t>
                  </w:r>
                  <w:r>
                    <w:rPr>
                      <w:rFonts w:ascii="Times New Roman" w:hAnsi="Times New Roman"/>
                      <w:color w:val="000000"/>
                      <w:spacing w:val="0"/>
                      <w:sz w:val="21"/>
                      <w:szCs w:val="21"/>
                      <w:shd w:val="clear" w:color="auto" w:fill="FFFFFF"/>
                    </w:rPr>
                    <w:fldChar w:fldCharType="end"/>
                  </w:r>
                  <w:r>
                    <w:rPr>
                      <w:rFonts w:ascii="Times New Roman" w:hAnsi="Times New Roman"/>
                      <w:color w:val="000000"/>
                      <w:spacing w:val="0"/>
                      <w:sz w:val="21"/>
                      <w:szCs w:val="21"/>
                      <w:shd w:val="clear" w:color="auto" w:fill="FFFFFF"/>
                    </w:rPr>
                    <w:t>。一般为片状固体，相对密度0.94，折射率1.522，弹性膜量2～4MPa，130～140</w:t>
                  </w:r>
                  <w:r>
                    <w:rPr>
                      <w:rFonts w:hint="eastAsia" w:ascii="宋体" w:hAnsi="宋体" w:cs="宋体"/>
                      <w:color w:val="000000"/>
                      <w:spacing w:val="0"/>
                      <w:sz w:val="21"/>
                      <w:szCs w:val="21"/>
                      <w:shd w:val="clear" w:color="auto" w:fill="FFFFFF"/>
                    </w:rPr>
                    <w:t>℃</w:t>
                  </w:r>
                  <w:r>
                    <w:rPr>
                      <w:rFonts w:ascii="Times New Roman" w:hAnsi="Times New Roman"/>
                      <w:color w:val="000000"/>
                      <w:spacing w:val="0"/>
                      <w:sz w:val="21"/>
                      <w:szCs w:val="21"/>
                      <w:shd w:val="clear" w:color="auto" w:fill="FFFFFF"/>
                    </w:rPr>
                    <w:t>时软化，150～160</w:t>
                  </w:r>
                  <w:r>
                    <w:rPr>
                      <w:rFonts w:hint="eastAsia" w:ascii="宋体" w:hAnsi="宋体" w:cs="宋体"/>
                      <w:color w:val="000000"/>
                      <w:spacing w:val="0"/>
                      <w:sz w:val="21"/>
                      <w:szCs w:val="21"/>
                      <w:shd w:val="clear" w:color="auto" w:fill="FFFFFF"/>
                    </w:rPr>
                    <w:t>℃</w:t>
                  </w:r>
                  <w:r>
                    <w:rPr>
                      <w:rFonts w:ascii="Times New Roman" w:hAnsi="Times New Roman"/>
                      <w:color w:val="000000"/>
                      <w:spacing w:val="0"/>
                      <w:sz w:val="21"/>
                      <w:szCs w:val="21"/>
                      <w:shd w:val="clear" w:color="auto" w:fill="FFFFFF"/>
                    </w:rPr>
                    <w:t>粘软，200</w:t>
                  </w:r>
                  <w:r>
                    <w:rPr>
                      <w:rFonts w:hint="eastAsia" w:ascii="宋体" w:hAnsi="宋体" w:cs="宋体"/>
                      <w:color w:val="000000"/>
                      <w:spacing w:val="0"/>
                      <w:sz w:val="21"/>
                      <w:szCs w:val="21"/>
                      <w:shd w:val="clear" w:color="auto" w:fill="FFFFFF"/>
                    </w:rPr>
                    <w:t>℃</w:t>
                  </w:r>
                  <w:r>
                    <w:rPr>
                      <w:rFonts w:ascii="Times New Roman" w:hAnsi="Times New Roman"/>
                      <w:color w:val="000000"/>
                      <w:spacing w:val="0"/>
                      <w:sz w:val="21"/>
                      <w:szCs w:val="21"/>
                      <w:shd w:val="clear" w:color="auto" w:fill="FFFFFF"/>
                    </w:rPr>
                    <w:t>时开始降解。有较好的耐碱性，但不耐强酸。容易与硫化剂发生硫化反应（结构化反应），溴与氧、臭氧发生氧化、</w:t>
                  </w:r>
                  <w:r>
                    <w:rPr>
                      <w:rFonts w:ascii="Times New Roman" w:hAnsi="Times New Roman"/>
                      <w:color w:val="000000"/>
                      <w:spacing w:val="0"/>
                      <w:sz w:val="21"/>
                      <w:szCs w:val="21"/>
                      <w:shd w:val="clear" w:color="auto" w:fill="FFFFFF"/>
                    </w:rPr>
                    <w:fldChar w:fldCharType="begin"/>
                  </w:r>
                  <w:r>
                    <w:rPr>
                      <w:rFonts w:ascii="Times New Roman" w:hAnsi="Times New Roman"/>
                      <w:color w:val="000000"/>
                      <w:spacing w:val="0"/>
                      <w:sz w:val="21"/>
                      <w:szCs w:val="21"/>
                      <w:shd w:val="clear" w:color="auto" w:fill="FFFFFF"/>
                    </w:rPr>
                    <w:instrText xml:space="preserve"> HYPERLINK "http://baike.baidu.com/view/536712.htm" \t "http://baike.baidu.com/_blank" </w:instrText>
                  </w:r>
                  <w:r>
                    <w:rPr>
                      <w:rFonts w:ascii="Times New Roman" w:hAnsi="Times New Roman"/>
                      <w:color w:val="000000"/>
                      <w:spacing w:val="0"/>
                      <w:sz w:val="21"/>
                      <w:szCs w:val="21"/>
                      <w:shd w:val="clear" w:color="auto" w:fill="FFFFFF"/>
                    </w:rPr>
                    <w:fldChar w:fldCharType="separate"/>
                  </w:r>
                  <w:r>
                    <w:rPr>
                      <w:rStyle w:val="30"/>
                      <w:rFonts w:ascii="Times New Roman" w:hAnsi="Times New Roman"/>
                      <w:color w:val="000000"/>
                      <w:spacing w:val="0"/>
                      <w:sz w:val="21"/>
                      <w:szCs w:val="21"/>
                      <w:shd w:val="clear" w:color="auto" w:fill="FFFFFF"/>
                    </w:rPr>
                    <w:t>裂解</w:t>
                  </w:r>
                  <w:r>
                    <w:rPr>
                      <w:rFonts w:ascii="Times New Roman" w:hAnsi="Times New Roman"/>
                      <w:color w:val="000000"/>
                      <w:spacing w:val="0"/>
                      <w:sz w:val="21"/>
                      <w:szCs w:val="21"/>
                      <w:shd w:val="clear" w:color="auto" w:fill="FFFFFF"/>
                    </w:rPr>
                    <w:fldChar w:fldCharType="end"/>
                  </w:r>
                  <w:r>
                    <w:rPr>
                      <w:rFonts w:ascii="Times New Roman" w:hAnsi="Times New Roman"/>
                      <w:color w:val="000000"/>
                      <w:spacing w:val="0"/>
                      <w:sz w:val="21"/>
                      <w:szCs w:val="21"/>
                      <w:shd w:val="clear" w:color="auto" w:fill="FFFFFF"/>
                    </w:rPr>
                    <w:t>反应，与</w:t>
                  </w:r>
                  <w:r>
                    <w:rPr>
                      <w:rFonts w:ascii="Times New Roman" w:hAnsi="Times New Roman"/>
                      <w:color w:val="000000"/>
                      <w:spacing w:val="0"/>
                      <w:sz w:val="21"/>
                      <w:szCs w:val="21"/>
                      <w:shd w:val="clear" w:color="auto" w:fill="FFFFFF"/>
                    </w:rPr>
                    <w:fldChar w:fldCharType="begin"/>
                  </w:r>
                  <w:r>
                    <w:rPr>
                      <w:rFonts w:ascii="Times New Roman" w:hAnsi="Times New Roman"/>
                      <w:color w:val="000000"/>
                      <w:spacing w:val="0"/>
                      <w:sz w:val="21"/>
                      <w:szCs w:val="21"/>
                      <w:shd w:val="clear" w:color="auto" w:fill="FFFFFF"/>
                    </w:rPr>
                    <w:instrText xml:space="preserve"> HYPERLINK "http://baike.baidu.com/view/76792.htm" \t "http://baike.baidu.com/_blank" </w:instrText>
                  </w:r>
                  <w:r>
                    <w:rPr>
                      <w:rFonts w:ascii="Times New Roman" w:hAnsi="Times New Roman"/>
                      <w:color w:val="000000"/>
                      <w:spacing w:val="0"/>
                      <w:sz w:val="21"/>
                      <w:szCs w:val="21"/>
                      <w:shd w:val="clear" w:color="auto" w:fill="FFFFFF"/>
                    </w:rPr>
                    <w:fldChar w:fldCharType="separate"/>
                  </w:r>
                  <w:r>
                    <w:rPr>
                      <w:rStyle w:val="30"/>
                      <w:rFonts w:ascii="Times New Roman" w:hAnsi="Times New Roman"/>
                      <w:color w:val="000000"/>
                      <w:spacing w:val="0"/>
                      <w:sz w:val="21"/>
                      <w:szCs w:val="21"/>
                      <w:shd w:val="clear" w:color="auto" w:fill="FFFFFF"/>
                    </w:rPr>
                    <w:t>卤素</w:t>
                  </w:r>
                  <w:r>
                    <w:rPr>
                      <w:rFonts w:ascii="Times New Roman" w:hAnsi="Times New Roman"/>
                      <w:color w:val="000000"/>
                      <w:spacing w:val="0"/>
                      <w:sz w:val="21"/>
                      <w:szCs w:val="21"/>
                      <w:shd w:val="clear" w:color="auto" w:fill="FFFFFF"/>
                    </w:rPr>
                    <w:fldChar w:fldCharType="end"/>
                  </w:r>
                  <w:r>
                    <w:rPr>
                      <w:rFonts w:ascii="Times New Roman" w:hAnsi="Times New Roman"/>
                      <w:color w:val="000000"/>
                      <w:spacing w:val="0"/>
                      <w:sz w:val="21"/>
                      <w:szCs w:val="21"/>
                      <w:shd w:val="clear" w:color="auto" w:fill="FFFFFF"/>
                    </w:rPr>
                    <w:t>发生氯化、 化反应，在</w:t>
                  </w:r>
                  <w:r>
                    <w:rPr>
                      <w:rFonts w:ascii="Times New Roman" w:hAnsi="Times New Roman"/>
                      <w:color w:val="000000"/>
                      <w:spacing w:val="0"/>
                      <w:sz w:val="21"/>
                      <w:szCs w:val="21"/>
                      <w:shd w:val="clear" w:color="auto" w:fill="FFFFFF"/>
                    </w:rPr>
                    <w:fldChar w:fldCharType="begin"/>
                  </w:r>
                  <w:r>
                    <w:rPr>
                      <w:rFonts w:ascii="Times New Roman" w:hAnsi="Times New Roman"/>
                      <w:color w:val="000000"/>
                      <w:spacing w:val="0"/>
                      <w:sz w:val="21"/>
                      <w:szCs w:val="21"/>
                      <w:shd w:val="clear" w:color="auto" w:fill="FFFFFF"/>
                    </w:rPr>
                    <w:instrText xml:space="preserve"> HYPERLINK "http://baike.baidu.com/view/62440.htm" \t "http://baike.baidu.com/_blank" </w:instrText>
                  </w:r>
                  <w:r>
                    <w:rPr>
                      <w:rFonts w:ascii="Times New Roman" w:hAnsi="Times New Roman"/>
                      <w:color w:val="000000"/>
                      <w:spacing w:val="0"/>
                      <w:sz w:val="21"/>
                      <w:szCs w:val="21"/>
                      <w:shd w:val="clear" w:color="auto" w:fill="FFFFFF"/>
                    </w:rPr>
                    <w:fldChar w:fldCharType="separate"/>
                  </w:r>
                  <w:r>
                    <w:rPr>
                      <w:rStyle w:val="30"/>
                      <w:rFonts w:ascii="Times New Roman" w:hAnsi="Times New Roman"/>
                      <w:color w:val="000000"/>
                      <w:spacing w:val="0"/>
                      <w:sz w:val="21"/>
                      <w:szCs w:val="21"/>
                      <w:shd w:val="clear" w:color="auto" w:fill="FFFFFF"/>
                    </w:rPr>
                    <w:t>催化剂</w:t>
                  </w:r>
                  <w:r>
                    <w:rPr>
                      <w:rFonts w:ascii="Times New Roman" w:hAnsi="Times New Roman"/>
                      <w:color w:val="000000"/>
                      <w:spacing w:val="0"/>
                      <w:sz w:val="21"/>
                      <w:szCs w:val="21"/>
                      <w:shd w:val="clear" w:color="auto" w:fill="FFFFFF"/>
                    </w:rPr>
                    <w:fldChar w:fldCharType="end"/>
                  </w:r>
                  <w:r>
                    <w:rPr>
                      <w:rFonts w:ascii="Times New Roman" w:hAnsi="Times New Roman"/>
                      <w:color w:val="000000"/>
                      <w:spacing w:val="0"/>
                      <w:sz w:val="21"/>
                      <w:szCs w:val="21"/>
                      <w:shd w:val="clear" w:color="auto" w:fill="FFFFFF"/>
                    </w:rPr>
                    <w:t>和酸作用下发生化学反应等。</w:t>
                  </w:r>
                </w:p>
              </w:tc>
              <w:tc>
                <w:tcPr>
                  <w:tcW w:w="1628" w:type="dxa"/>
                  <w:shd w:val="clear" w:color="auto" w:fill="auto"/>
                  <w:noWrap w:val="0"/>
                  <w:vAlign w:val="center"/>
                </w:tcPr>
                <w:p w14:paraId="0640AC6E">
                  <w:pPr>
                    <w:tabs>
                      <w:tab w:val="left" w:pos="825"/>
                    </w:tabs>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ascii="Times New Roman" w:hAnsi="Times New Roman"/>
                      <w:color w:val="000000"/>
                      <w:sz w:val="21"/>
                      <w:szCs w:val="21"/>
                    </w:rPr>
                    <w:t>易燃</w:t>
                  </w:r>
                </w:p>
              </w:tc>
              <w:tc>
                <w:tcPr>
                  <w:tcW w:w="819" w:type="dxa"/>
                  <w:shd w:val="clear" w:color="auto" w:fill="auto"/>
                  <w:noWrap w:val="0"/>
                  <w:vAlign w:val="center"/>
                </w:tcPr>
                <w:p w14:paraId="2840618B">
                  <w:pPr>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ascii="Times New Roman" w:hAnsi="Times New Roman"/>
                      <w:color w:val="000000"/>
                      <w:spacing w:val="0"/>
                      <w:sz w:val="21"/>
                      <w:szCs w:val="21"/>
                      <w:shd w:val="clear" w:color="auto" w:fill="FFFFFF"/>
                    </w:rPr>
                    <w:t>无毒</w:t>
                  </w:r>
                </w:p>
              </w:tc>
            </w:tr>
            <w:tr w14:paraId="50883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shd w:val="clear" w:color="auto" w:fill="auto"/>
                  <w:vAlign w:val="center"/>
                </w:tcPr>
                <w:p w14:paraId="173AE185">
                  <w:pPr>
                    <w:tabs>
                      <w:tab w:val="left" w:pos="825"/>
                    </w:tabs>
                    <w:spacing w:line="240" w:lineRule="auto"/>
                    <w:ind w:firstLine="0" w:firstLineChars="0"/>
                    <w:jc w:val="center"/>
                    <w:rPr>
                      <w:rFonts w:ascii="Times New Roman" w:hAnsi="Times New Roman" w:eastAsia="宋体" w:cs="Times New Roman"/>
                      <w:color w:val="000000"/>
                      <w:spacing w:val="0"/>
                      <w:kern w:val="2"/>
                      <w:sz w:val="21"/>
                      <w:szCs w:val="21"/>
                      <w:shd w:val="clear" w:color="auto" w:fill="FFFFFF"/>
                      <w:lang w:val="en-US" w:eastAsia="zh-CN" w:bidi="ar-SA"/>
                    </w:rPr>
                  </w:pPr>
                  <w:r>
                    <w:rPr>
                      <w:rFonts w:hint="eastAsia" w:ascii="Times New Roman" w:hAnsi="Times New Roman" w:cs="Times New Roman"/>
                      <w:color w:val="000000"/>
                      <w:sz w:val="21"/>
                      <w:szCs w:val="21"/>
                      <w:lang w:val="en-US" w:eastAsia="zh-CN"/>
                    </w:rPr>
                    <w:t>氯丁合成胶</w:t>
                  </w:r>
                </w:p>
              </w:tc>
              <w:tc>
                <w:tcPr>
                  <w:tcW w:w="1318" w:type="dxa"/>
                  <w:shd w:val="clear" w:color="auto" w:fill="auto"/>
                  <w:vAlign w:val="center"/>
                </w:tcPr>
                <w:p w14:paraId="56047D0F">
                  <w:pPr>
                    <w:tabs>
                      <w:tab w:val="left" w:pos="825"/>
                    </w:tabs>
                    <w:spacing w:line="240" w:lineRule="auto"/>
                    <w:ind w:firstLine="0" w:firstLineChars="0"/>
                    <w:jc w:val="center"/>
                    <w:rPr>
                      <w:rFonts w:hint="eastAsia" w:ascii="Times New Roman" w:hAnsi="Times New Roman" w:eastAsia="宋体" w:cs="Times New Roman"/>
                      <w:color w:val="000000"/>
                      <w:spacing w:val="0"/>
                      <w:kern w:val="2"/>
                      <w:sz w:val="21"/>
                      <w:szCs w:val="21"/>
                      <w:shd w:val="clear" w:color="auto" w:fill="FFFFFF"/>
                      <w:lang w:val="en-US" w:eastAsia="zh-CN" w:bidi="ar-SA"/>
                    </w:rPr>
                  </w:pPr>
                  <w:r>
                    <w:rPr>
                      <w:rFonts w:ascii="Times New Roman" w:hAnsi="Times New Roman"/>
                      <w:color w:val="000000"/>
                      <w:spacing w:val="0"/>
                      <w:sz w:val="21"/>
                      <w:szCs w:val="21"/>
                      <w:shd w:val="clear" w:color="auto" w:fill="FFFFFF"/>
                    </w:rPr>
                    <w:t>C</w:t>
                  </w:r>
                  <w:r>
                    <w:rPr>
                      <w:rFonts w:ascii="Times New Roman" w:hAnsi="Times New Roman"/>
                      <w:color w:val="000000"/>
                      <w:spacing w:val="0"/>
                      <w:sz w:val="21"/>
                      <w:szCs w:val="21"/>
                      <w:shd w:val="clear" w:color="auto" w:fill="FFFFFF"/>
                      <w:vertAlign w:val="subscript"/>
                    </w:rPr>
                    <w:t>18</w:t>
                  </w:r>
                  <w:r>
                    <w:rPr>
                      <w:rFonts w:ascii="Times New Roman" w:hAnsi="Times New Roman"/>
                      <w:color w:val="000000"/>
                      <w:spacing w:val="0"/>
                      <w:sz w:val="21"/>
                      <w:szCs w:val="21"/>
                      <w:shd w:val="clear" w:color="auto" w:fill="FFFFFF"/>
                    </w:rPr>
                    <w:t>H</w:t>
                  </w:r>
                  <w:r>
                    <w:rPr>
                      <w:rFonts w:ascii="Times New Roman" w:hAnsi="Times New Roman"/>
                      <w:color w:val="000000"/>
                      <w:spacing w:val="0"/>
                      <w:sz w:val="21"/>
                      <w:szCs w:val="21"/>
                      <w:shd w:val="clear" w:color="auto" w:fill="FFFFFF"/>
                      <w:vertAlign w:val="subscript"/>
                    </w:rPr>
                    <w:t>22</w:t>
                  </w:r>
                  <w:r>
                    <w:rPr>
                      <w:rFonts w:ascii="Times New Roman" w:hAnsi="Times New Roman"/>
                      <w:color w:val="000000"/>
                      <w:spacing w:val="0"/>
                      <w:sz w:val="21"/>
                      <w:szCs w:val="21"/>
                      <w:shd w:val="clear" w:color="auto" w:fill="FFFFFF"/>
                    </w:rPr>
                    <w:t>N</w:t>
                  </w:r>
                  <w:r>
                    <w:rPr>
                      <w:rFonts w:ascii="Times New Roman" w:hAnsi="Times New Roman"/>
                      <w:color w:val="000000"/>
                      <w:spacing w:val="0"/>
                      <w:sz w:val="21"/>
                      <w:szCs w:val="21"/>
                      <w:shd w:val="clear" w:color="auto" w:fill="FFFFFF"/>
                      <w:vertAlign w:val="subscript"/>
                    </w:rPr>
                    <w:t>2</w:t>
                  </w:r>
                </w:p>
              </w:tc>
              <w:tc>
                <w:tcPr>
                  <w:tcW w:w="3686" w:type="dxa"/>
                  <w:shd w:val="clear" w:color="auto" w:fill="auto"/>
                  <w:vAlign w:val="center"/>
                </w:tcPr>
                <w:p w14:paraId="7C1B2226">
                  <w:pPr>
                    <w:tabs>
                      <w:tab w:val="left" w:pos="825"/>
                    </w:tabs>
                    <w:spacing w:line="240" w:lineRule="auto"/>
                    <w:ind w:firstLine="0" w:firstLineChars="0"/>
                    <w:jc w:val="center"/>
                    <w:rPr>
                      <w:rFonts w:hint="eastAsia" w:ascii="Times New Roman" w:hAnsi="Times New Roman" w:eastAsia="宋体" w:cs="Times New Roman"/>
                      <w:color w:val="000000"/>
                      <w:spacing w:val="0"/>
                      <w:kern w:val="2"/>
                      <w:sz w:val="21"/>
                      <w:szCs w:val="21"/>
                      <w:shd w:val="clear" w:color="auto" w:fill="FFFFFF"/>
                      <w:lang w:val="en-US" w:eastAsia="zh-CN" w:bidi="ar-SA"/>
                    </w:rPr>
                  </w:pPr>
                  <w:r>
                    <w:rPr>
                      <w:rFonts w:hint="eastAsia" w:ascii="Times New Roman" w:hAnsi="Times New Roman"/>
                      <w:color w:val="000000"/>
                      <w:spacing w:val="0"/>
                      <w:sz w:val="21"/>
                      <w:szCs w:val="21"/>
                      <w:shd w:val="clear" w:color="auto" w:fill="FFFFFF"/>
                    </w:rPr>
                    <w:t>深褐色颗粒状</w:t>
                  </w:r>
                  <w:r>
                    <w:rPr>
                      <w:rFonts w:hint="eastAsia" w:ascii="Times New Roman" w:hAnsi="Times New Roman"/>
                      <w:color w:val="000000"/>
                      <w:spacing w:val="0"/>
                      <w:sz w:val="21"/>
                      <w:szCs w:val="21"/>
                      <w:shd w:val="clear" w:color="auto" w:fill="FFFFFF"/>
                      <w:lang w:eastAsia="zh-CN"/>
                    </w:rPr>
                    <w:t>，</w:t>
                  </w:r>
                  <w:r>
                    <w:rPr>
                      <w:rFonts w:hint="eastAsia" w:ascii="Times New Roman" w:hAnsi="Times New Roman"/>
                      <w:color w:val="000000"/>
                      <w:spacing w:val="0"/>
                      <w:sz w:val="21"/>
                      <w:szCs w:val="21"/>
                      <w:shd w:val="clear" w:color="auto" w:fill="FFFFFF"/>
                    </w:rPr>
                    <w:t>学名N-苯基-N'-基对苯二胺</w:t>
                  </w:r>
                  <w:r>
                    <w:rPr>
                      <w:rFonts w:hint="eastAsia" w:ascii="Times New Roman" w:hAnsi="Times New Roman"/>
                      <w:color w:val="000000"/>
                      <w:spacing w:val="0"/>
                      <w:sz w:val="21"/>
                      <w:szCs w:val="21"/>
                      <w:shd w:val="clear" w:color="auto" w:fill="FFFFFF"/>
                      <w:lang w:eastAsia="zh-CN"/>
                    </w:rPr>
                    <w:t>，</w:t>
                  </w:r>
                  <w:r>
                    <w:rPr>
                      <w:rFonts w:hint="eastAsia" w:ascii="Times New Roman" w:hAnsi="Times New Roman"/>
                      <w:color w:val="000000"/>
                      <w:spacing w:val="0"/>
                      <w:sz w:val="21"/>
                      <w:szCs w:val="21"/>
                      <w:shd w:val="clear" w:color="auto" w:fill="FFFFFF"/>
                    </w:rPr>
                    <w:t>在空气中遇光变深色</w:t>
                  </w:r>
                  <w:r>
                    <w:rPr>
                      <w:rFonts w:hint="eastAsia" w:ascii="Times New Roman" w:hAnsi="Times New Roman"/>
                      <w:color w:val="000000"/>
                      <w:spacing w:val="0"/>
                      <w:sz w:val="21"/>
                      <w:szCs w:val="21"/>
                      <w:shd w:val="clear" w:color="auto" w:fill="FFFFFF"/>
                      <w:lang w:eastAsia="zh-CN"/>
                    </w:rPr>
                    <w:t>，</w:t>
                  </w:r>
                  <w:r>
                    <w:rPr>
                      <w:rFonts w:hint="eastAsia" w:ascii="Times New Roman" w:hAnsi="Times New Roman"/>
                      <w:color w:val="000000"/>
                      <w:spacing w:val="0"/>
                      <w:sz w:val="21"/>
                      <w:szCs w:val="21"/>
                      <w:shd w:val="clear" w:color="auto" w:fill="FFFFFF"/>
                    </w:rPr>
                    <w:t>密度1.29</w:t>
                  </w:r>
                  <w:r>
                    <w:rPr>
                      <w:rFonts w:hint="eastAsia" w:ascii="Times New Roman" w:hAnsi="Times New Roman"/>
                      <w:color w:val="000000"/>
                      <w:spacing w:val="0"/>
                      <w:sz w:val="21"/>
                      <w:szCs w:val="21"/>
                      <w:shd w:val="clear" w:color="auto" w:fill="FFFFFF"/>
                      <w:lang w:eastAsia="zh-CN"/>
                    </w:rPr>
                    <w:t>，</w:t>
                  </w:r>
                  <w:r>
                    <w:rPr>
                      <w:rFonts w:hint="eastAsia" w:ascii="Times New Roman" w:hAnsi="Times New Roman"/>
                      <w:color w:val="000000"/>
                      <w:spacing w:val="0"/>
                      <w:sz w:val="21"/>
                      <w:szCs w:val="21"/>
                      <w:shd w:val="clear" w:color="auto" w:fill="FFFFFF"/>
                    </w:rPr>
                    <w:t>熔点115℃以上</w:t>
                  </w:r>
                  <w:r>
                    <w:rPr>
                      <w:rFonts w:hint="eastAsia" w:ascii="Times New Roman" w:hAnsi="Times New Roman"/>
                      <w:color w:val="000000"/>
                      <w:spacing w:val="0"/>
                      <w:sz w:val="21"/>
                      <w:szCs w:val="21"/>
                      <w:shd w:val="clear" w:color="auto" w:fill="FFFFFF"/>
                      <w:lang w:eastAsia="zh-CN"/>
                    </w:rPr>
                    <w:t>，</w:t>
                  </w:r>
                  <w:r>
                    <w:rPr>
                      <w:rFonts w:hint="eastAsia" w:ascii="Times New Roman" w:hAnsi="Times New Roman"/>
                      <w:color w:val="000000"/>
                      <w:spacing w:val="0"/>
                      <w:sz w:val="21"/>
                      <w:szCs w:val="21"/>
                      <w:shd w:val="clear" w:color="auto" w:fill="FFFFFF"/>
                    </w:rPr>
                    <w:t>溶于丙酮、乙酸乙酯、乙醇，微溶于汽油，不溶于水。对空气、热和屈挠老化都有防护作用。并用有硬化剂的作用。用途：适用于深色的天然橡胶和合成橡胶制品。</w:t>
                  </w:r>
                </w:p>
              </w:tc>
              <w:tc>
                <w:tcPr>
                  <w:tcW w:w="1628" w:type="dxa"/>
                  <w:shd w:val="clear" w:color="auto" w:fill="auto"/>
                  <w:vAlign w:val="center"/>
                </w:tcPr>
                <w:p w14:paraId="7180C8D3">
                  <w:pPr>
                    <w:tabs>
                      <w:tab w:val="left" w:pos="825"/>
                    </w:tabs>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olor w:val="000000"/>
                      <w:sz w:val="21"/>
                      <w:szCs w:val="21"/>
                      <w:lang w:val="en-US" w:eastAsia="zh-CN"/>
                    </w:rPr>
                    <w:t>/</w:t>
                  </w:r>
                </w:p>
              </w:tc>
              <w:tc>
                <w:tcPr>
                  <w:tcW w:w="819" w:type="dxa"/>
                  <w:shd w:val="clear" w:color="auto" w:fill="auto"/>
                  <w:vAlign w:val="center"/>
                </w:tcPr>
                <w:p w14:paraId="771A4BEA">
                  <w:pPr>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ascii="Times New Roman" w:hAnsi="Times New Roman"/>
                      <w:color w:val="000000"/>
                      <w:spacing w:val="0"/>
                      <w:sz w:val="21"/>
                      <w:szCs w:val="21"/>
                      <w:shd w:val="clear" w:color="auto" w:fill="FFFFFF"/>
                    </w:rPr>
                    <w:t>无毒</w:t>
                  </w:r>
                </w:p>
              </w:tc>
            </w:tr>
            <w:tr w14:paraId="40EDD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shd w:val="clear" w:color="auto" w:fill="auto"/>
                  <w:vAlign w:val="center"/>
                </w:tcPr>
                <w:p w14:paraId="62FD7A2E">
                  <w:pPr>
                    <w:tabs>
                      <w:tab w:val="left" w:pos="825"/>
                    </w:tabs>
                    <w:spacing w:line="240" w:lineRule="auto"/>
                    <w:ind w:firstLine="0" w:firstLineChars="0"/>
                    <w:jc w:val="center"/>
                    <w:rPr>
                      <w:rFonts w:ascii="Times New Roman" w:hAnsi="Times New Roman" w:eastAsia="宋体" w:cs="Times New Roman"/>
                      <w:color w:val="000000"/>
                      <w:spacing w:val="0"/>
                      <w:kern w:val="2"/>
                      <w:sz w:val="21"/>
                      <w:szCs w:val="21"/>
                      <w:shd w:val="clear" w:color="auto" w:fill="FFFFFF"/>
                      <w:lang w:val="en-US" w:eastAsia="zh-CN" w:bidi="ar-SA"/>
                    </w:rPr>
                  </w:pPr>
                  <w:r>
                    <w:rPr>
                      <w:rFonts w:ascii="Times New Roman" w:hAnsi="Times New Roman"/>
                      <w:color w:val="000000"/>
                      <w:spacing w:val="0"/>
                      <w:sz w:val="21"/>
                      <w:szCs w:val="21"/>
                      <w:shd w:val="clear" w:color="auto" w:fill="FFFFFF"/>
                    </w:rPr>
                    <w:t>炭黑</w:t>
                  </w:r>
                </w:p>
              </w:tc>
              <w:tc>
                <w:tcPr>
                  <w:tcW w:w="1318" w:type="dxa"/>
                  <w:shd w:val="clear" w:color="auto" w:fill="auto"/>
                  <w:vAlign w:val="center"/>
                </w:tcPr>
                <w:p w14:paraId="383F7B6E">
                  <w:pPr>
                    <w:tabs>
                      <w:tab w:val="left" w:pos="825"/>
                    </w:tabs>
                    <w:spacing w:line="240" w:lineRule="auto"/>
                    <w:ind w:firstLine="0" w:firstLineChars="0"/>
                    <w:jc w:val="center"/>
                    <w:rPr>
                      <w:rFonts w:hint="eastAsia" w:ascii="Times New Roman" w:hAnsi="Times New Roman" w:eastAsia="宋体" w:cs="Times New Roman"/>
                      <w:color w:val="000000"/>
                      <w:spacing w:val="0"/>
                      <w:kern w:val="2"/>
                      <w:sz w:val="21"/>
                      <w:szCs w:val="21"/>
                      <w:shd w:val="clear" w:color="auto" w:fill="FFFFFF"/>
                      <w:lang w:val="en-US" w:eastAsia="zh-CN" w:bidi="ar-SA"/>
                    </w:rPr>
                  </w:pPr>
                  <w:r>
                    <w:rPr>
                      <w:rFonts w:ascii="Times New Roman" w:hAnsi="Times New Roman"/>
                      <w:color w:val="000000"/>
                      <w:spacing w:val="0"/>
                      <w:sz w:val="21"/>
                      <w:szCs w:val="21"/>
                      <w:shd w:val="clear" w:color="auto" w:fill="FFFFFF"/>
                    </w:rPr>
                    <w:t>C</w:t>
                  </w:r>
                </w:p>
              </w:tc>
              <w:tc>
                <w:tcPr>
                  <w:tcW w:w="3686" w:type="dxa"/>
                  <w:shd w:val="clear" w:color="auto" w:fill="auto"/>
                  <w:vAlign w:val="center"/>
                </w:tcPr>
                <w:p w14:paraId="62E93D44">
                  <w:pPr>
                    <w:tabs>
                      <w:tab w:val="left" w:pos="825"/>
                    </w:tabs>
                    <w:spacing w:line="240" w:lineRule="auto"/>
                    <w:ind w:firstLine="0" w:firstLineChars="0"/>
                    <w:jc w:val="center"/>
                    <w:rPr>
                      <w:rFonts w:hint="eastAsia" w:ascii="Times New Roman" w:hAnsi="Times New Roman" w:eastAsia="宋体" w:cs="Times New Roman"/>
                      <w:color w:val="000000"/>
                      <w:spacing w:val="0"/>
                      <w:kern w:val="2"/>
                      <w:sz w:val="21"/>
                      <w:szCs w:val="21"/>
                      <w:shd w:val="clear" w:color="auto" w:fill="FFFFFF"/>
                      <w:lang w:val="en-US" w:eastAsia="zh-CN" w:bidi="ar-SA"/>
                    </w:rPr>
                  </w:pPr>
                  <w:r>
                    <w:rPr>
                      <w:rFonts w:ascii="Times New Roman" w:hAnsi="Times New Roman"/>
                      <w:color w:val="000000"/>
                      <w:spacing w:val="0"/>
                      <w:sz w:val="21"/>
                      <w:szCs w:val="21"/>
                      <w:shd w:val="clear" w:color="auto" w:fill="FFFFFF"/>
                    </w:rPr>
                    <w:t>又名碳黑，是一种</w:t>
                  </w:r>
                  <w:r>
                    <w:rPr>
                      <w:rFonts w:ascii="Times New Roman" w:hAnsi="Times New Roman"/>
                      <w:color w:val="000000"/>
                      <w:spacing w:val="0"/>
                      <w:sz w:val="21"/>
                      <w:szCs w:val="21"/>
                      <w:shd w:val="clear" w:color="auto" w:fill="FFFFFF"/>
                    </w:rPr>
                    <w:fldChar w:fldCharType="begin"/>
                  </w:r>
                  <w:r>
                    <w:rPr>
                      <w:rFonts w:ascii="Times New Roman" w:hAnsi="Times New Roman"/>
                      <w:color w:val="000000"/>
                      <w:spacing w:val="0"/>
                      <w:sz w:val="21"/>
                      <w:szCs w:val="21"/>
                      <w:shd w:val="clear" w:color="auto" w:fill="FFFFFF"/>
                    </w:rPr>
                    <w:instrText xml:space="preserve"> HYPERLINK "http://baike.baidu.com/view/1109356.htm" \t "http://baike.baidu.com/_blank" </w:instrText>
                  </w:r>
                  <w:r>
                    <w:rPr>
                      <w:rFonts w:ascii="Times New Roman" w:hAnsi="Times New Roman"/>
                      <w:color w:val="000000"/>
                      <w:spacing w:val="0"/>
                      <w:sz w:val="21"/>
                      <w:szCs w:val="21"/>
                      <w:shd w:val="clear" w:color="auto" w:fill="FFFFFF"/>
                    </w:rPr>
                    <w:fldChar w:fldCharType="separate"/>
                  </w:r>
                  <w:r>
                    <w:rPr>
                      <w:rStyle w:val="30"/>
                      <w:rFonts w:ascii="Times New Roman" w:hAnsi="Times New Roman"/>
                      <w:color w:val="000000"/>
                      <w:spacing w:val="0"/>
                      <w:sz w:val="21"/>
                      <w:szCs w:val="21"/>
                      <w:shd w:val="clear" w:color="auto" w:fill="FFFFFF"/>
                    </w:rPr>
                    <w:t>无定形碳</w:t>
                  </w:r>
                  <w:r>
                    <w:rPr>
                      <w:rFonts w:ascii="Times New Roman" w:hAnsi="Times New Roman"/>
                      <w:color w:val="000000"/>
                      <w:spacing w:val="0"/>
                      <w:sz w:val="21"/>
                      <w:szCs w:val="21"/>
                      <w:shd w:val="clear" w:color="auto" w:fill="FFFFFF"/>
                    </w:rPr>
                    <w:fldChar w:fldCharType="end"/>
                  </w:r>
                  <w:r>
                    <w:rPr>
                      <w:rFonts w:ascii="Times New Roman" w:hAnsi="Times New Roman"/>
                      <w:color w:val="000000"/>
                      <w:spacing w:val="0"/>
                      <w:sz w:val="21"/>
                      <w:szCs w:val="21"/>
                      <w:shd w:val="clear" w:color="auto" w:fill="FFFFFF"/>
                    </w:rPr>
                    <w:t>。轻、松而极细的黑色粉末，表面积非常大，范围从10～3000m</w:t>
                  </w:r>
                  <w:r>
                    <w:rPr>
                      <w:rFonts w:ascii="Times New Roman" w:hAnsi="Times New Roman"/>
                      <w:color w:val="000000"/>
                      <w:spacing w:val="0"/>
                      <w:sz w:val="21"/>
                      <w:szCs w:val="21"/>
                      <w:shd w:val="clear" w:color="auto" w:fill="FFFFFF"/>
                      <w:vertAlign w:val="superscript"/>
                    </w:rPr>
                    <w:t>2</w:t>
                  </w:r>
                  <w:r>
                    <w:rPr>
                      <w:rFonts w:ascii="Times New Roman" w:hAnsi="Times New Roman"/>
                      <w:color w:val="000000"/>
                      <w:spacing w:val="0"/>
                      <w:sz w:val="21"/>
                      <w:szCs w:val="21"/>
                      <w:shd w:val="clear" w:color="auto" w:fill="FFFFFF"/>
                    </w:rPr>
                    <w:t>/g，是含碳物质（煤、</w:t>
                  </w:r>
                  <w:r>
                    <w:rPr>
                      <w:rFonts w:ascii="Times New Roman" w:hAnsi="Times New Roman"/>
                      <w:color w:val="000000"/>
                      <w:spacing w:val="0"/>
                      <w:sz w:val="21"/>
                      <w:szCs w:val="21"/>
                      <w:shd w:val="clear" w:color="auto" w:fill="FFFFFF"/>
                    </w:rPr>
                    <w:fldChar w:fldCharType="begin"/>
                  </w:r>
                  <w:r>
                    <w:rPr>
                      <w:rFonts w:ascii="Times New Roman" w:hAnsi="Times New Roman"/>
                      <w:color w:val="000000"/>
                      <w:spacing w:val="0"/>
                      <w:sz w:val="21"/>
                      <w:szCs w:val="21"/>
                      <w:shd w:val="clear" w:color="auto" w:fill="FFFFFF"/>
                    </w:rPr>
                    <w:instrText xml:space="preserve"> HYPERLINK "http://baike.baidu.com/view/1093.htm" \t "http://baike.baidu.com/_blank" </w:instrText>
                  </w:r>
                  <w:r>
                    <w:rPr>
                      <w:rFonts w:ascii="Times New Roman" w:hAnsi="Times New Roman"/>
                      <w:color w:val="000000"/>
                      <w:spacing w:val="0"/>
                      <w:sz w:val="21"/>
                      <w:szCs w:val="21"/>
                      <w:shd w:val="clear" w:color="auto" w:fill="FFFFFF"/>
                    </w:rPr>
                    <w:fldChar w:fldCharType="separate"/>
                  </w:r>
                  <w:r>
                    <w:rPr>
                      <w:rStyle w:val="30"/>
                      <w:rFonts w:ascii="Times New Roman" w:hAnsi="Times New Roman"/>
                      <w:color w:val="000000"/>
                      <w:spacing w:val="0"/>
                      <w:sz w:val="21"/>
                      <w:szCs w:val="21"/>
                      <w:shd w:val="clear" w:color="auto" w:fill="FFFFFF"/>
                    </w:rPr>
                    <w:t>天然气</w:t>
                  </w:r>
                  <w:r>
                    <w:rPr>
                      <w:rFonts w:ascii="Times New Roman" w:hAnsi="Times New Roman"/>
                      <w:color w:val="000000"/>
                      <w:spacing w:val="0"/>
                      <w:sz w:val="21"/>
                      <w:szCs w:val="21"/>
                      <w:shd w:val="clear" w:color="auto" w:fill="FFFFFF"/>
                    </w:rPr>
                    <w:fldChar w:fldCharType="end"/>
                  </w:r>
                  <w:r>
                    <w:rPr>
                      <w:rFonts w:ascii="Times New Roman" w:hAnsi="Times New Roman"/>
                      <w:color w:val="000000"/>
                      <w:spacing w:val="0"/>
                      <w:sz w:val="21"/>
                      <w:szCs w:val="21"/>
                      <w:shd w:val="clear" w:color="auto" w:fill="FFFFFF"/>
                    </w:rPr>
                    <w:t>、</w:t>
                  </w:r>
                  <w:r>
                    <w:rPr>
                      <w:rFonts w:ascii="Times New Roman" w:hAnsi="Times New Roman"/>
                      <w:color w:val="000000"/>
                      <w:spacing w:val="0"/>
                      <w:sz w:val="21"/>
                      <w:szCs w:val="21"/>
                      <w:shd w:val="clear" w:color="auto" w:fill="FFFFFF"/>
                    </w:rPr>
                    <w:fldChar w:fldCharType="begin"/>
                  </w:r>
                  <w:r>
                    <w:rPr>
                      <w:rFonts w:ascii="Times New Roman" w:hAnsi="Times New Roman"/>
                      <w:color w:val="000000"/>
                      <w:spacing w:val="0"/>
                      <w:sz w:val="21"/>
                      <w:szCs w:val="21"/>
                      <w:shd w:val="clear" w:color="auto" w:fill="FFFFFF"/>
                    </w:rPr>
                    <w:instrText xml:space="preserve"> HYPERLINK "http://baike.baidu.com/view/196390.htm" \t "http://baike.baidu.com/_blank" </w:instrText>
                  </w:r>
                  <w:r>
                    <w:rPr>
                      <w:rFonts w:ascii="Times New Roman" w:hAnsi="Times New Roman"/>
                      <w:color w:val="000000"/>
                      <w:spacing w:val="0"/>
                      <w:sz w:val="21"/>
                      <w:szCs w:val="21"/>
                      <w:shd w:val="clear" w:color="auto" w:fill="FFFFFF"/>
                    </w:rPr>
                    <w:fldChar w:fldCharType="separate"/>
                  </w:r>
                  <w:r>
                    <w:rPr>
                      <w:rStyle w:val="30"/>
                      <w:rFonts w:ascii="Times New Roman" w:hAnsi="Times New Roman"/>
                      <w:color w:val="000000"/>
                      <w:spacing w:val="0"/>
                      <w:sz w:val="21"/>
                      <w:szCs w:val="21"/>
                      <w:shd w:val="clear" w:color="auto" w:fill="FFFFFF"/>
                    </w:rPr>
                    <w:t>重油</w:t>
                  </w:r>
                  <w:r>
                    <w:rPr>
                      <w:rFonts w:ascii="Times New Roman" w:hAnsi="Times New Roman"/>
                      <w:color w:val="000000"/>
                      <w:spacing w:val="0"/>
                      <w:sz w:val="21"/>
                      <w:szCs w:val="21"/>
                      <w:shd w:val="clear" w:color="auto" w:fill="FFFFFF"/>
                    </w:rPr>
                    <w:fldChar w:fldCharType="end"/>
                  </w:r>
                  <w:r>
                    <w:rPr>
                      <w:rFonts w:ascii="Times New Roman" w:hAnsi="Times New Roman"/>
                      <w:color w:val="000000"/>
                      <w:spacing w:val="0"/>
                      <w:sz w:val="21"/>
                      <w:szCs w:val="21"/>
                      <w:shd w:val="clear" w:color="auto" w:fill="FFFFFF"/>
                    </w:rPr>
                    <w:t>、燃料油等）在空气不足的条件下经不完全燃烧或受热分解而得的产物。比重1.8-2.1。</w:t>
                  </w:r>
                </w:p>
              </w:tc>
              <w:tc>
                <w:tcPr>
                  <w:tcW w:w="1628" w:type="dxa"/>
                  <w:shd w:val="clear" w:color="auto" w:fill="auto"/>
                  <w:vAlign w:val="center"/>
                </w:tcPr>
                <w:p w14:paraId="19C9239F">
                  <w:pPr>
                    <w:tabs>
                      <w:tab w:val="left" w:pos="825"/>
                    </w:tabs>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ascii="Times New Roman" w:hAnsi="Times New Roman"/>
                      <w:color w:val="000000"/>
                      <w:sz w:val="21"/>
                      <w:szCs w:val="21"/>
                    </w:rPr>
                    <w:t>/</w:t>
                  </w:r>
                </w:p>
              </w:tc>
              <w:tc>
                <w:tcPr>
                  <w:tcW w:w="819" w:type="dxa"/>
                  <w:shd w:val="clear" w:color="auto" w:fill="auto"/>
                  <w:vAlign w:val="center"/>
                </w:tcPr>
                <w:p w14:paraId="62390892">
                  <w:pPr>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ascii="Times New Roman" w:hAnsi="Times New Roman"/>
                      <w:color w:val="000000"/>
                      <w:spacing w:val="0"/>
                      <w:sz w:val="21"/>
                      <w:szCs w:val="21"/>
                      <w:shd w:val="clear" w:color="auto" w:fill="FFFFFF"/>
                    </w:rPr>
                    <w:t>无毒</w:t>
                  </w:r>
                </w:p>
              </w:tc>
            </w:tr>
            <w:tr w14:paraId="00134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shd w:val="clear" w:color="auto" w:fill="auto"/>
                  <w:vAlign w:val="center"/>
                </w:tcPr>
                <w:p w14:paraId="581289E5">
                  <w:pPr>
                    <w:spacing w:line="240" w:lineRule="auto"/>
                    <w:ind w:firstLine="0" w:firstLineChars="0"/>
                    <w:jc w:val="center"/>
                    <w:rPr>
                      <w:rFonts w:ascii="Times New Roman" w:hAnsi="Times New Roman" w:eastAsia="宋体" w:cs="Times New Roman"/>
                      <w:color w:val="000000"/>
                      <w:spacing w:val="0"/>
                      <w:kern w:val="2"/>
                      <w:sz w:val="21"/>
                      <w:szCs w:val="21"/>
                      <w:shd w:val="clear" w:color="auto" w:fill="FFFFFF"/>
                      <w:lang w:val="en-US" w:eastAsia="zh-CN" w:bidi="ar-SA"/>
                    </w:rPr>
                  </w:pPr>
                  <w:r>
                    <w:rPr>
                      <w:rFonts w:ascii="Times New Roman" w:hAnsi="Times New Roman"/>
                      <w:color w:val="000000"/>
                      <w:spacing w:val="0"/>
                      <w:sz w:val="21"/>
                      <w:szCs w:val="21"/>
                      <w:shd w:val="clear" w:color="auto" w:fill="FFFFFF"/>
                    </w:rPr>
                    <w:t>氧化锌</w:t>
                  </w:r>
                </w:p>
              </w:tc>
              <w:tc>
                <w:tcPr>
                  <w:tcW w:w="1318" w:type="dxa"/>
                  <w:shd w:val="clear" w:color="auto" w:fill="auto"/>
                  <w:vAlign w:val="center"/>
                </w:tcPr>
                <w:p w14:paraId="18E8BCCE">
                  <w:pPr>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ascii="Times New Roman" w:hAnsi="Times New Roman"/>
                      <w:color w:val="000000"/>
                      <w:spacing w:val="0"/>
                      <w:sz w:val="21"/>
                      <w:szCs w:val="21"/>
                      <w:shd w:val="clear" w:color="auto" w:fill="FFFFFF"/>
                    </w:rPr>
                    <w:t>ZnO</w:t>
                  </w:r>
                </w:p>
              </w:tc>
              <w:tc>
                <w:tcPr>
                  <w:tcW w:w="3686" w:type="dxa"/>
                  <w:shd w:val="clear" w:color="auto" w:fill="auto"/>
                  <w:vAlign w:val="center"/>
                </w:tcPr>
                <w:p w14:paraId="5596BABC">
                  <w:pPr>
                    <w:spacing w:line="240" w:lineRule="auto"/>
                    <w:jc w:val="center"/>
                    <w:rPr>
                      <w:rFonts w:hint="eastAsia" w:ascii="Times New Roman" w:hAnsi="Times New Roman" w:eastAsia="宋体"/>
                      <w:color w:val="000000"/>
                      <w:spacing w:val="0"/>
                      <w:sz w:val="21"/>
                      <w:szCs w:val="21"/>
                      <w:shd w:val="clear" w:color="auto" w:fill="FFFFFF"/>
                      <w:lang w:eastAsia="zh-CN"/>
                    </w:rPr>
                  </w:pPr>
                  <w:r>
                    <w:rPr>
                      <w:rFonts w:ascii="Times New Roman" w:hAnsi="Times New Roman"/>
                      <w:color w:val="000000"/>
                      <w:spacing w:val="0"/>
                      <w:sz w:val="21"/>
                      <w:szCs w:val="21"/>
                      <w:shd w:val="clear" w:color="auto" w:fill="FFFFFF"/>
                    </w:rPr>
                    <w:t>外观和性状：白色粉末或六角晶系结晶体。无嗅无味，无砂性。受热变为黄色，冷却后重又变为白色加热至1800</w:t>
                  </w:r>
                  <w:r>
                    <w:rPr>
                      <w:rFonts w:hint="eastAsia" w:ascii="宋体" w:hAnsi="宋体" w:cs="宋体"/>
                      <w:color w:val="000000"/>
                      <w:spacing w:val="0"/>
                      <w:sz w:val="21"/>
                      <w:szCs w:val="21"/>
                      <w:shd w:val="clear" w:color="auto" w:fill="FFFFFF"/>
                    </w:rPr>
                    <w:t>℃</w:t>
                  </w:r>
                  <w:r>
                    <w:rPr>
                      <w:rFonts w:ascii="Times New Roman" w:hAnsi="Times New Roman"/>
                      <w:color w:val="000000"/>
                      <w:spacing w:val="0"/>
                      <w:sz w:val="21"/>
                      <w:szCs w:val="21"/>
                      <w:shd w:val="clear" w:color="auto" w:fill="FFFFFF"/>
                    </w:rPr>
                    <w:t>时</w:t>
                  </w:r>
                  <w:r>
                    <w:rPr>
                      <w:rFonts w:ascii="Times New Roman" w:hAnsi="Times New Roman"/>
                      <w:color w:val="000000"/>
                      <w:spacing w:val="0"/>
                      <w:sz w:val="21"/>
                      <w:szCs w:val="21"/>
                      <w:shd w:val="clear" w:color="auto" w:fill="FFFFFF"/>
                    </w:rPr>
                    <w:fldChar w:fldCharType="begin"/>
                  </w:r>
                  <w:r>
                    <w:rPr>
                      <w:rFonts w:ascii="Times New Roman" w:hAnsi="Times New Roman"/>
                      <w:color w:val="000000"/>
                      <w:spacing w:val="0"/>
                      <w:sz w:val="21"/>
                      <w:szCs w:val="21"/>
                      <w:shd w:val="clear" w:color="auto" w:fill="FFFFFF"/>
                    </w:rPr>
                    <w:instrText xml:space="preserve"> HYPERLINK "http://baike.baidu.com/subview/83537/12531240.htm" </w:instrText>
                  </w:r>
                  <w:r>
                    <w:rPr>
                      <w:rFonts w:ascii="Times New Roman" w:hAnsi="Times New Roman"/>
                      <w:color w:val="000000"/>
                      <w:spacing w:val="0"/>
                      <w:sz w:val="21"/>
                      <w:szCs w:val="21"/>
                      <w:shd w:val="clear" w:color="auto" w:fill="FFFFFF"/>
                    </w:rPr>
                    <w:fldChar w:fldCharType="separate"/>
                  </w:r>
                  <w:r>
                    <w:rPr>
                      <w:rStyle w:val="30"/>
                      <w:rFonts w:ascii="Times New Roman" w:hAnsi="Times New Roman"/>
                      <w:color w:val="000000"/>
                      <w:spacing w:val="0"/>
                      <w:sz w:val="21"/>
                      <w:szCs w:val="21"/>
                      <w:shd w:val="clear" w:color="auto" w:fill="FFFFFF"/>
                    </w:rPr>
                    <w:t>升华</w:t>
                  </w:r>
                  <w:r>
                    <w:rPr>
                      <w:rFonts w:ascii="Times New Roman" w:hAnsi="Times New Roman"/>
                      <w:color w:val="000000"/>
                      <w:spacing w:val="0"/>
                      <w:sz w:val="21"/>
                      <w:szCs w:val="21"/>
                      <w:shd w:val="clear" w:color="auto" w:fill="FFFFFF"/>
                    </w:rPr>
                    <w:fldChar w:fldCharType="end"/>
                  </w:r>
                  <w:r>
                    <w:rPr>
                      <w:rFonts w:ascii="Times New Roman" w:hAnsi="Times New Roman"/>
                      <w:color w:val="000000"/>
                      <w:sz w:val="21"/>
                      <w:szCs w:val="21"/>
                    </w:rPr>
                    <w:t>。遮盖力是二氧化钛和硫化锌的一半。着色力是碱式碳酸铅的2倍。溶解性：溶于酸、浓氢氧化碱、氨水和铵盐溶液，不溶于水、乙醇</w:t>
                  </w:r>
                  <w:r>
                    <w:rPr>
                      <w:rFonts w:hint="eastAsia" w:ascii="Times New Roman" w:hAnsi="Times New Roman"/>
                      <w:color w:val="000000"/>
                      <w:sz w:val="21"/>
                      <w:szCs w:val="21"/>
                      <w:lang w:eastAsia="zh-CN"/>
                    </w:rPr>
                    <w:t>，</w:t>
                  </w:r>
                </w:p>
                <w:p w14:paraId="68B3A80B">
                  <w:pPr>
                    <w:spacing w:line="240" w:lineRule="auto"/>
                    <w:ind w:firstLine="0" w:firstLineChars="0"/>
                    <w:jc w:val="center"/>
                    <w:rPr>
                      <w:rFonts w:hint="eastAsia" w:ascii="Times New Roman" w:hAnsi="Times New Roman" w:eastAsia="宋体" w:cs="Times New Roman"/>
                      <w:color w:val="000000"/>
                      <w:spacing w:val="0"/>
                      <w:kern w:val="2"/>
                      <w:sz w:val="21"/>
                      <w:szCs w:val="21"/>
                      <w:shd w:val="clear" w:color="auto" w:fill="FFFFFF"/>
                      <w:lang w:val="en-US" w:eastAsia="zh-CN" w:bidi="ar-SA"/>
                    </w:rPr>
                  </w:pPr>
                  <w:r>
                    <w:rPr>
                      <w:rFonts w:ascii="Times New Roman" w:hAnsi="Times New Roman"/>
                      <w:color w:val="000000"/>
                      <w:spacing w:val="0"/>
                      <w:sz w:val="21"/>
                      <w:szCs w:val="21"/>
                      <w:shd w:val="clear" w:color="auto" w:fill="FFFFFF"/>
                    </w:rPr>
                    <w:t>遇到H</w:t>
                  </w:r>
                  <w:r>
                    <w:rPr>
                      <w:rFonts w:ascii="Times New Roman" w:hAnsi="Times New Roman"/>
                      <w:color w:val="000000"/>
                      <w:spacing w:val="0"/>
                      <w:sz w:val="21"/>
                      <w:szCs w:val="21"/>
                      <w:shd w:val="clear" w:color="auto" w:fill="FFFFFF"/>
                      <w:vertAlign w:val="subscript"/>
                    </w:rPr>
                    <w:t>2</w:t>
                  </w:r>
                  <w:r>
                    <w:rPr>
                      <w:rFonts w:ascii="Times New Roman" w:hAnsi="Times New Roman"/>
                      <w:color w:val="000000"/>
                      <w:spacing w:val="0"/>
                      <w:sz w:val="21"/>
                      <w:szCs w:val="21"/>
                      <w:shd w:val="clear" w:color="auto" w:fill="FFFFFF"/>
                    </w:rPr>
                    <w:t>S气体不变黑。</w:t>
                  </w:r>
                </w:p>
              </w:tc>
              <w:tc>
                <w:tcPr>
                  <w:tcW w:w="1628" w:type="dxa"/>
                  <w:shd w:val="clear" w:color="auto" w:fill="auto"/>
                  <w:vAlign w:val="center"/>
                </w:tcPr>
                <w:p w14:paraId="2D05C514">
                  <w:pPr>
                    <w:spacing w:line="240" w:lineRule="auto"/>
                    <w:ind w:firstLine="0" w:firstLineChars="0"/>
                    <w:jc w:val="center"/>
                    <w:rPr>
                      <w:rFonts w:ascii="Times New Roman" w:hAnsi="Times New Roman" w:eastAsia="宋体" w:cs="Times New Roman"/>
                      <w:color w:val="000000"/>
                      <w:spacing w:val="0"/>
                      <w:kern w:val="2"/>
                      <w:sz w:val="21"/>
                      <w:szCs w:val="21"/>
                      <w:shd w:val="clear" w:color="auto" w:fill="FFFFFF"/>
                      <w:lang w:val="en-US" w:eastAsia="zh-CN" w:bidi="ar-SA"/>
                    </w:rPr>
                  </w:pPr>
                  <w:r>
                    <w:rPr>
                      <w:rFonts w:ascii="Times New Roman" w:hAnsi="Times New Roman"/>
                      <w:color w:val="000000"/>
                      <w:spacing w:val="0"/>
                      <w:sz w:val="21"/>
                      <w:szCs w:val="21"/>
                      <w:shd w:val="clear" w:color="auto" w:fill="FFFFFF"/>
                    </w:rPr>
                    <w:t>/</w:t>
                  </w:r>
                </w:p>
              </w:tc>
              <w:tc>
                <w:tcPr>
                  <w:tcW w:w="819" w:type="dxa"/>
                  <w:shd w:val="clear" w:color="auto" w:fill="auto"/>
                  <w:vAlign w:val="center"/>
                </w:tcPr>
                <w:p w14:paraId="527457D3">
                  <w:pPr>
                    <w:spacing w:line="240" w:lineRule="auto"/>
                    <w:ind w:firstLine="0" w:firstLineChars="0"/>
                    <w:jc w:val="center"/>
                    <w:rPr>
                      <w:rFonts w:ascii="Times New Roman" w:hAnsi="Times New Roman" w:eastAsia="宋体" w:cs="Times New Roman"/>
                      <w:color w:val="000000"/>
                      <w:spacing w:val="0"/>
                      <w:kern w:val="2"/>
                      <w:sz w:val="21"/>
                      <w:szCs w:val="21"/>
                      <w:shd w:val="clear" w:color="auto" w:fill="FFFFFF"/>
                      <w:lang w:val="en-US" w:eastAsia="zh-CN" w:bidi="ar-SA"/>
                    </w:rPr>
                  </w:pPr>
                  <w:r>
                    <w:rPr>
                      <w:rFonts w:ascii="Times New Roman" w:hAnsi="Times New Roman"/>
                      <w:color w:val="000000"/>
                      <w:spacing w:val="0"/>
                      <w:sz w:val="21"/>
                      <w:szCs w:val="21"/>
                      <w:shd w:val="clear" w:color="auto" w:fill="FFFFFF"/>
                    </w:rPr>
                    <w:t>急性毒性</w:t>
                  </w:r>
                  <w:r>
                    <w:rPr>
                      <w:rFonts w:ascii="Times New Roman" w:hAnsi="Times New Roman"/>
                      <w:color w:val="000000"/>
                      <w:spacing w:val="0"/>
                      <w:sz w:val="21"/>
                      <w:szCs w:val="21"/>
                      <w:shd w:val="clear" w:color="auto" w:fill="FFFFFF"/>
                    </w:rPr>
                    <w:fldChar w:fldCharType="begin"/>
                  </w:r>
                  <w:r>
                    <w:rPr>
                      <w:rFonts w:ascii="Times New Roman" w:hAnsi="Times New Roman"/>
                      <w:color w:val="000000"/>
                      <w:spacing w:val="0"/>
                      <w:sz w:val="21"/>
                      <w:szCs w:val="21"/>
                      <w:shd w:val="clear" w:color="auto" w:fill="FFFFFF"/>
                    </w:rPr>
                    <w:instrText xml:space="preserve"> HYPERLINK "http://baike.baidu.com/view/223627.htm" </w:instrText>
                  </w:r>
                  <w:r>
                    <w:rPr>
                      <w:rFonts w:ascii="Times New Roman" w:hAnsi="Times New Roman"/>
                      <w:color w:val="000000"/>
                      <w:spacing w:val="0"/>
                      <w:sz w:val="21"/>
                      <w:szCs w:val="21"/>
                      <w:shd w:val="clear" w:color="auto" w:fill="FFFFFF"/>
                    </w:rPr>
                    <w:fldChar w:fldCharType="separate"/>
                  </w:r>
                  <w:r>
                    <w:rPr>
                      <w:rStyle w:val="30"/>
                      <w:rFonts w:ascii="Times New Roman" w:hAnsi="Times New Roman"/>
                      <w:color w:val="000000"/>
                      <w:spacing w:val="0"/>
                      <w:sz w:val="21"/>
                      <w:szCs w:val="21"/>
                      <w:shd w:val="clear" w:color="auto" w:fill="FFFFFF"/>
                    </w:rPr>
                    <w:t>LD</w:t>
                  </w:r>
                  <w:r>
                    <w:rPr>
                      <w:rStyle w:val="30"/>
                      <w:rFonts w:ascii="Times New Roman" w:hAnsi="Times New Roman"/>
                      <w:color w:val="000000"/>
                      <w:spacing w:val="0"/>
                      <w:sz w:val="21"/>
                      <w:szCs w:val="21"/>
                      <w:shd w:val="clear" w:color="auto" w:fill="FFFFFF"/>
                      <w:vertAlign w:val="subscript"/>
                    </w:rPr>
                    <w:t>50</w:t>
                  </w:r>
                  <w:r>
                    <w:rPr>
                      <w:rFonts w:ascii="Times New Roman" w:hAnsi="Times New Roman"/>
                      <w:color w:val="000000"/>
                      <w:spacing w:val="0"/>
                      <w:sz w:val="21"/>
                      <w:szCs w:val="21"/>
                      <w:shd w:val="clear" w:color="auto" w:fill="FFFFFF"/>
                    </w:rPr>
                    <w:fldChar w:fldCharType="end"/>
                  </w:r>
                  <w:r>
                    <w:rPr>
                      <w:rFonts w:ascii="Times New Roman" w:hAnsi="Times New Roman"/>
                      <w:color w:val="000000"/>
                      <w:sz w:val="21"/>
                      <w:szCs w:val="21"/>
                    </w:rPr>
                    <w:t>：7950mg/kg（小鼠经口）</w:t>
                  </w:r>
                </w:p>
              </w:tc>
            </w:tr>
            <w:tr w14:paraId="7D481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shd w:val="clear" w:color="auto" w:fill="auto"/>
                  <w:vAlign w:val="center"/>
                </w:tcPr>
                <w:p w14:paraId="46C539A3">
                  <w:pPr>
                    <w:spacing w:line="240" w:lineRule="auto"/>
                    <w:ind w:firstLine="0" w:firstLineChars="0"/>
                    <w:jc w:val="center"/>
                    <w:rPr>
                      <w:rFonts w:hint="eastAsia" w:ascii="Times New Roman" w:hAnsi="Times New Roman" w:eastAsia="宋体" w:cs="Times New Roman"/>
                      <w:color w:val="000000"/>
                      <w:spacing w:val="0"/>
                      <w:kern w:val="2"/>
                      <w:sz w:val="21"/>
                      <w:szCs w:val="21"/>
                      <w:shd w:val="clear" w:color="auto" w:fill="FFFFFF"/>
                      <w:lang w:val="en-US" w:eastAsia="zh-CN" w:bidi="ar-SA"/>
                    </w:rPr>
                  </w:pPr>
                  <w:r>
                    <w:rPr>
                      <w:rFonts w:hint="eastAsia" w:ascii="Times New Roman" w:hAnsi="Times New Roman"/>
                      <w:color w:val="000000"/>
                      <w:spacing w:val="0"/>
                      <w:sz w:val="21"/>
                      <w:szCs w:val="21"/>
                      <w:shd w:val="clear" w:color="auto" w:fill="FFFFFF"/>
                      <w:lang w:eastAsia="zh-CN"/>
                    </w:rPr>
                    <w:t>氧化镁</w:t>
                  </w:r>
                </w:p>
              </w:tc>
              <w:tc>
                <w:tcPr>
                  <w:tcW w:w="1318" w:type="dxa"/>
                  <w:shd w:val="clear" w:color="auto" w:fill="auto"/>
                  <w:vAlign w:val="center"/>
                </w:tcPr>
                <w:p w14:paraId="68CCBFE3">
                  <w:pPr>
                    <w:spacing w:line="240" w:lineRule="auto"/>
                    <w:ind w:firstLine="0" w:firstLineChars="0"/>
                    <w:jc w:val="center"/>
                    <w:rPr>
                      <w:rFonts w:hint="eastAsia" w:ascii="Times New Roman" w:hAnsi="Times New Roman" w:eastAsia="宋体" w:cs="Times New Roman"/>
                      <w:color w:val="000000"/>
                      <w:spacing w:val="0"/>
                      <w:kern w:val="2"/>
                      <w:sz w:val="21"/>
                      <w:szCs w:val="21"/>
                      <w:shd w:val="clear" w:color="auto" w:fill="FFFFFF"/>
                      <w:lang w:val="en-US" w:eastAsia="zh-CN" w:bidi="ar-SA"/>
                    </w:rPr>
                  </w:pPr>
                  <w:r>
                    <w:rPr>
                      <w:rFonts w:hint="eastAsia" w:ascii="Times New Roman" w:hAnsi="Times New Roman"/>
                      <w:color w:val="000000"/>
                      <w:spacing w:val="0"/>
                      <w:sz w:val="21"/>
                      <w:szCs w:val="21"/>
                      <w:shd w:val="clear" w:color="auto" w:fill="FFFFFF"/>
                    </w:rPr>
                    <w:t>MgO</w:t>
                  </w:r>
                </w:p>
              </w:tc>
              <w:tc>
                <w:tcPr>
                  <w:tcW w:w="3686" w:type="dxa"/>
                  <w:shd w:val="clear" w:color="auto" w:fill="auto"/>
                  <w:vAlign w:val="center"/>
                </w:tcPr>
                <w:p w14:paraId="3B20F658">
                  <w:pPr>
                    <w:spacing w:line="240" w:lineRule="auto"/>
                    <w:ind w:firstLine="0" w:firstLineChars="0"/>
                    <w:jc w:val="center"/>
                    <w:rPr>
                      <w:rFonts w:hint="eastAsia" w:ascii="Times New Roman" w:hAnsi="Times New Roman" w:eastAsia="宋体" w:cs="Times New Roman"/>
                      <w:color w:val="000000"/>
                      <w:spacing w:val="0"/>
                      <w:kern w:val="2"/>
                      <w:sz w:val="21"/>
                      <w:szCs w:val="21"/>
                      <w:shd w:val="clear" w:color="auto" w:fill="FFFFFF"/>
                      <w:lang w:val="en-US" w:eastAsia="zh-CN" w:bidi="ar-SA"/>
                    </w:rPr>
                  </w:pPr>
                  <w:r>
                    <w:rPr>
                      <w:rFonts w:hint="eastAsia" w:ascii="Times New Roman" w:hAnsi="Times New Roman"/>
                      <w:color w:val="000000"/>
                      <w:spacing w:val="0"/>
                      <w:sz w:val="21"/>
                      <w:szCs w:val="21"/>
                      <w:shd w:val="clear" w:color="auto" w:fill="FFFFFF"/>
                    </w:rPr>
                    <w:t>俗称苦土</w:t>
                  </w:r>
                  <w:r>
                    <w:rPr>
                      <w:rFonts w:hint="eastAsia" w:ascii="Times New Roman" w:hAnsi="Times New Roman"/>
                      <w:color w:val="000000"/>
                      <w:spacing w:val="0"/>
                      <w:sz w:val="21"/>
                      <w:szCs w:val="21"/>
                      <w:shd w:val="clear" w:color="auto" w:fill="FFFFFF"/>
                      <w:lang w:eastAsia="zh-CN"/>
                    </w:rPr>
                    <w:t>，</w:t>
                  </w:r>
                  <w:r>
                    <w:rPr>
                      <w:rFonts w:hint="eastAsia" w:ascii="Times New Roman" w:hAnsi="Times New Roman"/>
                      <w:color w:val="000000"/>
                      <w:spacing w:val="0"/>
                      <w:sz w:val="21"/>
                      <w:szCs w:val="21"/>
                      <w:shd w:val="clear" w:color="auto" w:fill="FFFFFF"/>
                    </w:rPr>
                    <w:t>灯粉</w:t>
                  </w:r>
                  <w:r>
                    <w:rPr>
                      <w:rFonts w:hint="eastAsia" w:ascii="Times New Roman" w:hAnsi="Times New Roman"/>
                      <w:color w:val="000000"/>
                      <w:spacing w:val="0"/>
                      <w:sz w:val="21"/>
                      <w:szCs w:val="21"/>
                      <w:shd w:val="clear" w:color="auto" w:fill="FFFFFF"/>
                      <w:lang w:eastAsia="zh-CN"/>
                    </w:rPr>
                    <w:t>。</w:t>
                  </w:r>
                  <w:r>
                    <w:rPr>
                      <w:rFonts w:hint="eastAsia" w:ascii="Times New Roman" w:hAnsi="Times New Roman"/>
                      <w:color w:val="000000"/>
                      <w:spacing w:val="0"/>
                      <w:sz w:val="21"/>
                      <w:szCs w:val="21"/>
                      <w:shd w:val="clear" w:color="auto" w:fill="FFFFFF"/>
                    </w:rPr>
                    <w:t>白色轻松粉末，无臭、无味，本品不溶于水和乙醇，熔点2852℃，沸点3600℃，氧化镁有高度耐火绝缘性能。氧化镁是碱性氧化物</w:t>
                  </w:r>
                  <w:r>
                    <w:rPr>
                      <w:rFonts w:hint="eastAsia" w:ascii="Times New Roman" w:hAnsi="Times New Roman"/>
                      <w:color w:val="000000"/>
                      <w:spacing w:val="0"/>
                      <w:sz w:val="21"/>
                      <w:szCs w:val="21"/>
                      <w:shd w:val="clear" w:color="auto" w:fill="FFFFFF"/>
                      <w:lang w:eastAsia="zh-CN"/>
                    </w:rPr>
                    <w:t>，</w:t>
                  </w:r>
                  <w:r>
                    <w:rPr>
                      <w:rFonts w:hint="eastAsia" w:ascii="Times New Roman" w:hAnsi="Times New Roman"/>
                      <w:color w:val="000000"/>
                      <w:spacing w:val="0"/>
                      <w:sz w:val="21"/>
                      <w:szCs w:val="21"/>
                      <w:shd w:val="clear" w:color="auto" w:fill="FFFFFF"/>
                    </w:rPr>
                    <w:t>具有碱性氧化物的通性</w:t>
                  </w:r>
                  <w:r>
                    <w:rPr>
                      <w:rFonts w:hint="eastAsia" w:ascii="Times New Roman" w:hAnsi="Times New Roman"/>
                      <w:color w:val="000000"/>
                      <w:spacing w:val="0"/>
                      <w:sz w:val="21"/>
                      <w:szCs w:val="21"/>
                      <w:shd w:val="clear" w:color="auto" w:fill="FFFFFF"/>
                      <w:lang w:eastAsia="zh-CN"/>
                    </w:rPr>
                    <w:t>。</w:t>
                  </w:r>
                  <w:r>
                    <w:rPr>
                      <w:rFonts w:hint="eastAsia" w:ascii="Times New Roman" w:hAnsi="Times New Roman"/>
                      <w:color w:val="000000"/>
                      <w:spacing w:val="0"/>
                      <w:sz w:val="21"/>
                      <w:szCs w:val="21"/>
                      <w:shd w:val="clear" w:color="auto" w:fill="FFFFFF"/>
                    </w:rPr>
                    <w:t>暴露在空气中，容易吸收水份和二氧化碳</w:t>
                  </w:r>
                  <w:r>
                    <w:rPr>
                      <w:rFonts w:hint="eastAsia" w:ascii="Times New Roman" w:hAnsi="Times New Roman"/>
                      <w:color w:val="000000"/>
                      <w:spacing w:val="0"/>
                      <w:sz w:val="21"/>
                      <w:szCs w:val="21"/>
                      <w:shd w:val="clear" w:color="auto" w:fill="FFFFFF"/>
                      <w:lang w:eastAsia="zh-CN"/>
                    </w:rPr>
                    <w:t>，</w:t>
                  </w:r>
                  <w:r>
                    <w:rPr>
                      <w:rFonts w:hint="eastAsia" w:ascii="Times New Roman" w:hAnsi="Times New Roman"/>
                      <w:color w:val="000000"/>
                      <w:spacing w:val="0"/>
                      <w:sz w:val="21"/>
                      <w:szCs w:val="21"/>
                      <w:shd w:val="clear" w:color="auto" w:fill="FFFFFF"/>
                    </w:rPr>
                    <w:t>溶于酸和铵盐</w:t>
                  </w:r>
                  <w:r>
                    <w:rPr>
                      <w:rFonts w:hint="eastAsia" w:ascii="Times New Roman" w:hAnsi="Times New Roman"/>
                      <w:color w:val="000000"/>
                      <w:spacing w:val="0"/>
                      <w:sz w:val="21"/>
                      <w:szCs w:val="21"/>
                      <w:shd w:val="clear" w:color="auto" w:fill="FFFFFF"/>
                      <w:lang w:eastAsia="zh-CN"/>
                    </w:rPr>
                    <w:t>，</w:t>
                  </w:r>
                  <w:r>
                    <w:rPr>
                      <w:rFonts w:hint="eastAsia" w:ascii="Times New Roman" w:hAnsi="Times New Roman"/>
                      <w:color w:val="000000"/>
                      <w:spacing w:val="0"/>
                      <w:sz w:val="21"/>
                      <w:szCs w:val="21"/>
                      <w:shd w:val="clear" w:color="auto" w:fill="FFFFFF"/>
                    </w:rPr>
                    <w:t>与水缓慢作用</w:t>
                  </w:r>
                  <w:r>
                    <w:rPr>
                      <w:rFonts w:hint="eastAsia" w:ascii="Times New Roman" w:hAnsi="Times New Roman"/>
                      <w:color w:val="000000"/>
                      <w:spacing w:val="0"/>
                      <w:sz w:val="21"/>
                      <w:szCs w:val="21"/>
                      <w:shd w:val="clear" w:color="auto" w:fill="FFFFFF"/>
                      <w:lang w:eastAsia="zh-CN"/>
                    </w:rPr>
                    <w:t>，</w:t>
                  </w:r>
                  <w:r>
                    <w:rPr>
                      <w:rFonts w:hint="eastAsia" w:ascii="Times New Roman" w:hAnsi="Times New Roman"/>
                      <w:color w:val="000000"/>
                      <w:spacing w:val="0"/>
                      <w:sz w:val="21"/>
                      <w:szCs w:val="21"/>
                      <w:shd w:val="clear" w:color="auto" w:fill="FFFFFF"/>
                    </w:rPr>
                    <w:t>生成氢氧化镁</w:t>
                  </w:r>
                  <w:r>
                    <w:rPr>
                      <w:rFonts w:hint="eastAsia" w:ascii="Times New Roman" w:hAnsi="Times New Roman"/>
                      <w:color w:val="000000"/>
                      <w:spacing w:val="0"/>
                      <w:sz w:val="21"/>
                      <w:szCs w:val="21"/>
                      <w:shd w:val="clear" w:color="auto" w:fill="FFFFFF"/>
                      <w:lang w:eastAsia="zh-CN"/>
                    </w:rPr>
                    <w:t>。</w:t>
                  </w:r>
                  <w:r>
                    <w:rPr>
                      <w:rFonts w:hint="eastAsia" w:ascii="Times New Roman" w:hAnsi="Times New Roman"/>
                      <w:color w:val="000000"/>
                      <w:spacing w:val="0"/>
                      <w:sz w:val="21"/>
                      <w:szCs w:val="21"/>
                      <w:shd w:val="clear" w:color="auto" w:fill="FFFFFF"/>
                    </w:rPr>
                    <w:t>分轻质氧化镁和重质氧化镁两种</w:t>
                  </w:r>
                  <w:r>
                    <w:rPr>
                      <w:rFonts w:hint="eastAsia" w:ascii="Times New Roman" w:hAnsi="Times New Roman"/>
                      <w:color w:val="000000"/>
                      <w:spacing w:val="0"/>
                      <w:sz w:val="21"/>
                      <w:szCs w:val="21"/>
                      <w:shd w:val="clear" w:color="auto" w:fill="FFFFFF"/>
                      <w:lang w:eastAsia="zh-CN"/>
                    </w:rPr>
                    <w:t>，</w:t>
                  </w:r>
                  <w:r>
                    <w:rPr>
                      <w:rFonts w:hint="eastAsia" w:ascii="Times New Roman" w:hAnsi="Times New Roman"/>
                      <w:color w:val="000000"/>
                      <w:spacing w:val="0"/>
                      <w:sz w:val="21"/>
                      <w:szCs w:val="21"/>
                      <w:shd w:val="clear" w:color="auto" w:fill="FFFFFF"/>
                    </w:rPr>
                    <w:t>轻质体积蓬松，为白色无定形粉末</w:t>
                  </w:r>
                  <w:r>
                    <w:rPr>
                      <w:rFonts w:hint="eastAsia" w:ascii="Times New Roman" w:hAnsi="Times New Roman"/>
                      <w:color w:val="000000"/>
                      <w:spacing w:val="0"/>
                      <w:sz w:val="21"/>
                      <w:szCs w:val="21"/>
                      <w:shd w:val="clear" w:color="auto" w:fill="FFFFFF"/>
                      <w:lang w:eastAsia="zh-CN"/>
                    </w:rPr>
                    <w:t>，</w:t>
                  </w:r>
                  <w:r>
                    <w:rPr>
                      <w:rFonts w:hint="eastAsia" w:ascii="Times New Roman" w:hAnsi="Times New Roman"/>
                      <w:color w:val="000000"/>
                      <w:spacing w:val="0"/>
                      <w:sz w:val="21"/>
                      <w:szCs w:val="21"/>
                      <w:shd w:val="clear" w:color="auto" w:fill="FFFFFF"/>
                    </w:rPr>
                    <w:t>无嗅无味无毒</w:t>
                  </w:r>
                  <w:r>
                    <w:rPr>
                      <w:rFonts w:hint="eastAsia" w:ascii="Times New Roman" w:hAnsi="Times New Roman"/>
                      <w:color w:val="000000"/>
                      <w:spacing w:val="0"/>
                      <w:sz w:val="21"/>
                      <w:szCs w:val="21"/>
                      <w:shd w:val="clear" w:color="auto" w:fill="FFFFFF"/>
                      <w:lang w:eastAsia="zh-CN"/>
                    </w:rPr>
                    <w:t>，</w:t>
                  </w:r>
                  <w:r>
                    <w:rPr>
                      <w:rFonts w:hint="eastAsia" w:ascii="Times New Roman" w:hAnsi="Times New Roman"/>
                      <w:color w:val="000000"/>
                      <w:spacing w:val="0"/>
                      <w:sz w:val="21"/>
                      <w:szCs w:val="21"/>
                      <w:shd w:val="clear" w:color="auto" w:fill="FFFFFF"/>
                    </w:rPr>
                    <w:t>密度3</w:t>
                  </w:r>
                  <w:r>
                    <w:rPr>
                      <w:rFonts w:hint="eastAsia" w:ascii="Times New Roman" w:hAnsi="Times New Roman"/>
                      <w:color w:val="000000"/>
                      <w:spacing w:val="0"/>
                      <w:sz w:val="21"/>
                      <w:szCs w:val="21"/>
                      <w:shd w:val="clear" w:color="auto" w:fill="FFFFFF"/>
                      <w:lang w:val="en-US" w:eastAsia="zh-CN"/>
                    </w:rPr>
                    <w:t>.</w:t>
                  </w:r>
                  <w:r>
                    <w:rPr>
                      <w:rFonts w:hint="eastAsia" w:ascii="Times New Roman" w:hAnsi="Times New Roman"/>
                      <w:color w:val="000000"/>
                      <w:spacing w:val="0"/>
                      <w:sz w:val="21"/>
                      <w:szCs w:val="21"/>
                      <w:shd w:val="clear" w:color="auto" w:fill="FFFFFF"/>
                    </w:rPr>
                    <w:t>58g/cm</w:t>
                  </w:r>
                  <w:r>
                    <w:rPr>
                      <w:rFonts w:hint="eastAsia" w:ascii="Times New Roman" w:hAnsi="Times New Roman"/>
                      <w:color w:val="000000"/>
                      <w:spacing w:val="0"/>
                      <w:sz w:val="21"/>
                      <w:szCs w:val="21"/>
                      <w:shd w:val="clear" w:color="auto" w:fill="FFFFFF"/>
                      <w:vertAlign w:val="superscript"/>
                    </w:rPr>
                    <w:t>3</w:t>
                  </w:r>
                  <w:r>
                    <w:rPr>
                      <w:rFonts w:hint="eastAsia" w:ascii="Times New Roman" w:hAnsi="Times New Roman"/>
                      <w:color w:val="000000"/>
                      <w:spacing w:val="0"/>
                      <w:sz w:val="21"/>
                      <w:szCs w:val="21"/>
                      <w:shd w:val="clear" w:color="auto" w:fill="FFFFFF"/>
                      <w:lang w:eastAsia="zh-CN"/>
                    </w:rPr>
                    <w:t>，</w:t>
                  </w:r>
                  <w:r>
                    <w:rPr>
                      <w:rFonts w:hint="eastAsia" w:ascii="Times New Roman" w:hAnsi="Times New Roman"/>
                      <w:color w:val="000000"/>
                      <w:spacing w:val="0"/>
                      <w:sz w:val="21"/>
                      <w:szCs w:val="21"/>
                      <w:shd w:val="clear" w:color="auto" w:fill="FFFFFF"/>
                    </w:rPr>
                    <w:t>难溶于纯水及有机溶剂，在水中溶解度因二氧化碳的存在而增大</w:t>
                  </w:r>
                  <w:r>
                    <w:rPr>
                      <w:rFonts w:hint="eastAsia" w:ascii="Times New Roman" w:hAnsi="Times New Roman"/>
                      <w:color w:val="000000"/>
                      <w:spacing w:val="0"/>
                      <w:sz w:val="21"/>
                      <w:szCs w:val="21"/>
                      <w:shd w:val="clear" w:color="auto" w:fill="FFFFFF"/>
                      <w:lang w:eastAsia="zh-CN"/>
                    </w:rPr>
                    <w:t>，</w:t>
                  </w:r>
                  <w:r>
                    <w:rPr>
                      <w:rFonts w:hint="eastAsia" w:ascii="Times New Roman" w:hAnsi="Times New Roman"/>
                      <w:color w:val="000000"/>
                      <w:spacing w:val="0"/>
                      <w:sz w:val="21"/>
                      <w:szCs w:val="21"/>
                      <w:shd w:val="clear" w:color="auto" w:fill="FFFFFF"/>
                    </w:rPr>
                    <w:t>能溶于酸、铵盐溶液</w:t>
                  </w:r>
                  <w:r>
                    <w:rPr>
                      <w:rFonts w:hint="eastAsia" w:ascii="Times New Roman" w:hAnsi="Times New Roman"/>
                      <w:color w:val="000000"/>
                      <w:spacing w:val="0"/>
                      <w:sz w:val="21"/>
                      <w:szCs w:val="21"/>
                      <w:shd w:val="clear" w:color="auto" w:fill="FFFFFF"/>
                      <w:lang w:eastAsia="zh-CN"/>
                    </w:rPr>
                    <w:t>，</w:t>
                  </w:r>
                  <w:r>
                    <w:rPr>
                      <w:rFonts w:hint="eastAsia" w:ascii="Times New Roman" w:hAnsi="Times New Roman"/>
                      <w:color w:val="000000"/>
                      <w:spacing w:val="0"/>
                      <w:sz w:val="21"/>
                      <w:szCs w:val="21"/>
                      <w:shd w:val="clear" w:color="auto" w:fill="FFFFFF"/>
                    </w:rPr>
                    <w:t>经高温灼烧转化为结晶体</w:t>
                  </w:r>
                  <w:r>
                    <w:rPr>
                      <w:rFonts w:hint="eastAsia" w:ascii="Times New Roman" w:hAnsi="Times New Roman"/>
                      <w:color w:val="000000"/>
                      <w:spacing w:val="0"/>
                      <w:sz w:val="21"/>
                      <w:szCs w:val="21"/>
                      <w:shd w:val="clear" w:color="auto" w:fill="FFFFFF"/>
                      <w:lang w:eastAsia="zh-CN"/>
                    </w:rPr>
                    <w:t>，</w:t>
                  </w:r>
                  <w:r>
                    <w:rPr>
                      <w:rFonts w:hint="eastAsia" w:ascii="Times New Roman" w:hAnsi="Times New Roman"/>
                      <w:color w:val="000000"/>
                      <w:spacing w:val="0"/>
                      <w:sz w:val="21"/>
                      <w:szCs w:val="21"/>
                      <w:shd w:val="clear" w:color="auto" w:fill="FFFFFF"/>
                    </w:rPr>
                    <w:t>遇空气中的二氧化碳生成碳酸镁复盐</w:t>
                  </w:r>
                </w:p>
              </w:tc>
              <w:tc>
                <w:tcPr>
                  <w:tcW w:w="1628" w:type="dxa"/>
                  <w:shd w:val="clear" w:color="auto" w:fill="auto"/>
                  <w:vAlign w:val="center"/>
                </w:tcPr>
                <w:p w14:paraId="25C8C7E9">
                  <w:pPr>
                    <w:spacing w:line="240" w:lineRule="auto"/>
                    <w:ind w:firstLine="0" w:firstLineChars="0"/>
                    <w:jc w:val="center"/>
                    <w:rPr>
                      <w:rFonts w:hint="eastAsia" w:ascii="Times New Roman" w:hAnsi="Times New Roman" w:eastAsia="宋体" w:cs="Times New Roman"/>
                      <w:color w:val="000000"/>
                      <w:spacing w:val="0"/>
                      <w:kern w:val="2"/>
                      <w:sz w:val="21"/>
                      <w:szCs w:val="21"/>
                      <w:shd w:val="clear" w:color="auto" w:fill="FFFFFF"/>
                      <w:lang w:val="en-US" w:eastAsia="zh-CN" w:bidi="ar-SA"/>
                    </w:rPr>
                  </w:pPr>
                  <w:r>
                    <w:rPr>
                      <w:rFonts w:hint="eastAsia" w:ascii="Times New Roman" w:hAnsi="Times New Roman"/>
                      <w:color w:val="000000"/>
                      <w:spacing w:val="0"/>
                      <w:sz w:val="21"/>
                      <w:szCs w:val="21"/>
                      <w:shd w:val="clear" w:color="auto" w:fill="FFFFFF"/>
                      <w:lang w:val="en-US" w:eastAsia="zh-CN"/>
                    </w:rPr>
                    <w:t>/</w:t>
                  </w:r>
                </w:p>
              </w:tc>
              <w:tc>
                <w:tcPr>
                  <w:tcW w:w="819" w:type="dxa"/>
                  <w:shd w:val="clear" w:color="auto" w:fill="auto"/>
                  <w:vAlign w:val="center"/>
                </w:tcPr>
                <w:p w14:paraId="089C7BDA">
                  <w:pPr>
                    <w:spacing w:line="240" w:lineRule="auto"/>
                    <w:ind w:firstLine="0" w:firstLineChars="0"/>
                    <w:jc w:val="center"/>
                    <w:rPr>
                      <w:rFonts w:hint="eastAsia" w:ascii="Times New Roman" w:hAnsi="Times New Roman" w:eastAsia="宋体" w:cs="Times New Roman"/>
                      <w:color w:val="000000"/>
                      <w:spacing w:val="0"/>
                      <w:kern w:val="2"/>
                      <w:sz w:val="21"/>
                      <w:szCs w:val="21"/>
                      <w:shd w:val="clear" w:color="auto" w:fill="FFFFFF"/>
                      <w:lang w:val="en-US" w:eastAsia="zh-CN" w:bidi="ar-SA"/>
                    </w:rPr>
                  </w:pPr>
                  <w:r>
                    <w:rPr>
                      <w:rFonts w:ascii="Times New Roman" w:hAnsi="Times New Roman"/>
                      <w:color w:val="000000"/>
                      <w:spacing w:val="0"/>
                      <w:sz w:val="21"/>
                      <w:szCs w:val="21"/>
                      <w:shd w:val="clear" w:color="auto" w:fill="FFFFFF"/>
                    </w:rPr>
                    <w:t>无毒</w:t>
                  </w:r>
                </w:p>
              </w:tc>
            </w:tr>
            <w:tr w14:paraId="1DC0F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shd w:val="clear" w:color="auto" w:fill="auto"/>
                  <w:vAlign w:val="center"/>
                </w:tcPr>
                <w:p w14:paraId="510CBE06">
                  <w:pPr>
                    <w:spacing w:line="240" w:lineRule="auto"/>
                    <w:ind w:firstLine="0" w:firstLineChars="0"/>
                    <w:jc w:val="center"/>
                    <w:rPr>
                      <w:rFonts w:ascii="Times New Roman" w:hAnsi="Times New Roman" w:eastAsia="宋体" w:cs="Times New Roman"/>
                      <w:color w:val="000000"/>
                      <w:spacing w:val="0"/>
                      <w:kern w:val="2"/>
                      <w:sz w:val="21"/>
                      <w:szCs w:val="21"/>
                      <w:shd w:val="clear" w:color="auto" w:fill="FFFFFF"/>
                      <w:lang w:val="en-US" w:eastAsia="zh-CN" w:bidi="ar-SA"/>
                    </w:rPr>
                  </w:pPr>
                  <w:r>
                    <w:rPr>
                      <w:rFonts w:ascii="Times New Roman" w:hAnsi="Times New Roman"/>
                      <w:color w:val="000000"/>
                      <w:spacing w:val="0"/>
                      <w:sz w:val="21"/>
                      <w:szCs w:val="21"/>
                      <w:shd w:val="clear" w:color="auto" w:fill="FFFFFF"/>
                    </w:rPr>
                    <w:t>硬脂酸</w:t>
                  </w:r>
                </w:p>
              </w:tc>
              <w:tc>
                <w:tcPr>
                  <w:tcW w:w="1318" w:type="dxa"/>
                  <w:shd w:val="clear" w:color="auto" w:fill="auto"/>
                  <w:vAlign w:val="center"/>
                </w:tcPr>
                <w:p w14:paraId="4EFF7BC1">
                  <w:pPr>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ascii="Times New Roman" w:hAnsi="Times New Roman"/>
                      <w:color w:val="000000"/>
                      <w:spacing w:val="0"/>
                      <w:sz w:val="21"/>
                      <w:szCs w:val="21"/>
                      <w:shd w:val="clear" w:color="auto" w:fill="FFFFFF"/>
                    </w:rPr>
                    <w:t>CH</w:t>
                  </w:r>
                  <w:r>
                    <w:rPr>
                      <w:rFonts w:ascii="Times New Roman" w:hAnsi="Times New Roman"/>
                      <w:color w:val="000000"/>
                      <w:spacing w:val="0"/>
                      <w:sz w:val="21"/>
                      <w:szCs w:val="21"/>
                      <w:shd w:val="clear" w:color="auto" w:fill="FFFFFF"/>
                      <w:vertAlign w:val="subscript"/>
                    </w:rPr>
                    <w:t>3</w:t>
                  </w:r>
                  <w:r>
                    <w:rPr>
                      <w:rFonts w:ascii="Times New Roman" w:hAnsi="Times New Roman"/>
                      <w:color w:val="000000"/>
                      <w:spacing w:val="0"/>
                      <w:sz w:val="21"/>
                      <w:szCs w:val="21"/>
                      <w:shd w:val="clear" w:color="auto" w:fill="FFFFFF"/>
                    </w:rPr>
                    <w:t>(CH</w:t>
                  </w:r>
                  <w:r>
                    <w:rPr>
                      <w:rFonts w:ascii="Times New Roman" w:hAnsi="Times New Roman"/>
                      <w:color w:val="000000"/>
                      <w:spacing w:val="0"/>
                      <w:sz w:val="21"/>
                      <w:szCs w:val="21"/>
                      <w:shd w:val="clear" w:color="auto" w:fill="FFFFFF"/>
                      <w:vertAlign w:val="subscript"/>
                    </w:rPr>
                    <w:t>2</w:t>
                  </w:r>
                  <w:r>
                    <w:rPr>
                      <w:rFonts w:ascii="Times New Roman" w:hAnsi="Times New Roman"/>
                      <w:color w:val="000000"/>
                      <w:spacing w:val="0"/>
                      <w:sz w:val="21"/>
                      <w:szCs w:val="21"/>
                      <w:shd w:val="clear" w:color="auto" w:fill="FFFFFF"/>
                    </w:rPr>
                    <w:t>)</w:t>
                  </w:r>
                  <w:r>
                    <w:rPr>
                      <w:rFonts w:ascii="Times New Roman" w:hAnsi="Times New Roman"/>
                      <w:color w:val="000000"/>
                      <w:spacing w:val="0"/>
                      <w:sz w:val="21"/>
                      <w:szCs w:val="21"/>
                      <w:shd w:val="clear" w:color="auto" w:fill="FFFFFF"/>
                      <w:vertAlign w:val="subscript"/>
                    </w:rPr>
                    <w:t>16</w:t>
                  </w:r>
                  <w:r>
                    <w:rPr>
                      <w:rFonts w:ascii="Times New Roman" w:hAnsi="Times New Roman"/>
                      <w:color w:val="000000"/>
                      <w:spacing w:val="0"/>
                      <w:sz w:val="21"/>
                      <w:szCs w:val="21"/>
                      <w:shd w:val="clear" w:color="auto" w:fill="FFFFFF"/>
                    </w:rPr>
                    <w:t>COOH</w:t>
                  </w:r>
                </w:p>
              </w:tc>
              <w:tc>
                <w:tcPr>
                  <w:tcW w:w="3686" w:type="dxa"/>
                  <w:shd w:val="clear" w:color="auto" w:fill="auto"/>
                  <w:vAlign w:val="center"/>
                </w:tcPr>
                <w:p w14:paraId="51C31F54">
                  <w:pPr>
                    <w:spacing w:line="240" w:lineRule="auto"/>
                    <w:ind w:firstLine="0" w:firstLineChars="0"/>
                    <w:jc w:val="center"/>
                    <w:rPr>
                      <w:rFonts w:hint="eastAsia" w:ascii="Times New Roman" w:hAnsi="Times New Roman" w:eastAsia="宋体" w:cs="Times New Roman"/>
                      <w:color w:val="000000"/>
                      <w:spacing w:val="0"/>
                      <w:kern w:val="2"/>
                      <w:sz w:val="21"/>
                      <w:szCs w:val="21"/>
                      <w:shd w:val="clear" w:color="auto" w:fill="FFFFFF"/>
                      <w:lang w:val="en-US" w:eastAsia="zh-CN" w:bidi="ar-SA"/>
                    </w:rPr>
                  </w:pPr>
                  <w:r>
                    <w:rPr>
                      <w:rFonts w:ascii="Times New Roman" w:hAnsi="Times New Roman"/>
                      <w:color w:val="000000"/>
                      <w:spacing w:val="0"/>
                      <w:sz w:val="21"/>
                      <w:szCs w:val="21"/>
                      <w:shd w:val="clear" w:color="auto" w:fill="FFFFFF"/>
                    </w:rPr>
                    <w:t>本品为白色或类白色有滑腻感的</w:t>
                  </w:r>
                  <w:r>
                    <w:rPr>
                      <w:rFonts w:ascii="Times New Roman" w:hAnsi="Times New Roman"/>
                      <w:color w:val="000000"/>
                      <w:spacing w:val="0"/>
                      <w:sz w:val="21"/>
                      <w:szCs w:val="21"/>
                      <w:shd w:val="clear" w:color="auto" w:fill="FFFFFF"/>
                    </w:rPr>
                    <w:fldChar w:fldCharType="begin"/>
                  </w:r>
                  <w:r>
                    <w:rPr>
                      <w:rFonts w:ascii="Times New Roman" w:hAnsi="Times New Roman"/>
                      <w:color w:val="000000"/>
                      <w:spacing w:val="0"/>
                      <w:sz w:val="21"/>
                      <w:szCs w:val="21"/>
                      <w:shd w:val="clear" w:color="auto" w:fill="FFFFFF"/>
                    </w:rPr>
                    <w:instrText xml:space="preserve"> HYPERLINK "https://baike.baidu.com/item/%E7%B2%89%E6%9C%AB" </w:instrText>
                  </w:r>
                  <w:r>
                    <w:rPr>
                      <w:rFonts w:ascii="Times New Roman" w:hAnsi="Times New Roman"/>
                      <w:color w:val="000000"/>
                      <w:spacing w:val="0"/>
                      <w:sz w:val="21"/>
                      <w:szCs w:val="21"/>
                      <w:shd w:val="clear" w:color="auto" w:fill="FFFFFF"/>
                    </w:rPr>
                    <w:fldChar w:fldCharType="separate"/>
                  </w:r>
                  <w:r>
                    <w:rPr>
                      <w:rStyle w:val="30"/>
                      <w:rFonts w:ascii="Times New Roman" w:hAnsi="Times New Roman"/>
                      <w:color w:val="000000"/>
                      <w:spacing w:val="0"/>
                      <w:sz w:val="21"/>
                      <w:szCs w:val="21"/>
                      <w:shd w:val="clear" w:color="auto" w:fill="FFFFFF"/>
                    </w:rPr>
                    <w:t>粉末</w:t>
                  </w:r>
                  <w:r>
                    <w:rPr>
                      <w:rFonts w:ascii="Times New Roman" w:hAnsi="Times New Roman"/>
                      <w:color w:val="000000"/>
                      <w:spacing w:val="0"/>
                      <w:sz w:val="21"/>
                      <w:szCs w:val="21"/>
                      <w:shd w:val="clear" w:color="auto" w:fill="FFFFFF"/>
                    </w:rPr>
                    <w:fldChar w:fldCharType="end"/>
                  </w:r>
                  <w:r>
                    <w:rPr>
                      <w:rFonts w:ascii="Times New Roman" w:hAnsi="Times New Roman"/>
                      <w:color w:val="000000"/>
                      <w:sz w:val="21"/>
                      <w:szCs w:val="21"/>
                    </w:rPr>
                    <w:t>或结晶性硬块，</w:t>
                  </w:r>
                  <w:r>
                    <w:rPr>
                      <w:rFonts w:ascii="Times New Roman" w:hAnsi="Times New Roman"/>
                      <w:color w:val="000000"/>
                      <w:spacing w:val="0"/>
                      <w:sz w:val="21"/>
                      <w:szCs w:val="21"/>
                      <w:shd w:val="clear" w:color="auto" w:fill="FFFFFF"/>
                    </w:rPr>
                    <w:fldChar w:fldCharType="begin"/>
                  </w:r>
                  <w:r>
                    <w:rPr>
                      <w:rFonts w:ascii="Times New Roman" w:hAnsi="Times New Roman"/>
                      <w:color w:val="000000"/>
                      <w:spacing w:val="0"/>
                      <w:sz w:val="21"/>
                      <w:szCs w:val="21"/>
                      <w:shd w:val="clear" w:color="auto" w:fill="FFFFFF"/>
                    </w:rPr>
                    <w:instrText xml:space="preserve"> HYPERLINK "https://baike.baidu.com/item/%E7%86%94%E7%82%B9" </w:instrText>
                  </w:r>
                  <w:r>
                    <w:rPr>
                      <w:rFonts w:ascii="Times New Roman" w:hAnsi="Times New Roman"/>
                      <w:color w:val="000000"/>
                      <w:spacing w:val="0"/>
                      <w:sz w:val="21"/>
                      <w:szCs w:val="21"/>
                      <w:shd w:val="clear" w:color="auto" w:fill="FFFFFF"/>
                    </w:rPr>
                    <w:fldChar w:fldCharType="separate"/>
                  </w:r>
                  <w:r>
                    <w:rPr>
                      <w:rStyle w:val="30"/>
                      <w:rFonts w:ascii="Times New Roman" w:hAnsi="Times New Roman"/>
                      <w:color w:val="000000"/>
                      <w:spacing w:val="0"/>
                      <w:sz w:val="21"/>
                      <w:szCs w:val="21"/>
                      <w:shd w:val="clear" w:color="auto" w:fill="FFFFFF"/>
                    </w:rPr>
                    <w:t>熔点</w:t>
                  </w:r>
                  <w:r>
                    <w:rPr>
                      <w:rFonts w:ascii="Times New Roman" w:hAnsi="Times New Roman"/>
                      <w:color w:val="000000"/>
                      <w:spacing w:val="0"/>
                      <w:sz w:val="21"/>
                      <w:szCs w:val="21"/>
                      <w:shd w:val="clear" w:color="auto" w:fill="FFFFFF"/>
                    </w:rPr>
                    <w:fldChar w:fldCharType="end"/>
                  </w:r>
                  <w:r>
                    <w:rPr>
                      <w:rFonts w:ascii="Times New Roman" w:hAnsi="Times New Roman"/>
                      <w:color w:val="000000"/>
                      <w:sz w:val="21"/>
                      <w:szCs w:val="21"/>
                    </w:rPr>
                    <w:t>：56</w:t>
                  </w:r>
                  <w:r>
                    <w:rPr>
                      <w:rFonts w:hint="eastAsia" w:ascii="宋体" w:hAnsi="宋体" w:cs="宋体"/>
                      <w:color w:val="000000"/>
                      <w:sz w:val="21"/>
                      <w:szCs w:val="21"/>
                    </w:rPr>
                    <w:t>℃</w:t>
                  </w:r>
                  <w:r>
                    <w:rPr>
                      <w:rFonts w:ascii="Times New Roman" w:hAnsi="Times New Roman"/>
                      <w:color w:val="000000"/>
                      <w:sz w:val="21"/>
                      <w:szCs w:val="21"/>
                    </w:rPr>
                    <w:t xml:space="preserve"> -69.6</w:t>
                  </w:r>
                  <w:r>
                    <w:rPr>
                      <w:rFonts w:hint="eastAsia" w:ascii="宋体" w:hAnsi="宋体" w:cs="宋体"/>
                      <w:color w:val="000000"/>
                      <w:sz w:val="21"/>
                      <w:szCs w:val="21"/>
                    </w:rPr>
                    <w:t>℃</w:t>
                  </w:r>
                  <w:r>
                    <w:rPr>
                      <w:rFonts w:ascii="Times New Roman" w:hAnsi="Times New Roman"/>
                      <w:color w:val="000000"/>
                      <w:spacing w:val="0"/>
                      <w:sz w:val="21"/>
                      <w:szCs w:val="21"/>
                      <w:shd w:val="clear" w:color="auto" w:fill="FFFFFF"/>
                    </w:rPr>
                    <w:t>，</w:t>
                  </w:r>
                  <w:r>
                    <w:rPr>
                      <w:rFonts w:ascii="Times New Roman" w:hAnsi="Times New Roman"/>
                      <w:color w:val="000000"/>
                      <w:spacing w:val="0"/>
                      <w:sz w:val="21"/>
                      <w:szCs w:val="21"/>
                      <w:shd w:val="clear" w:color="auto" w:fill="FFFFFF"/>
                    </w:rPr>
                    <w:fldChar w:fldCharType="begin"/>
                  </w:r>
                  <w:r>
                    <w:rPr>
                      <w:rFonts w:ascii="Times New Roman" w:hAnsi="Times New Roman"/>
                      <w:color w:val="000000"/>
                      <w:spacing w:val="0"/>
                      <w:sz w:val="21"/>
                      <w:szCs w:val="21"/>
                      <w:shd w:val="clear" w:color="auto" w:fill="FFFFFF"/>
                    </w:rPr>
                    <w:instrText xml:space="preserve"> HYPERLINK "https://baike.baidu.com/item/%E6%B2%B8%E7%82%B9" </w:instrText>
                  </w:r>
                  <w:r>
                    <w:rPr>
                      <w:rFonts w:ascii="Times New Roman" w:hAnsi="Times New Roman"/>
                      <w:color w:val="000000"/>
                      <w:spacing w:val="0"/>
                      <w:sz w:val="21"/>
                      <w:szCs w:val="21"/>
                      <w:shd w:val="clear" w:color="auto" w:fill="FFFFFF"/>
                    </w:rPr>
                    <w:fldChar w:fldCharType="separate"/>
                  </w:r>
                  <w:r>
                    <w:rPr>
                      <w:rStyle w:val="30"/>
                      <w:rFonts w:ascii="Times New Roman" w:hAnsi="Times New Roman"/>
                      <w:color w:val="000000"/>
                      <w:spacing w:val="0"/>
                      <w:sz w:val="21"/>
                      <w:szCs w:val="21"/>
                      <w:shd w:val="clear" w:color="auto" w:fill="FFFFFF"/>
                    </w:rPr>
                    <w:t>沸点</w:t>
                  </w:r>
                  <w:r>
                    <w:rPr>
                      <w:rFonts w:ascii="Times New Roman" w:hAnsi="Times New Roman"/>
                      <w:color w:val="000000"/>
                      <w:spacing w:val="0"/>
                      <w:sz w:val="21"/>
                      <w:szCs w:val="21"/>
                      <w:shd w:val="clear" w:color="auto" w:fill="FFFFFF"/>
                    </w:rPr>
                    <w:fldChar w:fldCharType="end"/>
                  </w:r>
                  <w:r>
                    <w:rPr>
                      <w:rFonts w:ascii="Times New Roman" w:hAnsi="Times New Roman"/>
                      <w:color w:val="000000"/>
                      <w:sz w:val="21"/>
                      <w:szCs w:val="21"/>
                    </w:rPr>
                    <w:t>：232</w:t>
                  </w:r>
                  <w:r>
                    <w:rPr>
                      <w:rFonts w:hint="eastAsia" w:ascii="宋体" w:hAnsi="宋体" w:cs="宋体"/>
                      <w:color w:val="000000"/>
                      <w:sz w:val="21"/>
                      <w:szCs w:val="21"/>
                    </w:rPr>
                    <w:t>℃</w:t>
                  </w:r>
                  <w:r>
                    <w:rPr>
                      <w:rFonts w:ascii="Times New Roman" w:hAnsi="Times New Roman"/>
                      <w:color w:val="000000"/>
                      <w:sz w:val="21"/>
                      <w:szCs w:val="21"/>
                    </w:rPr>
                    <w:t>（2.0kPa）</w:t>
                  </w:r>
                  <w:r>
                    <w:rPr>
                      <w:rFonts w:ascii="Times New Roman" w:hAnsi="Times New Roman"/>
                      <w:color w:val="000000"/>
                      <w:spacing w:val="0"/>
                      <w:sz w:val="21"/>
                      <w:szCs w:val="21"/>
                      <w:shd w:val="clear" w:color="auto" w:fill="FFFFFF"/>
                    </w:rPr>
                    <w:t>，</w:t>
                  </w:r>
                  <w:r>
                    <w:rPr>
                      <w:rFonts w:ascii="Times New Roman" w:hAnsi="Times New Roman"/>
                      <w:color w:val="000000"/>
                      <w:spacing w:val="0"/>
                      <w:sz w:val="21"/>
                      <w:szCs w:val="21"/>
                      <w:shd w:val="clear" w:color="auto" w:fill="FFFFFF"/>
                    </w:rPr>
                    <w:fldChar w:fldCharType="begin"/>
                  </w:r>
                  <w:r>
                    <w:rPr>
                      <w:rFonts w:ascii="Times New Roman" w:hAnsi="Times New Roman"/>
                      <w:color w:val="000000"/>
                      <w:spacing w:val="0"/>
                      <w:sz w:val="21"/>
                      <w:szCs w:val="21"/>
                      <w:shd w:val="clear" w:color="auto" w:fill="FFFFFF"/>
                    </w:rPr>
                    <w:instrText xml:space="preserve"> HYPERLINK "https://baike.baidu.com/item/%E9%97%AA%E7%82%B9" </w:instrText>
                  </w:r>
                  <w:r>
                    <w:rPr>
                      <w:rFonts w:ascii="Times New Roman" w:hAnsi="Times New Roman"/>
                      <w:color w:val="000000"/>
                      <w:spacing w:val="0"/>
                      <w:sz w:val="21"/>
                      <w:szCs w:val="21"/>
                      <w:shd w:val="clear" w:color="auto" w:fill="FFFFFF"/>
                    </w:rPr>
                    <w:fldChar w:fldCharType="separate"/>
                  </w:r>
                  <w:r>
                    <w:rPr>
                      <w:rStyle w:val="30"/>
                      <w:rFonts w:ascii="Times New Roman" w:hAnsi="Times New Roman"/>
                      <w:color w:val="000000"/>
                      <w:spacing w:val="0"/>
                      <w:sz w:val="21"/>
                      <w:szCs w:val="21"/>
                      <w:shd w:val="clear" w:color="auto" w:fill="FFFFFF"/>
                    </w:rPr>
                    <w:t>闪点</w:t>
                  </w:r>
                  <w:r>
                    <w:rPr>
                      <w:rFonts w:ascii="Times New Roman" w:hAnsi="Times New Roman"/>
                      <w:color w:val="000000"/>
                      <w:spacing w:val="0"/>
                      <w:sz w:val="21"/>
                      <w:szCs w:val="21"/>
                      <w:shd w:val="clear" w:color="auto" w:fill="FFFFFF"/>
                    </w:rPr>
                    <w:fldChar w:fldCharType="end"/>
                  </w:r>
                  <w:r>
                    <w:rPr>
                      <w:rFonts w:ascii="Times New Roman" w:hAnsi="Times New Roman"/>
                      <w:color w:val="000000"/>
                      <w:sz w:val="21"/>
                      <w:szCs w:val="21"/>
                    </w:rPr>
                    <w:t>：220</w:t>
                  </w:r>
                  <w:r>
                    <w:rPr>
                      <w:rFonts w:hint="eastAsia" w:ascii="Times New Roman" w:hAnsi="Times New Roman"/>
                      <w:color w:val="000000"/>
                      <w:sz w:val="21"/>
                      <w:szCs w:val="21"/>
                      <w:lang w:val="en-US" w:eastAsia="zh-CN"/>
                    </w:rPr>
                    <w:t>.</w:t>
                  </w:r>
                  <w:r>
                    <w:rPr>
                      <w:rFonts w:ascii="Times New Roman" w:hAnsi="Times New Roman"/>
                      <w:color w:val="000000"/>
                      <w:sz w:val="21"/>
                      <w:szCs w:val="21"/>
                    </w:rPr>
                    <w:t>6</w:t>
                  </w:r>
                  <w:r>
                    <w:rPr>
                      <w:rFonts w:hint="eastAsia" w:ascii="宋体" w:hAnsi="宋体" w:cs="宋体"/>
                      <w:color w:val="000000"/>
                      <w:sz w:val="21"/>
                      <w:szCs w:val="21"/>
                    </w:rPr>
                    <w:t>℃</w:t>
                  </w:r>
                  <w:r>
                    <w:rPr>
                      <w:rFonts w:ascii="Times New Roman" w:hAnsi="Times New Roman"/>
                      <w:color w:val="000000"/>
                      <w:spacing w:val="0"/>
                      <w:sz w:val="21"/>
                      <w:szCs w:val="21"/>
                      <w:shd w:val="clear" w:color="auto" w:fill="FFFFFF"/>
                    </w:rPr>
                    <w:t>，自燃点：444．3</w:t>
                  </w:r>
                  <w:r>
                    <w:rPr>
                      <w:rFonts w:hint="eastAsia" w:ascii="宋体" w:hAnsi="宋体" w:cs="宋体"/>
                      <w:color w:val="000000"/>
                      <w:spacing w:val="0"/>
                      <w:sz w:val="21"/>
                      <w:szCs w:val="21"/>
                      <w:shd w:val="clear" w:color="auto" w:fill="FFFFFF"/>
                    </w:rPr>
                    <w:t>℃</w:t>
                  </w:r>
                  <w:r>
                    <w:rPr>
                      <w:rFonts w:ascii="Times New Roman" w:hAnsi="Times New Roman"/>
                      <w:color w:val="000000"/>
                      <w:spacing w:val="0"/>
                      <w:sz w:val="21"/>
                      <w:szCs w:val="21"/>
                      <w:shd w:val="clear" w:color="auto" w:fill="FFFFFF"/>
                    </w:rPr>
                    <w:t>，其剖面有微带光泽的细针状结晶；有类似油脂的微臭，无味。本品在氯仿或乙醚中易溶，在乙醇中溶解，在水中几乎不溶</w:t>
                  </w:r>
                </w:p>
              </w:tc>
              <w:tc>
                <w:tcPr>
                  <w:tcW w:w="1628" w:type="dxa"/>
                  <w:shd w:val="clear" w:color="auto" w:fill="auto"/>
                  <w:vAlign w:val="center"/>
                </w:tcPr>
                <w:p w14:paraId="475A6F2D">
                  <w:pPr>
                    <w:spacing w:line="240" w:lineRule="auto"/>
                    <w:ind w:firstLine="0" w:firstLineChars="0"/>
                    <w:jc w:val="center"/>
                    <w:rPr>
                      <w:rFonts w:ascii="Times New Roman" w:hAnsi="Times New Roman" w:eastAsia="宋体" w:cs="Times New Roman"/>
                      <w:color w:val="000000"/>
                      <w:spacing w:val="0"/>
                      <w:kern w:val="2"/>
                      <w:sz w:val="21"/>
                      <w:szCs w:val="21"/>
                      <w:shd w:val="clear" w:color="auto" w:fill="FFFFFF"/>
                      <w:lang w:val="en-US" w:eastAsia="zh-CN" w:bidi="ar-SA"/>
                    </w:rPr>
                  </w:pPr>
                  <w:r>
                    <w:rPr>
                      <w:rFonts w:ascii="Times New Roman" w:hAnsi="Times New Roman"/>
                      <w:color w:val="000000"/>
                      <w:spacing w:val="0"/>
                      <w:sz w:val="21"/>
                      <w:szCs w:val="21"/>
                      <w:shd w:val="clear" w:color="auto" w:fill="FFFFFF"/>
                    </w:rPr>
                    <w:t>/</w:t>
                  </w:r>
                </w:p>
              </w:tc>
              <w:tc>
                <w:tcPr>
                  <w:tcW w:w="819" w:type="dxa"/>
                  <w:shd w:val="clear" w:color="auto" w:fill="auto"/>
                  <w:vAlign w:val="center"/>
                </w:tcPr>
                <w:p w14:paraId="78639AC9">
                  <w:pPr>
                    <w:spacing w:line="240" w:lineRule="auto"/>
                    <w:ind w:firstLine="0" w:firstLineChars="0"/>
                    <w:jc w:val="center"/>
                    <w:rPr>
                      <w:rFonts w:hint="eastAsia" w:ascii="Times New Roman" w:hAnsi="Times New Roman" w:eastAsia="宋体" w:cs="Times New Roman"/>
                      <w:color w:val="000000"/>
                      <w:spacing w:val="0"/>
                      <w:kern w:val="2"/>
                      <w:sz w:val="21"/>
                      <w:szCs w:val="21"/>
                      <w:shd w:val="clear" w:color="auto" w:fill="FFFFFF"/>
                      <w:lang w:val="en-US" w:eastAsia="zh-CN" w:bidi="ar-SA"/>
                    </w:rPr>
                  </w:pPr>
                  <w:r>
                    <w:rPr>
                      <w:rFonts w:ascii="Times New Roman" w:hAnsi="Times New Roman"/>
                      <w:color w:val="000000"/>
                      <w:spacing w:val="0"/>
                      <w:sz w:val="21"/>
                      <w:szCs w:val="21"/>
                      <w:shd w:val="clear" w:color="auto" w:fill="FFFFFF"/>
                    </w:rPr>
                    <w:t>无毒</w:t>
                  </w:r>
                </w:p>
              </w:tc>
            </w:tr>
            <w:tr w14:paraId="54801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shd w:val="clear" w:color="auto" w:fill="auto"/>
                  <w:vAlign w:val="center"/>
                </w:tcPr>
                <w:p w14:paraId="77F7BAB4">
                  <w:pPr>
                    <w:spacing w:line="240" w:lineRule="auto"/>
                    <w:ind w:firstLine="0" w:firstLineChars="0"/>
                    <w:jc w:val="center"/>
                    <w:rPr>
                      <w:rFonts w:hint="default" w:ascii="Times New Roman" w:hAnsi="Times New Roman" w:eastAsia="宋体" w:cs="Times New Roman"/>
                      <w:color w:val="000000"/>
                      <w:spacing w:val="0"/>
                      <w:kern w:val="2"/>
                      <w:sz w:val="21"/>
                      <w:szCs w:val="21"/>
                      <w:shd w:val="clear" w:color="auto" w:fill="FFFFFF"/>
                      <w:lang w:val="en-US" w:eastAsia="zh-CN" w:bidi="ar-SA"/>
                    </w:rPr>
                  </w:pPr>
                  <w:r>
                    <w:rPr>
                      <w:rFonts w:ascii="Times New Roman" w:hAnsi="Times New Roman"/>
                      <w:color w:val="000000"/>
                      <w:spacing w:val="0"/>
                      <w:sz w:val="21"/>
                      <w:szCs w:val="21"/>
                      <w:shd w:val="clear" w:color="auto" w:fill="FFFFFF"/>
                    </w:rPr>
                    <w:t>防老剂</w:t>
                  </w:r>
                  <w:r>
                    <w:rPr>
                      <w:rFonts w:hint="eastAsia" w:ascii="Times New Roman" w:hAnsi="Times New Roman"/>
                      <w:color w:val="000000"/>
                      <w:spacing w:val="0"/>
                      <w:sz w:val="21"/>
                      <w:szCs w:val="21"/>
                      <w:shd w:val="clear" w:color="auto" w:fill="FFFFFF"/>
                      <w:lang w:val="en-US" w:eastAsia="zh-CN"/>
                    </w:rPr>
                    <w:t>RD</w:t>
                  </w:r>
                </w:p>
              </w:tc>
              <w:tc>
                <w:tcPr>
                  <w:tcW w:w="1318" w:type="dxa"/>
                  <w:shd w:val="clear" w:color="auto" w:fill="auto"/>
                  <w:vAlign w:val="center"/>
                </w:tcPr>
                <w:p w14:paraId="75E33708">
                  <w:pPr>
                    <w:spacing w:line="240" w:lineRule="auto"/>
                    <w:ind w:firstLine="0" w:firstLineChars="0"/>
                    <w:jc w:val="center"/>
                    <w:rPr>
                      <w:rFonts w:hint="eastAsia" w:ascii="Times New Roman" w:hAnsi="Times New Roman" w:eastAsia="宋体" w:cs="Times New Roman"/>
                      <w:color w:val="000000"/>
                      <w:spacing w:val="0"/>
                      <w:kern w:val="2"/>
                      <w:sz w:val="21"/>
                      <w:szCs w:val="21"/>
                      <w:shd w:val="clear" w:color="auto" w:fill="FFFFFF"/>
                      <w:lang w:val="en-US" w:eastAsia="zh-CN" w:bidi="ar-SA"/>
                    </w:rPr>
                  </w:pPr>
                  <w:r>
                    <w:rPr>
                      <w:rFonts w:ascii="Times New Roman" w:hAnsi="Times New Roman"/>
                      <w:color w:val="000000"/>
                      <w:spacing w:val="0"/>
                      <w:sz w:val="21"/>
                      <w:szCs w:val="21"/>
                      <w:shd w:val="clear" w:color="auto" w:fill="FFFFFF"/>
                    </w:rPr>
                    <w:t>C</w:t>
                  </w:r>
                  <w:r>
                    <w:rPr>
                      <w:rFonts w:ascii="Times New Roman" w:hAnsi="Times New Roman"/>
                      <w:color w:val="000000"/>
                      <w:spacing w:val="0"/>
                      <w:sz w:val="21"/>
                      <w:szCs w:val="21"/>
                      <w:shd w:val="clear" w:color="auto" w:fill="FFFFFF"/>
                      <w:vertAlign w:val="subscript"/>
                    </w:rPr>
                    <w:t>12</w:t>
                  </w:r>
                  <w:r>
                    <w:rPr>
                      <w:rFonts w:ascii="Times New Roman" w:hAnsi="Times New Roman"/>
                      <w:color w:val="000000"/>
                      <w:spacing w:val="0"/>
                      <w:sz w:val="21"/>
                      <w:szCs w:val="21"/>
                      <w:shd w:val="clear" w:color="auto" w:fill="FFFFFF"/>
                    </w:rPr>
                    <w:t>H</w:t>
                  </w:r>
                  <w:r>
                    <w:rPr>
                      <w:rFonts w:ascii="Times New Roman" w:hAnsi="Times New Roman"/>
                      <w:color w:val="000000"/>
                      <w:spacing w:val="0"/>
                      <w:sz w:val="21"/>
                      <w:szCs w:val="21"/>
                      <w:shd w:val="clear" w:color="auto" w:fill="FFFFFF"/>
                      <w:vertAlign w:val="subscript"/>
                    </w:rPr>
                    <w:t>17</w:t>
                  </w:r>
                  <w:r>
                    <w:rPr>
                      <w:rFonts w:ascii="Times New Roman" w:hAnsi="Times New Roman"/>
                      <w:color w:val="000000"/>
                      <w:spacing w:val="0"/>
                      <w:sz w:val="21"/>
                      <w:szCs w:val="21"/>
                      <w:shd w:val="clear" w:color="auto" w:fill="FFFFFF"/>
                    </w:rPr>
                    <w:t>N</w:t>
                  </w:r>
                </w:p>
              </w:tc>
              <w:tc>
                <w:tcPr>
                  <w:tcW w:w="3686" w:type="dxa"/>
                  <w:shd w:val="clear" w:color="auto" w:fill="auto"/>
                  <w:vAlign w:val="center"/>
                </w:tcPr>
                <w:p w14:paraId="409E4DEB">
                  <w:pPr>
                    <w:spacing w:line="240" w:lineRule="auto"/>
                    <w:ind w:firstLine="0" w:firstLineChars="0"/>
                    <w:jc w:val="center"/>
                    <w:rPr>
                      <w:rFonts w:hint="eastAsia" w:ascii="Times New Roman" w:hAnsi="Times New Roman" w:eastAsia="宋体" w:cs="Times New Roman"/>
                      <w:color w:val="000000"/>
                      <w:spacing w:val="0"/>
                      <w:kern w:val="2"/>
                      <w:sz w:val="21"/>
                      <w:szCs w:val="21"/>
                      <w:shd w:val="clear" w:color="auto" w:fill="FFFFFF"/>
                      <w:lang w:val="en-US" w:eastAsia="zh-CN" w:bidi="ar-SA"/>
                    </w:rPr>
                  </w:pPr>
                  <w:r>
                    <w:rPr>
                      <w:rFonts w:ascii="Times New Roman" w:hAnsi="Times New Roman"/>
                      <w:color w:val="000000"/>
                      <w:spacing w:val="0"/>
                      <w:sz w:val="21"/>
                      <w:szCs w:val="21"/>
                      <w:shd w:val="clear" w:color="auto" w:fill="FFFFFF"/>
                    </w:rPr>
                    <w:t>白色粉状，密度1.08</w:t>
                  </w:r>
                  <w:r>
                    <w:rPr>
                      <w:rFonts w:hint="eastAsia" w:ascii="Times New Roman" w:hAnsi="Times New Roman"/>
                      <w:color w:val="000000"/>
                      <w:spacing w:val="0"/>
                      <w:sz w:val="21"/>
                      <w:szCs w:val="21"/>
                      <w:shd w:val="clear" w:color="auto" w:fill="FFFFFF"/>
                      <w:lang w:eastAsia="zh-CN"/>
                    </w:rPr>
                    <w:t>，</w:t>
                  </w:r>
                  <w:r>
                    <w:rPr>
                      <w:rFonts w:ascii="Times New Roman" w:hAnsi="Times New Roman"/>
                      <w:color w:val="000000"/>
                      <w:spacing w:val="0"/>
                      <w:sz w:val="21"/>
                      <w:szCs w:val="21"/>
                      <w:shd w:val="clear" w:color="auto" w:fill="FFFFFF"/>
                    </w:rPr>
                    <w:t>熔点</w:t>
                  </w:r>
                  <w:r>
                    <w:rPr>
                      <w:rFonts w:hint="eastAsia" w:ascii="Times New Roman" w:hAnsi="Times New Roman"/>
                      <w:color w:val="000000"/>
                      <w:spacing w:val="0"/>
                      <w:sz w:val="21"/>
                      <w:szCs w:val="21"/>
                      <w:shd w:val="clear" w:color="auto" w:fill="FFFFFF"/>
                      <w:lang w:val="en-US" w:eastAsia="zh-CN"/>
                    </w:rPr>
                    <w:t>7</w:t>
                  </w:r>
                  <w:r>
                    <w:rPr>
                      <w:rFonts w:ascii="Times New Roman" w:hAnsi="Times New Roman"/>
                      <w:color w:val="000000"/>
                      <w:spacing w:val="0"/>
                      <w:sz w:val="21"/>
                      <w:szCs w:val="21"/>
                      <w:shd w:val="clear" w:color="auto" w:fill="FFFFFF"/>
                    </w:rPr>
                    <w:t>2-94</w:t>
                  </w:r>
                  <w:r>
                    <w:rPr>
                      <w:rFonts w:hint="eastAsia" w:ascii="宋体" w:hAnsi="宋体" w:cs="宋体"/>
                      <w:color w:val="000000"/>
                      <w:spacing w:val="0"/>
                      <w:sz w:val="21"/>
                      <w:szCs w:val="21"/>
                      <w:shd w:val="clear" w:color="auto" w:fill="FFFFFF"/>
                    </w:rPr>
                    <w:t>℃</w:t>
                  </w:r>
                  <w:r>
                    <w:rPr>
                      <w:rFonts w:hint="eastAsia" w:ascii="宋体" w:hAnsi="宋体" w:cs="宋体"/>
                      <w:color w:val="000000"/>
                      <w:spacing w:val="0"/>
                      <w:sz w:val="21"/>
                      <w:szCs w:val="21"/>
                      <w:shd w:val="clear" w:color="auto" w:fill="FFFFFF"/>
                      <w:lang w:eastAsia="zh-CN"/>
                    </w:rPr>
                    <w:t>，</w:t>
                  </w:r>
                  <w:r>
                    <w:rPr>
                      <w:rFonts w:ascii="Times New Roman" w:hAnsi="Times New Roman"/>
                      <w:color w:val="000000"/>
                      <w:spacing w:val="0"/>
                      <w:sz w:val="21"/>
                      <w:szCs w:val="21"/>
                      <w:shd w:val="clear" w:color="auto" w:fill="FFFFFF"/>
                    </w:rPr>
                    <w:t>沸点&gt;315</w:t>
                  </w:r>
                  <w:r>
                    <w:rPr>
                      <w:rFonts w:hint="eastAsia" w:ascii="宋体" w:hAnsi="宋体" w:cs="宋体"/>
                      <w:color w:val="000000"/>
                      <w:spacing w:val="0"/>
                      <w:sz w:val="21"/>
                      <w:szCs w:val="21"/>
                      <w:shd w:val="clear" w:color="auto" w:fill="FFFFFF"/>
                    </w:rPr>
                    <w:t>℃</w:t>
                  </w:r>
                  <w:r>
                    <w:rPr>
                      <w:rFonts w:hint="eastAsia" w:ascii="宋体" w:hAnsi="宋体" w:cs="宋体"/>
                      <w:color w:val="000000"/>
                      <w:spacing w:val="0"/>
                      <w:sz w:val="21"/>
                      <w:szCs w:val="21"/>
                      <w:shd w:val="clear" w:color="auto" w:fill="FFFFFF"/>
                      <w:lang w:eastAsia="zh-CN"/>
                    </w:rPr>
                    <w:t>，</w:t>
                  </w:r>
                  <w:r>
                    <w:rPr>
                      <w:rFonts w:ascii="Times New Roman" w:hAnsi="Times New Roman"/>
                      <w:color w:val="000000"/>
                      <w:spacing w:val="0"/>
                      <w:sz w:val="21"/>
                      <w:szCs w:val="21"/>
                      <w:shd w:val="clear" w:color="auto" w:fill="FFFFFF"/>
                    </w:rPr>
                    <w:t>水溶性&lt;0.1g/100 mLat 23</w:t>
                  </w:r>
                  <w:r>
                    <w:rPr>
                      <w:rFonts w:hint="eastAsia" w:ascii="宋体" w:hAnsi="宋体" w:cs="宋体"/>
                      <w:color w:val="000000"/>
                      <w:spacing w:val="0"/>
                      <w:sz w:val="21"/>
                      <w:szCs w:val="21"/>
                      <w:shd w:val="clear" w:color="auto" w:fill="FFFFFF"/>
                    </w:rPr>
                    <w:t>℃</w:t>
                  </w:r>
                  <w:r>
                    <w:rPr>
                      <w:rFonts w:ascii="Times New Roman" w:hAnsi="Times New Roman"/>
                      <w:color w:val="000000"/>
                      <w:spacing w:val="0"/>
                      <w:sz w:val="21"/>
                      <w:szCs w:val="21"/>
                      <w:shd w:val="clear" w:color="auto" w:fill="FFFFFF"/>
                    </w:rPr>
                    <w:t>，主要用作</w:t>
                  </w:r>
                  <w:r>
                    <w:rPr>
                      <w:rFonts w:ascii="Times New Roman" w:hAnsi="Times New Roman"/>
                      <w:color w:val="000000"/>
                      <w:spacing w:val="0"/>
                      <w:sz w:val="21"/>
                      <w:szCs w:val="21"/>
                      <w:shd w:val="clear" w:color="auto" w:fill="FFFFFF"/>
                    </w:rPr>
                    <w:fldChar w:fldCharType="begin"/>
                  </w:r>
                  <w:r>
                    <w:rPr>
                      <w:rFonts w:ascii="Times New Roman" w:hAnsi="Times New Roman"/>
                      <w:color w:val="000000"/>
                      <w:spacing w:val="0"/>
                      <w:sz w:val="21"/>
                      <w:szCs w:val="21"/>
                      <w:shd w:val="clear" w:color="auto" w:fill="FFFFFF"/>
                    </w:rPr>
                    <w:instrText xml:space="preserve"> HYPERLINK "https://baike.baidu.com/item/%E6%A9%A1%E8%83%B6" </w:instrText>
                  </w:r>
                  <w:r>
                    <w:rPr>
                      <w:rFonts w:ascii="Times New Roman" w:hAnsi="Times New Roman"/>
                      <w:color w:val="000000"/>
                      <w:spacing w:val="0"/>
                      <w:sz w:val="21"/>
                      <w:szCs w:val="21"/>
                      <w:shd w:val="clear" w:color="auto" w:fill="FFFFFF"/>
                    </w:rPr>
                    <w:fldChar w:fldCharType="separate"/>
                  </w:r>
                  <w:r>
                    <w:rPr>
                      <w:rStyle w:val="30"/>
                      <w:rFonts w:ascii="Times New Roman" w:hAnsi="Times New Roman"/>
                      <w:color w:val="000000"/>
                      <w:spacing w:val="0"/>
                      <w:sz w:val="21"/>
                      <w:szCs w:val="21"/>
                      <w:shd w:val="clear" w:color="auto" w:fill="FFFFFF"/>
                    </w:rPr>
                    <w:t>橡胶</w:t>
                  </w:r>
                  <w:r>
                    <w:rPr>
                      <w:rFonts w:ascii="Times New Roman" w:hAnsi="Times New Roman"/>
                      <w:color w:val="000000"/>
                      <w:spacing w:val="0"/>
                      <w:sz w:val="21"/>
                      <w:szCs w:val="21"/>
                      <w:shd w:val="clear" w:color="auto" w:fill="FFFFFF"/>
                    </w:rPr>
                    <w:fldChar w:fldCharType="end"/>
                  </w:r>
                  <w:r>
                    <w:rPr>
                      <w:rFonts w:ascii="Times New Roman" w:hAnsi="Times New Roman"/>
                      <w:color w:val="000000"/>
                      <w:sz w:val="21"/>
                      <w:szCs w:val="21"/>
                    </w:rPr>
                    <w:t>防老剂。适用于天然胶及</w:t>
                  </w:r>
                  <w:r>
                    <w:rPr>
                      <w:rFonts w:ascii="Times New Roman" w:hAnsi="Times New Roman"/>
                      <w:color w:val="000000"/>
                      <w:spacing w:val="0"/>
                      <w:sz w:val="21"/>
                      <w:szCs w:val="21"/>
                      <w:shd w:val="clear" w:color="auto" w:fill="FFFFFF"/>
                    </w:rPr>
                    <w:fldChar w:fldCharType="begin"/>
                  </w:r>
                  <w:r>
                    <w:rPr>
                      <w:rFonts w:ascii="Times New Roman" w:hAnsi="Times New Roman"/>
                      <w:color w:val="000000"/>
                      <w:spacing w:val="0"/>
                      <w:sz w:val="21"/>
                      <w:szCs w:val="21"/>
                      <w:shd w:val="clear" w:color="auto" w:fill="FFFFFF"/>
                    </w:rPr>
                    <w:instrText xml:space="preserve"> HYPERLINK "https://baike.baidu.com/item/%E4%B8%81%E8%85%88" </w:instrText>
                  </w:r>
                  <w:r>
                    <w:rPr>
                      <w:rFonts w:ascii="Times New Roman" w:hAnsi="Times New Roman"/>
                      <w:color w:val="000000"/>
                      <w:spacing w:val="0"/>
                      <w:sz w:val="21"/>
                      <w:szCs w:val="21"/>
                      <w:shd w:val="clear" w:color="auto" w:fill="FFFFFF"/>
                    </w:rPr>
                    <w:fldChar w:fldCharType="separate"/>
                  </w:r>
                  <w:r>
                    <w:rPr>
                      <w:rStyle w:val="30"/>
                      <w:rFonts w:ascii="Times New Roman" w:hAnsi="Times New Roman"/>
                      <w:color w:val="000000"/>
                      <w:spacing w:val="0"/>
                      <w:sz w:val="21"/>
                      <w:szCs w:val="21"/>
                      <w:shd w:val="clear" w:color="auto" w:fill="FFFFFF"/>
                    </w:rPr>
                    <w:t>丁腈</w:t>
                  </w:r>
                  <w:r>
                    <w:rPr>
                      <w:rFonts w:ascii="Times New Roman" w:hAnsi="Times New Roman"/>
                      <w:color w:val="000000"/>
                      <w:spacing w:val="0"/>
                      <w:sz w:val="21"/>
                      <w:szCs w:val="21"/>
                      <w:shd w:val="clear" w:color="auto" w:fill="FFFFFF"/>
                    </w:rPr>
                    <w:fldChar w:fldCharType="end"/>
                  </w:r>
                  <w:r>
                    <w:rPr>
                      <w:rFonts w:ascii="Times New Roman" w:hAnsi="Times New Roman"/>
                      <w:color w:val="000000"/>
                      <w:sz w:val="21"/>
                      <w:szCs w:val="21"/>
                    </w:rPr>
                    <w:t>、丁苯、乙丙及氯丁等</w:t>
                  </w:r>
                  <w:r>
                    <w:rPr>
                      <w:rFonts w:ascii="Times New Roman" w:hAnsi="Times New Roman"/>
                      <w:color w:val="000000"/>
                      <w:spacing w:val="0"/>
                      <w:sz w:val="21"/>
                      <w:szCs w:val="21"/>
                      <w:shd w:val="clear" w:color="auto" w:fill="FFFFFF"/>
                    </w:rPr>
                    <w:fldChar w:fldCharType="begin"/>
                  </w:r>
                  <w:r>
                    <w:rPr>
                      <w:rFonts w:ascii="Times New Roman" w:hAnsi="Times New Roman"/>
                      <w:color w:val="000000"/>
                      <w:spacing w:val="0"/>
                      <w:sz w:val="21"/>
                      <w:szCs w:val="21"/>
                      <w:shd w:val="clear" w:color="auto" w:fill="FFFFFF"/>
                    </w:rPr>
                    <w:instrText xml:space="preserve"> HYPERLINK "https://baike.baidu.com/item/%E5%90%88%E6%88%90%E6%A9%A1%E8%83%B6" </w:instrText>
                  </w:r>
                  <w:r>
                    <w:rPr>
                      <w:rFonts w:ascii="Times New Roman" w:hAnsi="Times New Roman"/>
                      <w:color w:val="000000"/>
                      <w:spacing w:val="0"/>
                      <w:sz w:val="21"/>
                      <w:szCs w:val="21"/>
                      <w:shd w:val="clear" w:color="auto" w:fill="FFFFFF"/>
                    </w:rPr>
                    <w:fldChar w:fldCharType="separate"/>
                  </w:r>
                  <w:r>
                    <w:rPr>
                      <w:rStyle w:val="30"/>
                      <w:rFonts w:ascii="Times New Roman" w:hAnsi="Times New Roman"/>
                      <w:color w:val="000000"/>
                      <w:spacing w:val="0"/>
                      <w:sz w:val="21"/>
                      <w:szCs w:val="21"/>
                      <w:shd w:val="clear" w:color="auto" w:fill="FFFFFF"/>
                    </w:rPr>
                    <w:t>合成橡胶</w:t>
                  </w:r>
                  <w:r>
                    <w:rPr>
                      <w:rFonts w:ascii="Times New Roman" w:hAnsi="Times New Roman"/>
                      <w:color w:val="000000"/>
                      <w:spacing w:val="0"/>
                      <w:sz w:val="21"/>
                      <w:szCs w:val="21"/>
                      <w:shd w:val="clear" w:color="auto" w:fill="FFFFFF"/>
                    </w:rPr>
                    <w:fldChar w:fldCharType="end"/>
                  </w:r>
                  <w:r>
                    <w:rPr>
                      <w:rFonts w:ascii="Times New Roman" w:hAnsi="Times New Roman"/>
                      <w:color w:val="000000"/>
                      <w:sz w:val="21"/>
                      <w:szCs w:val="21"/>
                    </w:rPr>
                    <w:t>。对热和氧引起的老化防护效果极佳，但对屈挠老化防护效果较差</w:t>
                  </w:r>
                </w:p>
              </w:tc>
              <w:tc>
                <w:tcPr>
                  <w:tcW w:w="1628" w:type="dxa"/>
                  <w:shd w:val="clear" w:color="auto" w:fill="auto"/>
                  <w:vAlign w:val="center"/>
                </w:tcPr>
                <w:p w14:paraId="1AD2EB3A">
                  <w:pPr>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ascii="Times New Roman" w:hAnsi="Times New Roman"/>
                      <w:color w:val="000000"/>
                      <w:sz w:val="21"/>
                      <w:szCs w:val="21"/>
                    </w:rPr>
                    <w:t>/</w:t>
                  </w:r>
                </w:p>
              </w:tc>
              <w:tc>
                <w:tcPr>
                  <w:tcW w:w="819" w:type="dxa"/>
                  <w:shd w:val="clear" w:color="auto" w:fill="auto"/>
                  <w:vAlign w:val="center"/>
                </w:tcPr>
                <w:p w14:paraId="49F3BED6">
                  <w:pPr>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ascii="Times New Roman" w:hAnsi="Times New Roman"/>
                      <w:color w:val="000000"/>
                      <w:spacing w:val="0"/>
                      <w:sz w:val="21"/>
                      <w:szCs w:val="21"/>
                      <w:shd w:val="clear" w:color="auto" w:fill="FFFFFF"/>
                    </w:rPr>
                    <w:t>无毒</w:t>
                  </w:r>
                </w:p>
              </w:tc>
            </w:tr>
            <w:tr w14:paraId="70CFD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shd w:val="clear" w:color="auto" w:fill="auto"/>
                  <w:vAlign w:val="center"/>
                </w:tcPr>
                <w:p w14:paraId="5445B076">
                  <w:pPr>
                    <w:spacing w:line="240" w:lineRule="auto"/>
                    <w:ind w:firstLine="0" w:firstLineChars="0"/>
                    <w:jc w:val="center"/>
                    <w:rPr>
                      <w:rFonts w:hint="default" w:ascii="Times New Roman" w:hAnsi="Times New Roman" w:eastAsia="宋体" w:cs="Times New Roman"/>
                      <w:color w:val="000000"/>
                      <w:spacing w:val="0"/>
                      <w:kern w:val="2"/>
                      <w:sz w:val="21"/>
                      <w:szCs w:val="21"/>
                      <w:shd w:val="clear" w:color="auto" w:fill="FFFFFF"/>
                      <w:lang w:val="en-US" w:eastAsia="zh-CN" w:bidi="ar-SA"/>
                    </w:rPr>
                  </w:pPr>
                  <w:r>
                    <w:rPr>
                      <w:rFonts w:hint="eastAsia" w:ascii="Times New Roman" w:hAnsi="Times New Roman"/>
                      <w:color w:val="000000"/>
                      <w:spacing w:val="0"/>
                      <w:sz w:val="21"/>
                      <w:szCs w:val="21"/>
                      <w:shd w:val="clear" w:color="auto" w:fill="FFFFFF"/>
                      <w:lang w:eastAsia="zh-CN"/>
                    </w:rPr>
                    <w:t>促进剂</w:t>
                  </w:r>
                  <w:r>
                    <w:rPr>
                      <w:rFonts w:hint="eastAsia" w:ascii="Times New Roman" w:hAnsi="Times New Roman"/>
                      <w:color w:val="000000"/>
                      <w:spacing w:val="0"/>
                      <w:sz w:val="21"/>
                      <w:szCs w:val="21"/>
                      <w:shd w:val="clear" w:color="auto" w:fill="FFFFFF"/>
                      <w:lang w:val="en-US" w:eastAsia="zh-CN"/>
                    </w:rPr>
                    <w:t>DM</w:t>
                  </w:r>
                </w:p>
              </w:tc>
              <w:tc>
                <w:tcPr>
                  <w:tcW w:w="1318" w:type="dxa"/>
                  <w:shd w:val="clear" w:color="auto" w:fill="auto"/>
                  <w:vAlign w:val="center"/>
                </w:tcPr>
                <w:p w14:paraId="37BAD2C3">
                  <w:pPr>
                    <w:spacing w:line="240" w:lineRule="auto"/>
                    <w:ind w:firstLine="0" w:firstLineChars="0"/>
                    <w:jc w:val="center"/>
                    <w:rPr>
                      <w:rFonts w:hint="eastAsia" w:ascii="Times New Roman" w:hAnsi="Times New Roman" w:eastAsia="宋体" w:cs="Times New Roman"/>
                      <w:color w:val="000000"/>
                      <w:spacing w:val="0"/>
                      <w:kern w:val="2"/>
                      <w:sz w:val="21"/>
                      <w:szCs w:val="21"/>
                      <w:shd w:val="clear" w:color="auto" w:fill="FFFFFF"/>
                      <w:lang w:val="en-US" w:eastAsia="zh-CN" w:bidi="ar-SA"/>
                    </w:rPr>
                  </w:pPr>
                  <w:r>
                    <w:rPr>
                      <w:rFonts w:hint="eastAsia" w:ascii="Times New Roman" w:hAnsi="Times New Roman"/>
                      <w:color w:val="000000"/>
                      <w:spacing w:val="0"/>
                      <w:sz w:val="21"/>
                      <w:szCs w:val="21"/>
                      <w:shd w:val="clear" w:color="auto" w:fill="FFFFFF"/>
                    </w:rPr>
                    <w:t>C</w:t>
                  </w:r>
                  <w:r>
                    <w:rPr>
                      <w:rFonts w:hint="eastAsia" w:ascii="Times New Roman" w:hAnsi="Times New Roman"/>
                      <w:color w:val="000000"/>
                      <w:spacing w:val="0"/>
                      <w:sz w:val="21"/>
                      <w:szCs w:val="21"/>
                      <w:shd w:val="clear" w:color="auto" w:fill="FFFFFF"/>
                      <w:vertAlign w:val="subscript"/>
                    </w:rPr>
                    <w:t>14</w:t>
                  </w:r>
                  <w:r>
                    <w:rPr>
                      <w:rFonts w:hint="eastAsia" w:ascii="Times New Roman" w:hAnsi="Times New Roman"/>
                      <w:color w:val="000000"/>
                      <w:spacing w:val="0"/>
                      <w:sz w:val="21"/>
                      <w:szCs w:val="21"/>
                      <w:shd w:val="clear" w:color="auto" w:fill="FFFFFF"/>
                    </w:rPr>
                    <w:t>H</w:t>
                  </w:r>
                  <w:r>
                    <w:rPr>
                      <w:rFonts w:hint="eastAsia" w:ascii="Times New Roman" w:hAnsi="Times New Roman"/>
                      <w:color w:val="000000"/>
                      <w:spacing w:val="0"/>
                      <w:sz w:val="21"/>
                      <w:szCs w:val="21"/>
                      <w:shd w:val="clear" w:color="auto" w:fill="FFFFFF"/>
                      <w:vertAlign w:val="subscript"/>
                    </w:rPr>
                    <w:t>8</w:t>
                  </w:r>
                  <w:r>
                    <w:rPr>
                      <w:rFonts w:hint="eastAsia" w:ascii="Times New Roman" w:hAnsi="Times New Roman"/>
                      <w:color w:val="000000"/>
                      <w:spacing w:val="0"/>
                      <w:sz w:val="21"/>
                      <w:szCs w:val="21"/>
                      <w:shd w:val="clear" w:color="auto" w:fill="FFFFFF"/>
                    </w:rPr>
                    <w:t>N</w:t>
                  </w:r>
                  <w:r>
                    <w:rPr>
                      <w:rFonts w:hint="eastAsia" w:ascii="Times New Roman" w:hAnsi="Times New Roman"/>
                      <w:color w:val="000000"/>
                      <w:spacing w:val="0"/>
                      <w:sz w:val="21"/>
                      <w:szCs w:val="21"/>
                      <w:shd w:val="clear" w:color="auto" w:fill="FFFFFF"/>
                      <w:vertAlign w:val="subscript"/>
                    </w:rPr>
                    <w:t>2</w:t>
                  </w:r>
                  <w:r>
                    <w:rPr>
                      <w:rFonts w:hint="eastAsia" w:ascii="Times New Roman" w:hAnsi="Times New Roman"/>
                      <w:color w:val="000000"/>
                      <w:spacing w:val="0"/>
                      <w:sz w:val="21"/>
                      <w:szCs w:val="21"/>
                      <w:shd w:val="clear" w:color="auto" w:fill="FFFFFF"/>
                    </w:rPr>
                    <w:t>S</w:t>
                  </w:r>
                  <w:r>
                    <w:rPr>
                      <w:rFonts w:hint="eastAsia" w:ascii="Times New Roman" w:hAnsi="Times New Roman"/>
                      <w:color w:val="000000"/>
                      <w:spacing w:val="0"/>
                      <w:sz w:val="21"/>
                      <w:szCs w:val="21"/>
                      <w:shd w:val="clear" w:color="auto" w:fill="FFFFFF"/>
                      <w:vertAlign w:val="subscript"/>
                    </w:rPr>
                    <w:t>4</w:t>
                  </w:r>
                </w:p>
              </w:tc>
              <w:tc>
                <w:tcPr>
                  <w:tcW w:w="3686" w:type="dxa"/>
                  <w:shd w:val="clear" w:color="auto" w:fill="auto"/>
                  <w:vAlign w:val="center"/>
                </w:tcPr>
                <w:p w14:paraId="0A7C540B">
                  <w:pPr>
                    <w:spacing w:line="240" w:lineRule="auto"/>
                    <w:ind w:firstLine="0" w:firstLineChars="0"/>
                    <w:jc w:val="center"/>
                    <w:rPr>
                      <w:rFonts w:hint="eastAsia" w:ascii="Times New Roman" w:hAnsi="Times New Roman" w:eastAsia="微软雅黑" w:cs="Times New Roman"/>
                      <w:color w:val="000000"/>
                      <w:spacing w:val="0"/>
                      <w:kern w:val="2"/>
                      <w:sz w:val="21"/>
                      <w:szCs w:val="21"/>
                      <w:shd w:val="clear" w:color="auto" w:fill="FFFFFF"/>
                      <w:lang w:val="en-US" w:eastAsia="zh-CN" w:bidi="ar-SA"/>
                    </w:rPr>
                  </w:pPr>
                  <w:r>
                    <w:rPr>
                      <w:rFonts w:hint="eastAsia" w:ascii="Times New Roman" w:hAnsi="Times New Roman"/>
                      <w:color w:val="000000"/>
                      <w:spacing w:val="0"/>
                      <w:sz w:val="21"/>
                      <w:szCs w:val="21"/>
                      <w:shd w:val="clear" w:color="auto" w:fill="FFFFFF"/>
                      <w:lang w:eastAsia="zh-CN"/>
                    </w:rPr>
                    <w:t>中文名</w:t>
                  </w:r>
                  <w:r>
                    <w:rPr>
                      <w:rFonts w:ascii="Times New Roman" w:hAnsi="Times New Roman"/>
                      <w:color w:val="000000"/>
                      <w:spacing w:val="0"/>
                      <w:sz w:val="21"/>
                      <w:szCs w:val="21"/>
                      <w:shd w:val="clear" w:color="auto" w:fill="FFFFFF"/>
                    </w:rPr>
                    <w:t>2,2'-二硫代二苯并噻唑</w:t>
                  </w:r>
                  <w:r>
                    <w:rPr>
                      <w:rFonts w:hint="eastAsia" w:ascii="Times New Roman" w:hAnsi="Times New Roman"/>
                      <w:color w:val="000000"/>
                      <w:spacing w:val="0"/>
                      <w:sz w:val="21"/>
                      <w:szCs w:val="21"/>
                      <w:shd w:val="clear" w:color="auto" w:fill="FFFFFF"/>
                      <w:lang w:eastAsia="zh-CN"/>
                    </w:rPr>
                    <w:t>。熔点180℃，也有报道为186℃，相对密度1.50 (20/4℃)。不溶于水，略有苦味，无臭</w:t>
                  </w:r>
                </w:p>
              </w:tc>
              <w:tc>
                <w:tcPr>
                  <w:tcW w:w="1628" w:type="dxa"/>
                  <w:shd w:val="clear" w:color="auto" w:fill="auto"/>
                  <w:vAlign w:val="center"/>
                </w:tcPr>
                <w:p w14:paraId="06F03864">
                  <w:pPr>
                    <w:spacing w:line="240" w:lineRule="auto"/>
                    <w:ind w:firstLine="0" w:firstLineChars="0"/>
                    <w:jc w:val="center"/>
                    <w:rPr>
                      <w:rFonts w:hint="eastAsia" w:ascii="Times New Roman" w:hAnsi="Times New Roman" w:eastAsia="宋体" w:cs="Times New Roman"/>
                      <w:color w:val="000000"/>
                      <w:spacing w:val="0"/>
                      <w:kern w:val="2"/>
                      <w:sz w:val="21"/>
                      <w:szCs w:val="21"/>
                      <w:shd w:val="clear" w:color="auto" w:fill="FFFFFF"/>
                      <w:lang w:val="en-US" w:eastAsia="zh-CN" w:bidi="ar-SA"/>
                    </w:rPr>
                  </w:pPr>
                  <w:r>
                    <w:rPr>
                      <w:rFonts w:hint="eastAsia" w:ascii="Times New Roman" w:hAnsi="Times New Roman"/>
                      <w:color w:val="000000"/>
                      <w:spacing w:val="0"/>
                      <w:sz w:val="21"/>
                      <w:szCs w:val="21"/>
                      <w:shd w:val="clear" w:color="auto" w:fill="FFFFFF"/>
                      <w:lang w:val="en-US" w:eastAsia="zh-CN"/>
                    </w:rPr>
                    <w:t>可燃</w:t>
                  </w:r>
                </w:p>
              </w:tc>
              <w:tc>
                <w:tcPr>
                  <w:tcW w:w="819" w:type="dxa"/>
                  <w:shd w:val="clear" w:color="auto" w:fill="auto"/>
                  <w:vAlign w:val="center"/>
                </w:tcPr>
                <w:p w14:paraId="3F484E1D">
                  <w:pPr>
                    <w:spacing w:line="240" w:lineRule="auto"/>
                    <w:ind w:firstLine="0" w:firstLineChars="0"/>
                    <w:jc w:val="center"/>
                    <w:rPr>
                      <w:rFonts w:hint="eastAsia" w:ascii="Times New Roman" w:hAnsi="Times New Roman" w:eastAsia="宋体" w:cs="Times New Roman"/>
                      <w:color w:val="000000"/>
                      <w:spacing w:val="0"/>
                      <w:kern w:val="2"/>
                      <w:sz w:val="21"/>
                      <w:szCs w:val="21"/>
                      <w:shd w:val="clear" w:color="auto" w:fill="FFFFFF"/>
                      <w:lang w:val="en-US" w:eastAsia="zh-CN" w:bidi="ar-SA"/>
                    </w:rPr>
                  </w:pPr>
                  <w:r>
                    <w:rPr>
                      <w:rFonts w:hint="eastAsia" w:ascii="Times New Roman" w:hAnsi="Times New Roman"/>
                      <w:color w:val="000000"/>
                      <w:spacing w:val="0"/>
                      <w:sz w:val="21"/>
                      <w:szCs w:val="21"/>
                      <w:shd w:val="clear" w:color="auto" w:fill="FFFFFF"/>
                      <w:lang w:eastAsia="zh-CN"/>
                    </w:rPr>
                    <w:t>低毒</w:t>
                  </w:r>
                </w:p>
              </w:tc>
            </w:tr>
            <w:tr w14:paraId="3FEB4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shd w:val="clear" w:color="auto" w:fill="auto"/>
                  <w:vAlign w:val="center"/>
                </w:tcPr>
                <w:p w14:paraId="0BDA792B">
                  <w:pPr>
                    <w:spacing w:line="240" w:lineRule="auto"/>
                    <w:ind w:firstLine="0" w:firstLineChars="0"/>
                    <w:jc w:val="center"/>
                    <w:rPr>
                      <w:rFonts w:hint="default" w:ascii="Times New Roman" w:hAnsi="Times New Roman" w:eastAsia="宋体" w:cs="Times New Roman"/>
                      <w:color w:val="000000"/>
                      <w:spacing w:val="0"/>
                      <w:kern w:val="2"/>
                      <w:sz w:val="21"/>
                      <w:szCs w:val="21"/>
                      <w:shd w:val="clear" w:color="auto" w:fill="FFFFFF"/>
                      <w:lang w:val="en-US" w:eastAsia="zh-CN" w:bidi="ar-SA"/>
                    </w:rPr>
                  </w:pPr>
                  <w:r>
                    <w:rPr>
                      <w:rFonts w:ascii="Times New Roman" w:hAnsi="Times New Roman"/>
                      <w:color w:val="000000"/>
                      <w:spacing w:val="0"/>
                      <w:sz w:val="21"/>
                      <w:szCs w:val="21"/>
                      <w:shd w:val="clear" w:color="auto" w:fill="FFFFFF"/>
                    </w:rPr>
                    <w:t>促进剂</w:t>
                  </w:r>
                  <w:r>
                    <w:rPr>
                      <w:rFonts w:hint="eastAsia" w:ascii="Times New Roman" w:hAnsi="Times New Roman"/>
                      <w:color w:val="000000"/>
                      <w:spacing w:val="0"/>
                      <w:sz w:val="21"/>
                      <w:szCs w:val="21"/>
                      <w:shd w:val="clear" w:color="auto" w:fill="FFFFFF"/>
                      <w:lang w:val="en-US" w:eastAsia="zh-CN"/>
                    </w:rPr>
                    <w:t>CZ</w:t>
                  </w:r>
                </w:p>
              </w:tc>
              <w:tc>
                <w:tcPr>
                  <w:tcW w:w="1318" w:type="dxa"/>
                  <w:shd w:val="clear" w:color="auto" w:fill="auto"/>
                  <w:vAlign w:val="center"/>
                </w:tcPr>
                <w:p w14:paraId="25390BE1">
                  <w:pPr>
                    <w:spacing w:line="240" w:lineRule="auto"/>
                    <w:ind w:firstLine="0" w:firstLineChars="0"/>
                    <w:jc w:val="center"/>
                    <w:rPr>
                      <w:rFonts w:hint="eastAsia" w:ascii="Times New Roman" w:hAnsi="Times New Roman" w:eastAsia="宋体" w:cs="Times New Roman"/>
                      <w:color w:val="000000"/>
                      <w:spacing w:val="0"/>
                      <w:kern w:val="2"/>
                      <w:sz w:val="21"/>
                      <w:szCs w:val="21"/>
                      <w:shd w:val="clear" w:color="auto" w:fill="FFFFFF"/>
                      <w:lang w:val="en-US" w:eastAsia="zh-CN" w:bidi="ar-SA"/>
                    </w:rPr>
                  </w:pPr>
                  <w:r>
                    <w:rPr>
                      <w:rFonts w:ascii="Times New Roman" w:hAnsi="Times New Roman"/>
                      <w:color w:val="000000"/>
                      <w:spacing w:val="0"/>
                      <w:sz w:val="21"/>
                      <w:szCs w:val="21"/>
                      <w:shd w:val="clear" w:color="auto" w:fill="FFFFFF"/>
                    </w:rPr>
                    <w:t>C</w:t>
                  </w:r>
                  <w:r>
                    <w:rPr>
                      <w:rFonts w:ascii="Times New Roman" w:hAnsi="Times New Roman"/>
                      <w:color w:val="000000"/>
                      <w:spacing w:val="0"/>
                      <w:sz w:val="21"/>
                      <w:szCs w:val="21"/>
                      <w:shd w:val="clear" w:color="auto" w:fill="FFFFFF"/>
                      <w:vertAlign w:val="subscript"/>
                    </w:rPr>
                    <w:t>18</w:t>
                  </w:r>
                  <w:r>
                    <w:rPr>
                      <w:rFonts w:ascii="Times New Roman" w:hAnsi="Times New Roman"/>
                      <w:color w:val="000000"/>
                      <w:spacing w:val="0"/>
                      <w:sz w:val="21"/>
                      <w:szCs w:val="21"/>
                      <w:shd w:val="clear" w:color="auto" w:fill="FFFFFF"/>
                    </w:rPr>
                    <w:t>H</w:t>
                  </w:r>
                  <w:r>
                    <w:rPr>
                      <w:rFonts w:ascii="Times New Roman" w:hAnsi="Times New Roman"/>
                      <w:color w:val="000000"/>
                      <w:spacing w:val="0"/>
                      <w:sz w:val="21"/>
                      <w:szCs w:val="21"/>
                      <w:shd w:val="clear" w:color="auto" w:fill="FFFFFF"/>
                      <w:vertAlign w:val="subscript"/>
                    </w:rPr>
                    <w:t>36</w:t>
                  </w:r>
                  <w:r>
                    <w:rPr>
                      <w:rFonts w:ascii="Times New Roman" w:hAnsi="Times New Roman"/>
                      <w:color w:val="000000"/>
                      <w:spacing w:val="0"/>
                      <w:sz w:val="21"/>
                      <w:szCs w:val="21"/>
                      <w:shd w:val="clear" w:color="auto" w:fill="FFFFFF"/>
                    </w:rPr>
                    <w:t>N</w:t>
                  </w:r>
                  <w:r>
                    <w:rPr>
                      <w:rFonts w:ascii="Times New Roman" w:hAnsi="Times New Roman"/>
                      <w:color w:val="000000"/>
                      <w:spacing w:val="0"/>
                      <w:sz w:val="21"/>
                      <w:szCs w:val="21"/>
                      <w:shd w:val="clear" w:color="auto" w:fill="FFFFFF"/>
                      <w:vertAlign w:val="subscript"/>
                    </w:rPr>
                    <w:t>2</w:t>
                  </w:r>
                  <w:r>
                    <w:rPr>
                      <w:rFonts w:ascii="Times New Roman" w:hAnsi="Times New Roman"/>
                      <w:color w:val="000000"/>
                      <w:spacing w:val="0"/>
                      <w:sz w:val="21"/>
                      <w:szCs w:val="21"/>
                      <w:shd w:val="clear" w:color="auto" w:fill="FFFFFF"/>
                    </w:rPr>
                    <w:t>S</w:t>
                  </w:r>
                  <w:r>
                    <w:rPr>
                      <w:rFonts w:ascii="Times New Roman" w:hAnsi="Times New Roman"/>
                      <w:color w:val="000000"/>
                      <w:spacing w:val="0"/>
                      <w:sz w:val="21"/>
                      <w:szCs w:val="21"/>
                      <w:shd w:val="clear" w:color="auto" w:fill="FFFFFF"/>
                      <w:vertAlign w:val="subscript"/>
                    </w:rPr>
                    <w:t>4</w:t>
                  </w:r>
                  <w:r>
                    <w:rPr>
                      <w:rFonts w:ascii="Times New Roman" w:hAnsi="Times New Roman"/>
                      <w:color w:val="000000"/>
                      <w:spacing w:val="0"/>
                      <w:sz w:val="21"/>
                      <w:szCs w:val="21"/>
                      <w:shd w:val="clear" w:color="auto" w:fill="FFFFFF"/>
                    </w:rPr>
                    <w:t>Zn</w:t>
                  </w:r>
                </w:p>
              </w:tc>
              <w:tc>
                <w:tcPr>
                  <w:tcW w:w="3686" w:type="dxa"/>
                  <w:shd w:val="clear" w:color="auto" w:fill="auto"/>
                  <w:vAlign w:val="center"/>
                </w:tcPr>
                <w:p w14:paraId="08ED3267">
                  <w:pPr>
                    <w:spacing w:line="240" w:lineRule="auto"/>
                    <w:ind w:firstLine="0" w:firstLineChars="0"/>
                    <w:jc w:val="center"/>
                    <w:rPr>
                      <w:rFonts w:hint="eastAsia" w:ascii="Times New Roman" w:hAnsi="Times New Roman" w:eastAsia="宋体" w:cs="Times New Roman"/>
                      <w:color w:val="000000"/>
                      <w:spacing w:val="0"/>
                      <w:kern w:val="2"/>
                      <w:sz w:val="21"/>
                      <w:szCs w:val="21"/>
                      <w:shd w:val="clear" w:color="auto" w:fill="FFFFFF"/>
                      <w:lang w:val="en-US" w:eastAsia="zh-CN" w:bidi="ar-SA"/>
                    </w:rPr>
                  </w:pPr>
                  <w:r>
                    <w:rPr>
                      <w:rFonts w:ascii="Times New Roman" w:hAnsi="Times New Roman"/>
                      <w:color w:val="000000"/>
                      <w:spacing w:val="0"/>
                      <w:sz w:val="21"/>
                      <w:szCs w:val="21"/>
                      <w:shd w:val="clear" w:color="auto" w:fill="FFFFFF"/>
                    </w:rPr>
                    <w:t>乳白色或白色粉末。有特殊气味，密度1.18～1.24，熔点（</w:t>
                  </w:r>
                  <w:r>
                    <w:rPr>
                      <w:rFonts w:hint="eastAsia" w:ascii="宋体" w:hAnsi="宋体" w:cs="宋体"/>
                      <w:color w:val="000000"/>
                      <w:spacing w:val="0"/>
                      <w:sz w:val="21"/>
                      <w:szCs w:val="21"/>
                      <w:shd w:val="clear" w:color="auto" w:fill="FFFFFF"/>
                    </w:rPr>
                    <w:t>℃</w:t>
                  </w:r>
                  <w:r>
                    <w:rPr>
                      <w:rFonts w:ascii="Times New Roman" w:hAnsi="Times New Roman"/>
                      <w:color w:val="000000"/>
                      <w:spacing w:val="0"/>
                      <w:sz w:val="21"/>
                      <w:szCs w:val="21"/>
                      <w:shd w:val="clear" w:color="auto" w:fill="FFFFFF"/>
                    </w:rPr>
                    <w:t>）104～108</w:t>
                  </w:r>
                  <w:r>
                    <w:rPr>
                      <w:rFonts w:hint="eastAsia" w:ascii="宋体" w:hAnsi="宋体" w:cs="宋体"/>
                      <w:color w:val="000000"/>
                      <w:spacing w:val="0"/>
                      <w:sz w:val="21"/>
                      <w:szCs w:val="21"/>
                      <w:shd w:val="clear" w:color="auto" w:fill="FFFFFF"/>
                    </w:rPr>
                    <w:t>℃</w:t>
                  </w:r>
                  <w:r>
                    <w:rPr>
                      <w:rFonts w:ascii="Times New Roman" w:hAnsi="Times New Roman"/>
                      <w:color w:val="000000"/>
                      <w:spacing w:val="0"/>
                      <w:sz w:val="21"/>
                      <w:szCs w:val="21"/>
                      <w:shd w:val="clear" w:color="auto" w:fill="FFFFFF"/>
                    </w:rPr>
                    <w:t>，溶于</w:t>
                  </w:r>
                  <w:r>
                    <w:rPr>
                      <w:rFonts w:ascii="Times New Roman" w:hAnsi="Times New Roman"/>
                      <w:color w:val="000000"/>
                      <w:spacing w:val="0"/>
                      <w:sz w:val="21"/>
                      <w:szCs w:val="21"/>
                      <w:shd w:val="clear" w:color="auto" w:fill="FFFFFF"/>
                    </w:rPr>
                    <w:fldChar w:fldCharType="begin"/>
                  </w:r>
                  <w:r>
                    <w:rPr>
                      <w:rFonts w:ascii="Times New Roman" w:hAnsi="Times New Roman"/>
                      <w:color w:val="000000"/>
                      <w:spacing w:val="0"/>
                      <w:sz w:val="21"/>
                      <w:szCs w:val="21"/>
                      <w:shd w:val="clear" w:color="auto" w:fill="FFFFFF"/>
                    </w:rPr>
                    <w:instrText xml:space="preserve"> HYPERLINK "https://baike.baidu.com/item/%E8%8B%AF" </w:instrText>
                  </w:r>
                  <w:r>
                    <w:rPr>
                      <w:rFonts w:ascii="Times New Roman" w:hAnsi="Times New Roman"/>
                      <w:color w:val="000000"/>
                      <w:spacing w:val="0"/>
                      <w:sz w:val="21"/>
                      <w:szCs w:val="21"/>
                      <w:shd w:val="clear" w:color="auto" w:fill="FFFFFF"/>
                    </w:rPr>
                    <w:fldChar w:fldCharType="separate"/>
                  </w:r>
                  <w:r>
                    <w:rPr>
                      <w:rStyle w:val="30"/>
                      <w:rFonts w:ascii="Times New Roman" w:hAnsi="Times New Roman"/>
                      <w:color w:val="000000"/>
                      <w:spacing w:val="0"/>
                      <w:sz w:val="21"/>
                      <w:szCs w:val="21"/>
                      <w:shd w:val="clear" w:color="auto" w:fill="FFFFFF"/>
                    </w:rPr>
                    <w:t>苯</w:t>
                  </w:r>
                  <w:r>
                    <w:rPr>
                      <w:rFonts w:ascii="Times New Roman" w:hAnsi="Times New Roman"/>
                      <w:color w:val="000000"/>
                      <w:spacing w:val="0"/>
                      <w:sz w:val="21"/>
                      <w:szCs w:val="21"/>
                      <w:shd w:val="clear" w:color="auto" w:fill="FFFFFF"/>
                    </w:rPr>
                    <w:fldChar w:fldCharType="end"/>
                  </w:r>
                  <w:r>
                    <w:rPr>
                      <w:rFonts w:ascii="Times New Roman" w:hAnsi="Times New Roman"/>
                      <w:color w:val="000000"/>
                      <w:sz w:val="21"/>
                      <w:szCs w:val="21"/>
                    </w:rPr>
                    <w:t>、</w:t>
                  </w:r>
                  <w:r>
                    <w:rPr>
                      <w:rFonts w:ascii="Times New Roman" w:hAnsi="Times New Roman"/>
                      <w:color w:val="000000"/>
                      <w:spacing w:val="0"/>
                      <w:sz w:val="21"/>
                      <w:szCs w:val="21"/>
                      <w:shd w:val="clear" w:color="auto" w:fill="FFFFFF"/>
                    </w:rPr>
                    <w:t>硫化氢、</w:t>
                  </w:r>
                  <w:r>
                    <w:rPr>
                      <w:rFonts w:ascii="Times New Roman" w:hAnsi="Times New Roman"/>
                      <w:color w:val="000000"/>
                      <w:spacing w:val="0"/>
                      <w:sz w:val="21"/>
                      <w:szCs w:val="21"/>
                      <w:shd w:val="clear" w:color="auto" w:fill="FFFFFF"/>
                    </w:rPr>
                    <w:fldChar w:fldCharType="begin"/>
                  </w:r>
                  <w:r>
                    <w:rPr>
                      <w:rFonts w:ascii="Times New Roman" w:hAnsi="Times New Roman"/>
                      <w:color w:val="000000"/>
                      <w:spacing w:val="0"/>
                      <w:sz w:val="21"/>
                      <w:szCs w:val="21"/>
                      <w:shd w:val="clear" w:color="auto" w:fill="FFFFFF"/>
                    </w:rPr>
                    <w:instrText xml:space="preserve"> HYPERLINK "https://baike.baidu.com/item/%E6%B0%AF%E4%BB%BF" </w:instrText>
                  </w:r>
                  <w:r>
                    <w:rPr>
                      <w:rFonts w:ascii="Times New Roman" w:hAnsi="Times New Roman"/>
                      <w:color w:val="000000"/>
                      <w:spacing w:val="0"/>
                      <w:sz w:val="21"/>
                      <w:szCs w:val="21"/>
                      <w:shd w:val="clear" w:color="auto" w:fill="FFFFFF"/>
                    </w:rPr>
                    <w:fldChar w:fldCharType="separate"/>
                  </w:r>
                  <w:r>
                    <w:rPr>
                      <w:rStyle w:val="30"/>
                      <w:rFonts w:ascii="Times New Roman" w:hAnsi="Times New Roman"/>
                      <w:color w:val="000000"/>
                      <w:spacing w:val="0"/>
                      <w:sz w:val="21"/>
                      <w:szCs w:val="21"/>
                      <w:shd w:val="clear" w:color="auto" w:fill="FFFFFF"/>
                    </w:rPr>
                    <w:t>氯仿</w:t>
                  </w:r>
                  <w:r>
                    <w:rPr>
                      <w:rFonts w:ascii="Times New Roman" w:hAnsi="Times New Roman"/>
                      <w:color w:val="000000"/>
                      <w:spacing w:val="0"/>
                      <w:sz w:val="21"/>
                      <w:szCs w:val="21"/>
                      <w:shd w:val="clear" w:color="auto" w:fill="FFFFFF"/>
                    </w:rPr>
                    <w:fldChar w:fldCharType="end"/>
                  </w:r>
                  <w:r>
                    <w:rPr>
                      <w:rFonts w:ascii="Times New Roman" w:hAnsi="Times New Roman"/>
                      <w:color w:val="000000"/>
                      <w:sz w:val="21"/>
                      <w:szCs w:val="21"/>
                    </w:rPr>
                    <w:t>、二氯甲烷，微溶于汽油。不溶于水和稀碱。</w:t>
                  </w:r>
                  <w:r>
                    <w:rPr>
                      <w:rFonts w:ascii="Times New Roman" w:hAnsi="Times New Roman"/>
                      <w:color w:val="000000"/>
                      <w:spacing w:val="0"/>
                      <w:sz w:val="21"/>
                      <w:szCs w:val="21"/>
                      <w:shd w:val="clear" w:color="auto" w:fill="FFFFFF"/>
                    </w:rPr>
                    <w:t>用作天然橡胶、</w:t>
                  </w:r>
                  <w:r>
                    <w:rPr>
                      <w:rFonts w:ascii="Times New Roman" w:hAnsi="Times New Roman"/>
                      <w:color w:val="000000"/>
                      <w:spacing w:val="0"/>
                      <w:sz w:val="21"/>
                      <w:szCs w:val="21"/>
                      <w:shd w:val="clear" w:color="auto" w:fill="FFFFFF"/>
                    </w:rPr>
                    <w:fldChar w:fldCharType="begin"/>
                  </w:r>
                  <w:r>
                    <w:rPr>
                      <w:rFonts w:ascii="Times New Roman" w:hAnsi="Times New Roman"/>
                      <w:color w:val="000000"/>
                      <w:spacing w:val="0"/>
                      <w:sz w:val="21"/>
                      <w:szCs w:val="21"/>
                      <w:shd w:val="clear" w:color="auto" w:fill="FFFFFF"/>
                    </w:rPr>
                    <w:instrText xml:space="preserve"> HYPERLINK "https://baike.baidu.com/item/%E4%B8%81%E8%8B%AF%E8%83%B6" </w:instrText>
                  </w:r>
                  <w:r>
                    <w:rPr>
                      <w:rFonts w:ascii="Times New Roman" w:hAnsi="Times New Roman"/>
                      <w:color w:val="000000"/>
                      <w:spacing w:val="0"/>
                      <w:sz w:val="21"/>
                      <w:szCs w:val="21"/>
                      <w:shd w:val="clear" w:color="auto" w:fill="FFFFFF"/>
                    </w:rPr>
                    <w:fldChar w:fldCharType="separate"/>
                  </w:r>
                  <w:r>
                    <w:rPr>
                      <w:rStyle w:val="30"/>
                      <w:rFonts w:ascii="Times New Roman" w:hAnsi="Times New Roman"/>
                      <w:color w:val="000000"/>
                      <w:spacing w:val="0"/>
                      <w:sz w:val="21"/>
                      <w:szCs w:val="21"/>
                      <w:shd w:val="clear" w:color="auto" w:fill="FFFFFF"/>
                    </w:rPr>
                    <w:t>丁苯胶</w:t>
                  </w:r>
                  <w:r>
                    <w:rPr>
                      <w:rFonts w:ascii="Times New Roman" w:hAnsi="Times New Roman"/>
                      <w:color w:val="000000"/>
                      <w:spacing w:val="0"/>
                      <w:sz w:val="21"/>
                      <w:szCs w:val="21"/>
                      <w:shd w:val="clear" w:color="auto" w:fill="FFFFFF"/>
                    </w:rPr>
                    <w:fldChar w:fldCharType="end"/>
                  </w:r>
                  <w:r>
                    <w:rPr>
                      <w:rFonts w:ascii="Times New Roman" w:hAnsi="Times New Roman"/>
                      <w:color w:val="000000"/>
                      <w:sz w:val="21"/>
                      <w:szCs w:val="21"/>
                    </w:rPr>
                    <w:t>、异戊胶及其胶乳化剂的硫化促进剂</w:t>
                  </w:r>
                </w:p>
              </w:tc>
              <w:tc>
                <w:tcPr>
                  <w:tcW w:w="1628" w:type="dxa"/>
                  <w:shd w:val="clear" w:color="auto" w:fill="auto"/>
                  <w:vAlign w:val="center"/>
                </w:tcPr>
                <w:p w14:paraId="6FB00592">
                  <w:pPr>
                    <w:spacing w:line="240" w:lineRule="auto"/>
                    <w:ind w:firstLine="0" w:firstLineChars="0"/>
                    <w:jc w:val="center"/>
                    <w:rPr>
                      <w:rFonts w:ascii="Times New Roman" w:hAnsi="Times New Roman" w:eastAsia="宋体" w:cs="Times New Roman"/>
                      <w:color w:val="000000"/>
                      <w:spacing w:val="0"/>
                      <w:kern w:val="2"/>
                      <w:sz w:val="21"/>
                      <w:szCs w:val="21"/>
                      <w:shd w:val="clear" w:color="auto" w:fill="FFFFFF"/>
                      <w:lang w:val="en-US" w:eastAsia="zh-CN" w:bidi="ar-SA"/>
                    </w:rPr>
                  </w:pPr>
                  <w:r>
                    <w:rPr>
                      <w:rFonts w:ascii="Times New Roman" w:hAnsi="Times New Roman"/>
                      <w:color w:val="000000"/>
                      <w:spacing w:val="0"/>
                      <w:sz w:val="21"/>
                      <w:szCs w:val="21"/>
                      <w:shd w:val="clear" w:color="auto" w:fill="FFFFFF"/>
                    </w:rPr>
                    <w:t>/</w:t>
                  </w:r>
                </w:p>
              </w:tc>
              <w:tc>
                <w:tcPr>
                  <w:tcW w:w="819" w:type="dxa"/>
                  <w:shd w:val="clear" w:color="auto" w:fill="auto"/>
                  <w:vAlign w:val="center"/>
                </w:tcPr>
                <w:p w14:paraId="3CC0AD3A">
                  <w:pPr>
                    <w:spacing w:line="240" w:lineRule="auto"/>
                    <w:ind w:firstLine="0" w:firstLineChars="0"/>
                    <w:jc w:val="center"/>
                    <w:rPr>
                      <w:rFonts w:ascii="Times New Roman" w:hAnsi="Times New Roman" w:eastAsia="宋体" w:cs="Times New Roman"/>
                      <w:color w:val="000000"/>
                      <w:spacing w:val="0"/>
                      <w:kern w:val="2"/>
                      <w:sz w:val="21"/>
                      <w:szCs w:val="21"/>
                      <w:shd w:val="clear" w:color="auto" w:fill="FFFFFF"/>
                      <w:lang w:val="en-US" w:eastAsia="zh-CN" w:bidi="ar-SA"/>
                    </w:rPr>
                  </w:pPr>
                  <w:r>
                    <w:rPr>
                      <w:rFonts w:ascii="Times New Roman" w:hAnsi="Times New Roman"/>
                      <w:color w:val="000000"/>
                      <w:spacing w:val="0"/>
                      <w:sz w:val="21"/>
                      <w:szCs w:val="21"/>
                      <w:shd w:val="clear" w:color="auto" w:fill="FFFFFF"/>
                    </w:rPr>
                    <w:t>无毒</w:t>
                  </w:r>
                </w:p>
              </w:tc>
            </w:tr>
            <w:tr w14:paraId="7F724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shd w:val="clear" w:color="auto" w:fill="auto"/>
                  <w:vAlign w:val="center"/>
                </w:tcPr>
                <w:p w14:paraId="5C6DFBC2">
                  <w:pPr>
                    <w:spacing w:line="240" w:lineRule="auto"/>
                    <w:ind w:firstLine="0" w:firstLineChars="0"/>
                    <w:jc w:val="center"/>
                    <w:rPr>
                      <w:rFonts w:hint="eastAsia" w:ascii="Times New Roman" w:hAnsi="Times New Roman" w:eastAsia="宋体" w:cs="Times New Roman"/>
                      <w:color w:val="000000"/>
                      <w:spacing w:val="0"/>
                      <w:kern w:val="2"/>
                      <w:sz w:val="21"/>
                      <w:szCs w:val="21"/>
                      <w:shd w:val="clear" w:color="auto" w:fill="FFFFFF"/>
                      <w:lang w:val="en-US" w:eastAsia="zh-CN" w:bidi="ar-SA"/>
                    </w:rPr>
                  </w:pPr>
                  <w:r>
                    <w:rPr>
                      <w:rFonts w:hint="eastAsia" w:cs="Times New Roman"/>
                      <w:b w:val="0"/>
                      <w:bCs w:val="0"/>
                      <w:color w:val="auto"/>
                      <w:sz w:val="21"/>
                      <w:szCs w:val="21"/>
                      <w:lang w:val="en-US" w:eastAsia="zh-CN"/>
                    </w:rPr>
                    <w:t>硫磺</w:t>
                  </w:r>
                </w:p>
              </w:tc>
              <w:tc>
                <w:tcPr>
                  <w:tcW w:w="1318" w:type="dxa"/>
                  <w:shd w:val="clear" w:color="auto" w:fill="auto"/>
                  <w:vAlign w:val="center"/>
                </w:tcPr>
                <w:p w14:paraId="55C4DE5B">
                  <w:pPr>
                    <w:spacing w:line="240" w:lineRule="auto"/>
                    <w:ind w:firstLine="0" w:firstLineChars="0"/>
                    <w:jc w:val="center"/>
                    <w:rPr>
                      <w:rFonts w:hint="eastAsia" w:ascii="Times New Roman" w:hAnsi="Times New Roman" w:eastAsia="宋体" w:cs="Times New Roman"/>
                      <w:color w:val="000000"/>
                      <w:spacing w:val="0"/>
                      <w:kern w:val="2"/>
                      <w:sz w:val="21"/>
                      <w:szCs w:val="21"/>
                      <w:shd w:val="clear" w:color="auto" w:fill="FFFFFF"/>
                      <w:lang w:val="en-US" w:eastAsia="zh-CN" w:bidi="ar-SA"/>
                    </w:rPr>
                  </w:pPr>
                  <w:r>
                    <w:rPr>
                      <w:rFonts w:hint="eastAsia" w:ascii="Times New Roman" w:hAnsi="Times New Roman"/>
                      <w:color w:val="000000"/>
                      <w:spacing w:val="0"/>
                      <w:sz w:val="21"/>
                      <w:szCs w:val="21"/>
                      <w:shd w:val="clear" w:color="auto" w:fill="FFFFFF"/>
                      <w:lang w:val="en-US" w:eastAsia="zh-CN"/>
                    </w:rPr>
                    <w:t>/</w:t>
                  </w:r>
                </w:p>
              </w:tc>
              <w:tc>
                <w:tcPr>
                  <w:tcW w:w="3686" w:type="dxa"/>
                  <w:shd w:val="clear" w:color="auto" w:fill="auto"/>
                  <w:vAlign w:val="center"/>
                </w:tcPr>
                <w:p w14:paraId="59B0CF28">
                  <w:pPr>
                    <w:spacing w:line="240" w:lineRule="auto"/>
                    <w:ind w:firstLine="0" w:firstLineChars="0"/>
                    <w:jc w:val="center"/>
                    <w:rPr>
                      <w:rFonts w:hint="eastAsia" w:ascii="Times New Roman" w:hAnsi="Times New Roman" w:eastAsia="宋体" w:cs="Times New Roman"/>
                      <w:color w:val="000000"/>
                      <w:spacing w:val="0"/>
                      <w:kern w:val="2"/>
                      <w:sz w:val="21"/>
                      <w:szCs w:val="21"/>
                      <w:shd w:val="clear" w:color="auto" w:fill="FFFFFF"/>
                      <w:lang w:val="en-US" w:eastAsia="zh-CN" w:bidi="ar-SA"/>
                    </w:rPr>
                  </w:pPr>
                  <w:r>
                    <w:rPr>
                      <w:rFonts w:hint="eastAsia" w:ascii="Times New Roman" w:hAnsi="Times New Roman"/>
                      <w:color w:val="000000"/>
                      <w:spacing w:val="0"/>
                      <w:sz w:val="21"/>
                      <w:szCs w:val="21"/>
                      <w:shd w:val="clear" w:color="auto" w:fill="FFFFFF"/>
                    </w:rPr>
                    <w:t>是橡胶工业中最重要的硫化剂，在天然胶及合成橡胶中使用最广泛，外观呈黄色，比重1.96-2.07g/cm</w:t>
                  </w:r>
                  <w:r>
                    <w:rPr>
                      <w:rFonts w:hint="eastAsia" w:ascii="Times New Roman" w:hAnsi="Times New Roman"/>
                      <w:color w:val="000000"/>
                      <w:spacing w:val="0"/>
                      <w:sz w:val="21"/>
                      <w:szCs w:val="21"/>
                      <w:shd w:val="clear" w:color="auto" w:fill="FFFFFF"/>
                      <w:vertAlign w:val="superscript"/>
                    </w:rPr>
                    <w:t>3</w:t>
                  </w:r>
                  <w:r>
                    <w:rPr>
                      <w:rFonts w:hint="eastAsia" w:ascii="Times New Roman" w:hAnsi="Times New Roman"/>
                      <w:color w:val="000000"/>
                      <w:spacing w:val="0"/>
                      <w:sz w:val="21"/>
                      <w:szCs w:val="21"/>
                      <w:shd w:val="clear" w:color="auto" w:fill="FFFFFF"/>
                    </w:rPr>
                    <w:t>，熔点112.8-119.3℃，溶于二硫化碳、四氯化碳和苯，不溶于水，稍溶于乙醇和乙醚</w:t>
                  </w:r>
                </w:p>
              </w:tc>
              <w:tc>
                <w:tcPr>
                  <w:tcW w:w="1628" w:type="dxa"/>
                  <w:shd w:val="clear" w:color="auto" w:fill="auto"/>
                  <w:vAlign w:val="center"/>
                </w:tcPr>
                <w:p w14:paraId="48510826">
                  <w:pPr>
                    <w:spacing w:line="240" w:lineRule="auto"/>
                    <w:ind w:firstLine="0" w:firstLineChars="0"/>
                    <w:jc w:val="center"/>
                    <w:rPr>
                      <w:rFonts w:hint="eastAsia" w:ascii="Times New Roman" w:hAnsi="Times New Roman" w:eastAsia="宋体" w:cs="Times New Roman"/>
                      <w:color w:val="000000"/>
                      <w:spacing w:val="0"/>
                      <w:kern w:val="2"/>
                      <w:sz w:val="21"/>
                      <w:szCs w:val="21"/>
                      <w:shd w:val="clear" w:color="auto" w:fill="FFFFFF"/>
                      <w:lang w:val="en-US" w:eastAsia="zh-CN" w:bidi="ar-SA"/>
                    </w:rPr>
                  </w:pPr>
                  <w:r>
                    <w:rPr>
                      <w:rFonts w:hint="eastAsia" w:ascii="Times New Roman" w:hAnsi="Times New Roman"/>
                      <w:color w:val="000000"/>
                      <w:spacing w:val="0"/>
                      <w:sz w:val="21"/>
                      <w:szCs w:val="21"/>
                      <w:shd w:val="clear" w:color="auto" w:fill="FFFFFF"/>
                      <w:lang w:val="en-US" w:eastAsia="zh-CN"/>
                    </w:rPr>
                    <w:t>易燃</w:t>
                  </w:r>
                </w:p>
              </w:tc>
              <w:tc>
                <w:tcPr>
                  <w:tcW w:w="819" w:type="dxa"/>
                  <w:shd w:val="clear" w:color="auto" w:fill="auto"/>
                  <w:vAlign w:val="center"/>
                </w:tcPr>
                <w:p w14:paraId="0E569E38">
                  <w:pPr>
                    <w:spacing w:line="240" w:lineRule="auto"/>
                    <w:ind w:firstLine="0" w:firstLineChars="0"/>
                    <w:jc w:val="center"/>
                    <w:rPr>
                      <w:rFonts w:hint="eastAsia" w:ascii="Times New Roman" w:hAnsi="Times New Roman" w:eastAsia="宋体" w:cs="Times New Roman"/>
                      <w:color w:val="000000"/>
                      <w:spacing w:val="0"/>
                      <w:kern w:val="2"/>
                      <w:sz w:val="21"/>
                      <w:szCs w:val="21"/>
                      <w:shd w:val="clear" w:color="auto" w:fill="FFFFFF"/>
                      <w:lang w:val="en-US" w:eastAsia="zh-CN" w:bidi="ar-SA"/>
                    </w:rPr>
                  </w:pPr>
                  <w:r>
                    <w:rPr>
                      <w:rFonts w:hint="eastAsia" w:ascii="Times New Roman" w:hAnsi="Times New Roman"/>
                      <w:color w:val="000000"/>
                      <w:spacing w:val="0"/>
                      <w:sz w:val="21"/>
                      <w:szCs w:val="21"/>
                      <w:shd w:val="clear" w:color="auto" w:fill="FFFFFF"/>
                      <w:lang w:eastAsia="zh-CN"/>
                    </w:rPr>
                    <w:t>低毒</w:t>
                  </w:r>
                </w:p>
              </w:tc>
            </w:tr>
            <w:tr w14:paraId="02CB8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shd w:val="clear" w:color="auto" w:fill="auto"/>
                  <w:vAlign w:val="center"/>
                </w:tcPr>
                <w:p w14:paraId="51F23618">
                  <w:pPr>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胶黏剂</w:t>
                  </w:r>
                </w:p>
              </w:tc>
              <w:tc>
                <w:tcPr>
                  <w:tcW w:w="1318" w:type="dxa"/>
                  <w:shd w:val="clear" w:color="auto" w:fill="auto"/>
                  <w:vAlign w:val="center"/>
                </w:tcPr>
                <w:p w14:paraId="7CEEA05A">
                  <w:pPr>
                    <w:spacing w:line="240" w:lineRule="auto"/>
                    <w:ind w:firstLine="0" w:firstLineChars="0"/>
                    <w:jc w:val="center"/>
                    <w:rPr>
                      <w:rFonts w:hint="eastAsia" w:ascii="Times New Roman" w:hAnsi="Times New Roman" w:eastAsia="宋体" w:cs="Times New Roman"/>
                      <w:color w:val="000000"/>
                      <w:spacing w:val="0"/>
                      <w:kern w:val="2"/>
                      <w:sz w:val="21"/>
                      <w:szCs w:val="21"/>
                      <w:shd w:val="clear" w:color="auto" w:fill="FFFFFF"/>
                      <w:lang w:val="en-US" w:eastAsia="zh-CN" w:bidi="ar-SA"/>
                    </w:rPr>
                  </w:pPr>
                  <w:r>
                    <w:rPr>
                      <w:rFonts w:hint="eastAsia" w:ascii="Times New Roman" w:hAnsi="Times New Roman"/>
                      <w:color w:val="000000"/>
                      <w:spacing w:val="0"/>
                      <w:sz w:val="21"/>
                      <w:szCs w:val="21"/>
                      <w:shd w:val="clear" w:color="auto" w:fill="FFFFFF"/>
                      <w:lang w:val="en-US" w:eastAsia="zh-CN"/>
                    </w:rPr>
                    <w:t>/</w:t>
                  </w:r>
                </w:p>
              </w:tc>
              <w:tc>
                <w:tcPr>
                  <w:tcW w:w="3686" w:type="dxa"/>
                  <w:shd w:val="clear" w:color="auto" w:fill="auto"/>
                  <w:vAlign w:val="center"/>
                </w:tcPr>
                <w:p w14:paraId="464481A1">
                  <w:pPr>
                    <w:spacing w:line="240" w:lineRule="auto"/>
                    <w:ind w:firstLine="0" w:firstLineChars="0"/>
                    <w:jc w:val="center"/>
                    <w:rPr>
                      <w:rFonts w:hint="eastAsia" w:ascii="Times New Roman" w:hAnsi="Times New Roman" w:eastAsia="宋体" w:cs="Times New Roman"/>
                      <w:color w:val="000000"/>
                      <w:spacing w:val="0"/>
                      <w:kern w:val="2"/>
                      <w:sz w:val="21"/>
                      <w:szCs w:val="21"/>
                      <w:shd w:val="clear" w:color="auto" w:fill="FFFFFF"/>
                      <w:lang w:val="en-US" w:eastAsia="zh-CN" w:bidi="ar-SA"/>
                    </w:rPr>
                  </w:pPr>
                  <w:r>
                    <w:rPr>
                      <w:rFonts w:hint="eastAsia" w:ascii="Times New Roman" w:hAnsi="Times New Roman"/>
                      <w:color w:val="000000"/>
                      <w:spacing w:val="0"/>
                      <w:sz w:val="21"/>
                      <w:szCs w:val="21"/>
                      <w:shd w:val="clear" w:color="auto" w:fill="FFFFFF"/>
                      <w:lang w:eastAsia="zh-CN"/>
                    </w:rPr>
                    <w:t>成分：</w:t>
                  </w:r>
                  <w:r>
                    <w:rPr>
                      <w:rFonts w:hint="eastAsia"/>
                      <w:color w:val="000000"/>
                      <w:spacing w:val="0"/>
                      <w:sz w:val="21"/>
                      <w:szCs w:val="21"/>
                      <w:shd w:val="clear" w:color="auto" w:fill="FFFFFF"/>
                      <w:lang w:val="en-US" w:eastAsia="zh-CN"/>
                    </w:rPr>
                    <w:t>15%二甲苯</w:t>
                  </w:r>
                  <w:r>
                    <w:rPr>
                      <w:rFonts w:hint="eastAsia"/>
                      <w:color w:val="000000"/>
                      <w:spacing w:val="0"/>
                      <w:sz w:val="21"/>
                      <w:szCs w:val="21"/>
                      <w:shd w:val="clear" w:color="auto" w:fill="FFFFFF"/>
                      <w:lang w:eastAsia="zh-CN"/>
                    </w:rPr>
                    <w:t>、</w:t>
                  </w:r>
                  <w:r>
                    <w:rPr>
                      <w:rFonts w:hint="eastAsia"/>
                      <w:color w:val="000000"/>
                      <w:spacing w:val="0"/>
                      <w:sz w:val="21"/>
                      <w:szCs w:val="21"/>
                      <w:shd w:val="clear" w:color="auto" w:fill="FFFFFF"/>
                      <w:lang w:val="en-US" w:eastAsia="zh-CN"/>
                    </w:rPr>
                    <w:t>15%乙苯、15%缩水甘油醚氧基丙基三甲氧基硅烷、15%碳酸二甲酯、20%氮取代的芳香化合物、20%碳黑</w:t>
                  </w:r>
                  <w:r>
                    <w:rPr>
                      <w:rFonts w:hint="eastAsia" w:ascii="Times New Roman" w:hAnsi="Times New Roman"/>
                      <w:color w:val="000000"/>
                      <w:spacing w:val="0"/>
                      <w:sz w:val="21"/>
                      <w:szCs w:val="21"/>
                      <w:shd w:val="clear" w:color="auto" w:fill="FFFFFF"/>
                      <w:lang w:eastAsia="zh-CN"/>
                    </w:rPr>
                    <w:t>。</w:t>
                  </w:r>
                  <w:r>
                    <w:rPr>
                      <w:rFonts w:hint="eastAsia"/>
                      <w:color w:val="000000"/>
                      <w:spacing w:val="0"/>
                      <w:sz w:val="21"/>
                      <w:szCs w:val="21"/>
                      <w:shd w:val="clear" w:color="auto" w:fill="FFFFFF"/>
                      <w:lang w:val="en-US" w:eastAsia="zh-CN"/>
                    </w:rPr>
                    <w:t>黑色液体</w:t>
                  </w:r>
                  <w:r>
                    <w:rPr>
                      <w:rFonts w:hint="eastAsia" w:ascii="Times New Roman" w:hAnsi="Times New Roman"/>
                      <w:color w:val="000000"/>
                      <w:spacing w:val="0"/>
                      <w:sz w:val="21"/>
                      <w:szCs w:val="21"/>
                      <w:shd w:val="clear" w:color="auto" w:fill="FFFFFF"/>
                      <w:lang w:eastAsia="zh-CN"/>
                    </w:rPr>
                    <w:t>，</w:t>
                  </w:r>
                  <w:r>
                    <w:rPr>
                      <w:rFonts w:hint="eastAsia"/>
                      <w:color w:val="000000"/>
                      <w:spacing w:val="0"/>
                      <w:sz w:val="21"/>
                      <w:szCs w:val="21"/>
                      <w:shd w:val="clear" w:color="auto" w:fill="FFFFFF"/>
                      <w:lang w:val="en-US" w:eastAsia="zh-CN"/>
                    </w:rPr>
                    <w:t>密度1.05</w:t>
                  </w:r>
                  <w:r>
                    <w:rPr>
                      <w:rFonts w:hint="eastAsia" w:ascii="Times New Roman" w:hAnsi="Times New Roman"/>
                      <w:color w:val="000000"/>
                      <w:spacing w:val="0"/>
                      <w:sz w:val="21"/>
                      <w:szCs w:val="21"/>
                      <w:shd w:val="clear" w:color="auto" w:fill="FFFFFF"/>
                    </w:rPr>
                    <w:t>g/cm</w:t>
                  </w:r>
                  <w:r>
                    <w:rPr>
                      <w:rFonts w:hint="eastAsia" w:ascii="Times New Roman" w:hAnsi="Times New Roman"/>
                      <w:color w:val="000000"/>
                      <w:spacing w:val="0"/>
                      <w:sz w:val="21"/>
                      <w:szCs w:val="21"/>
                      <w:shd w:val="clear" w:color="auto" w:fill="FFFFFF"/>
                      <w:vertAlign w:val="superscript"/>
                    </w:rPr>
                    <w:t>3</w:t>
                  </w:r>
                  <w:r>
                    <w:rPr>
                      <w:rFonts w:hint="eastAsia"/>
                      <w:color w:val="000000"/>
                      <w:spacing w:val="0"/>
                      <w:sz w:val="21"/>
                      <w:szCs w:val="21"/>
                      <w:shd w:val="clear" w:color="auto" w:fill="FFFFFF"/>
                      <w:vertAlign w:val="baseline"/>
                      <w:lang w:eastAsia="zh-CN"/>
                    </w:rPr>
                    <w:t>，</w:t>
                  </w:r>
                  <w:r>
                    <w:rPr>
                      <w:rFonts w:hint="eastAsia"/>
                      <w:color w:val="000000"/>
                      <w:spacing w:val="0"/>
                      <w:sz w:val="21"/>
                      <w:szCs w:val="21"/>
                      <w:shd w:val="clear" w:color="auto" w:fill="FFFFFF"/>
                      <w:vertAlign w:val="baseline"/>
                      <w:lang w:val="en-US" w:eastAsia="zh-CN"/>
                    </w:rPr>
                    <w:t>沸程：91-141℃，粘度≥300 mPa.s</w:t>
                  </w:r>
                  <w:r>
                    <w:rPr>
                      <w:rFonts w:hint="eastAsia" w:ascii="Times New Roman" w:hAnsi="Times New Roman"/>
                      <w:color w:val="000000"/>
                      <w:spacing w:val="0"/>
                      <w:sz w:val="21"/>
                      <w:szCs w:val="21"/>
                      <w:shd w:val="clear" w:color="auto" w:fill="FFFFFF"/>
                      <w:lang w:val="en-US" w:eastAsia="zh-CN"/>
                    </w:rPr>
                    <w:t>。高温或火灾分解形成刺激性或有毒气体、有机蒸气或烟气</w:t>
                  </w:r>
                </w:p>
              </w:tc>
              <w:tc>
                <w:tcPr>
                  <w:tcW w:w="1628" w:type="dxa"/>
                  <w:shd w:val="clear" w:color="auto" w:fill="auto"/>
                  <w:vAlign w:val="center"/>
                </w:tcPr>
                <w:p w14:paraId="50CCBD0C">
                  <w:pPr>
                    <w:spacing w:line="240" w:lineRule="auto"/>
                    <w:ind w:firstLine="0" w:firstLineChars="0"/>
                    <w:jc w:val="center"/>
                    <w:rPr>
                      <w:rFonts w:hint="eastAsia" w:ascii="Times New Roman" w:hAnsi="Times New Roman" w:eastAsia="宋体" w:cs="Times New Roman"/>
                      <w:color w:val="000000"/>
                      <w:spacing w:val="0"/>
                      <w:kern w:val="2"/>
                      <w:sz w:val="21"/>
                      <w:szCs w:val="21"/>
                      <w:shd w:val="clear" w:color="auto" w:fill="FFFFFF"/>
                      <w:lang w:val="en-US" w:eastAsia="zh-CN" w:bidi="ar-SA"/>
                    </w:rPr>
                  </w:pPr>
                  <w:r>
                    <w:rPr>
                      <w:rFonts w:hint="eastAsia" w:ascii="Times New Roman" w:hAnsi="Times New Roman" w:eastAsia="宋体" w:cs="Times New Roman"/>
                      <w:color w:val="000000"/>
                      <w:spacing w:val="0"/>
                      <w:kern w:val="2"/>
                      <w:sz w:val="21"/>
                      <w:szCs w:val="21"/>
                      <w:shd w:val="clear" w:color="auto" w:fill="FFFFFF"/>
                      <w:lang w:val="en-US" w:eastAsia="zh-CN" w:bidi="ar-SA"/>
                    </w:rPr>
                    <w:t>最低爆炸极限: 1 %</w:t>
                  </w:r>
                  <w:r>
                    <w:rPr>
                      <w:rFonts w:hint="eastAsia" w:cs="Times New Roman"/>
                      <w:color w:val="000000"/>
                      <w:spacing w:val="0"/>
                      <w:kern w:val="2"/>
                      <w:sz w:val="21"/>
                      <w:szCs w:val="21"/>
                      <w:shd w:val="clear" w:color="auto" w:fill="FFFFFF"/>
                      <w:lang w:val="en-US" w:eastAsia="zh-CN" w:bidi="ar-SA"/>
                    </w:rPr>
                    <w:t>（</w:t>
                  </w:r>
                  <w:r>
                    <w:rPr>
                      <w:rFonts w:hint="eastAsia" w:ascii="Times New Roman" w:hAnsi="Times New Roman" w:eastAsia="宋体" w:cs="Times New Roman"/>
                      <w:color w:val="000000"/>
                      <w:spacing w:val="0"/>
                      <w:kern w:val="2"/>
                      <w:sz w:val="21"/>
                      <w:szCs w:val="21"/>
                      <w:shd w:val="clear" w:color="auto" w:fill="FFFFFF"/>
                      <w:lang w:val="en-US" w:eastAsia="zh-CN" w:bidi="ar-SA"/>
                    </w:rPr>
                    <w:t>V</w:t>
                  </w:r>
                  <w:r>
                    <w:rPr>
                      <w:rFonts w:hint="eastAsia" w:cs="Times New Roman"/>
                      <w:color w:val="000000"/>
                      <w:spacing w:val="0"/>
                      <w:kern w:val="2"/>
                      <w:sz w:val="21"/>
                      <w:szCs w:val="21"/>
                      <w:shd w:val="clear" w:color="auto" w:fill="FFFFFF"/>
                      <w:lang w:val="en-US" w:eastAsia="zh-CN" w:bidi="ar-SA"/>
                    </w:rPr>
                    <w:t>）</w:t>
                  </w:r>
                  <w:r>
                    <w:rPr>
                      <w:rFonts w:hint="eastAsia" w:ascii="Times New Roman" w:hAnsi="Times New Roman" w:eastAsia="宋体" w:cs="Times New Roman"/>
                      <w:color w:val="000000"/>
                      <w:spacing w:val="0"/>
                      <w:kern w:val="2"/>
                      <w:sz w:val="21"/>
                      <w:szCs w:val="21"/>
                      <w:shd w:val="clear" w:color="auto" w:fill="FFFFFF"/>
                      <w:lang w:val="en-US" w:eastAsia="zh-CN" w:bidi="ar-SA"/>
                    </w:rPr>
                    <w:t xml:space="preserve"> </w:t>
                  </w:r>
                  <w:r>
                    <w:rPr>
                      <w:rFonts w:hint="eastAsia" w:cs="Times New Roman"/>
                      <w:color w:val="000000"/>
                      <w:spacing w:val="0"/>
                      <w:kern w:val="2"/>
                      <w:sz w:val="21"/>
                      <w:szCs w:val="21"/>
                      <w:shd w:val="clear" w:color="auto" w:fill="FFFFFF"/>
                      <w:lang w:val="en-US" w:eastAsia="zh-CN" w:bidi="ar-SA"/>
                    </w:rPr>
                    <w:t>；</w:t>
                  </w:r>
                </w:p>
                <w:p w14:paraId="4DEF75C6">
                  <w:pPr>
                    <w:spacing w:line="240" w:lineRule="auto"/>
                    <w:ind w:firstLine="0" w:firstLineChars="0"/>
                    <w:jc w:val="center"/>
                    <w:rPr>
                      <w:rFonts w:hint="eastAsia" w:ascii="Times New Roman" w:hAnsi="Times New Roman" w:eastAsia="宋体" w:cs="Times New Roman"/>
                      <w:color w:val="000000"/>
                      <w:spacing w:val="0"/>
                      <w:kern w:val="2"/>
                      <w:sz w:val="21"/>
                      <w:szCs w:val="21"/>
                      <w:shd w:val="clear" w:color="auto" w:fill="FFFFFF"/>
                      <w:lang w:val="en-US" w:eastAsia="zh-CN" w:bidi="ar-SA"/>
                    </w:rPr>
                  </w:pPr>
                  <w:r>
                    <w:rPr>
                      <w:rFonts w:hint="eastAsia" w:ascii="Times New Roman" w:hAnsi="Times New Roman" w:eastAsia="宋体" w:cs="Times New Roman"/>
                      <w:color w:val="000000"/>
                      <w:spacing w:val="0"/>
                      <w:kern w:val="2"/>
                      <w:sz w:val="21"/>
                      <w:szCs w:val="21"/>
                      <w:shd w:val="clear" w:color="auto" w:fill="FFFFFF"/>
                      <w:lang w:val="en-US" w:eastAsia="zh-CN" w:bidi="ar-SA"/>
                    </w:rPr>
                    <w:t>最高爆炸极限: 7 %</w:t>
                  </w:r>
                  <w:r>
                    <w:rPr>
                      <w:rFonts w:hint="eastAsia" w:cs="Times New Roman"/>
                      <w:color w:val="000000"/>
                      <w:spacing w:val="0"/>
                      <w:kern w:val="2"/>
                      <w:sz w:val="21"/>
                      <w:szCs w:val="21"/>
                      <w:shd w:val="clear" w:color="auto" w:fill="FFFFFF"/>
                      <w:lang w:val="en-US" w:eastAsia="zh-CN" w:bidi="ar-SA"/>
                    </w:rPr>
                    <w:t>（</w:t>
                  </w:r>
                  <w:r>
                    <w:rPr>
                      <w:rFonts w:hint="eastAsia" w:ascii="Times New Roman" w:hAnsi="Times New Roman" w:eastAsia="宋体" w:cs="Times New Roman"/>
                      <w:color w:val="000000"/>
                      <w:spacing w:val="0"/>
                      <w:kern w:val="2"/>
                      <w:sz w:val="21"/>
                      <w:szCs w:val="21"/>
                      <w:shd w:val="clear" w:color="auto" w:fill="FFFFFF"/>
                      <w:lang w:val="en-US" w:eastAsia="zh-CN" w:bidi="ar-SA"/>
                    </w:rPr>
                    <w:t>V</w:t>
                  </w:r>
                  <w:r>
                    <w:rPr>
                      <w:rFonts w:hint="eastAsia" w:cs="Times New Roman"/>
                      <w:color w:val="000000"/>
                      <w:spacing w:val="0"/>
                      <w:kern w:val="2"/>
                      <w:sz w:val="21"/>
                      <w:szCs w:val="21"/>
                      <w:shd w:val="clear" w:color="auto" w:fill="FFFFFF"/>
                      <w:lang w:val="en-US" w:eastAsia="zh-CN" w:bidi="ar-SA"/>
                    </w:rPr>
                    <w:t>）</w:t>
                  </w:r>
                </w:p>
              </w:tc>
              <w:tc>
                <w:tcPr>
                  <w:tcW w:w="819" w:type="dxa"/>
                  <w:shd w:val="clear" w:color="auto" w:fill="auto"/>
                  <w:vAlign w:val="center"/>
                </w:tcPr>
                <w:p w14:paraId="2220D416">
                  <w:pPr>
                    <w:spacing w:line="240" w:lineRule="auto"/>
                    <w:ind w:firstLine="0" w:firstLineChars="0"/>
                    <w:jc w:val="center"/>
                    <w:rPr>
                      <w:rFonts w:hint="eastAsia" w:ascii="Times New Roman" w:hAnsi="Times New Roman" w:eastAsia="宋体" w:cs="Times New Roman"/>
                      <w:color w:val="000000"/>
                      <w:spacing w:val="0"/>
                      <w:kern w:val="2"/>
                      <w:sz w:val="21"/>
                      <w:szCs w:val="21"/>
                      <w:shd w:val="clear" w:color="auto" w:fill="FFFFFF"/>
                      <w:lang w:val="en-US" w:eastAsia="zh-CN" w:bidi="ar-SA"/>
                    </w:rPr>
                  </w:pPr>
                  <w:r>
                    <w:rPr>
                      <w:rFonts w:hint="eastAsia" w:ascii="Times New Roman" w:hAnsi="Times New Roman"/>
                      <w:color w:val="000000"/>
                      <w:spacing w:val="0"/>
                      <w:sz w:val="21"/>
                      <w:szCs w:val="21"/>
                      <w:shd w:val="clear" w:color="auto" w:fill="FFFFFF"/>
                      <w:lang w:eastAsia="zh-CN"/>
                    </w:rPr>
                    <w:t>无毒</w:t>
                  </w:r>
                </w:p>
              </w:tc>
            </w:tr>
          </w:tbl>
          <w:p w14:paraId="003174A2">
            <w:pPr>
              <w:numPr>
                <w:ilvl w:val="0"/>
                <w:numId w:val="0"/>
              </w:numPr>
              <w:ind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根据建设单位提供的资料</w:t>
            </w:r>
            <w:r>
              <w:rPr>
                <w:rFonts w:hint="eastAsia" w:cs="Times New Roman"/>
                <w:b w:val="0"/>
                <w:bCs w:val="0"/>
                <w:color w:val="auto"/>
                <w:kern w:val="2"/>
                <w:sz w:val="24"/>
                <w:szCs w:val="24"/>
                <w:lang w:val="en-US" w:eastAsia="zh-CN" w:bidi="ar-SA"/>
              </w:rPr>
              <w:t>以及检测报告</w:t>
            </w:r>
            <w:r>
              <w:rPr>
                <w:rFonts w:hint="eastAsia" w:ascii="Times New Roman" w:hAnsi="Times New Roman" w:eastAsia="宋体" w:cs="Times New Roman"/>
                <w:b w:val="0"/>
                <w:bCs w:val="0"/>
                <w:color w:val="auto"/>
                <w:kern w:val="2"/>
                <w:sz w:val="24"/>
                <w:szCs w:val="24"/>
                <w:lang w:val="en-US" w:eastAsia="zh-CN" w:bidi="ar-SA"/>
              </w:rPr>
              <w:t>可知在即用状态下，本项目使用的胶黏剂VOCs含量为</w:t>
            </w:r>
            <w:r>
              <w:rPr>
                <w:rFonts w:hint="eastAsia" w:cs="Times New Roman"/>
                <w:b w:val="0"/>
                <w:bCs w:val="0"/>
                <w:color w:val="auto"/>
                <w:kern w:val="2"/>
                <w:sz w:val="24"/>
                <w:szCs w:val="24"/>
                <w:lang w:val="en-US" w:eastAsia="zh-CN" w:bidi="ar-SA"/>
              </w:rPr>
              <w:t>630</w:t>
            </w:r>
            <w:r>
              <w:rPr>
                <w:rFonts w:hint="eastAsia" w:ascii="Times New Roman" w:hAnsi="Times New Roman" w:eastAsia="宋体" w:cs="Times New Roman"/>
                <w:b w:val="0"/>
                <w:bCs w:val="0"/>
                <w:color w:val="auto"/>
                <w:kern w:val="2"/>
                <w:sz w:val="24"/>
                <w:szCs w:val="24"/>
                <w:lang w:val="en-US" w:eastAsia="zh-CN" w:bidi="ar-SA"/>
              </w:rPr>
              <w:t>g/L。能够满足《胶粘剂挥发性有机化合物限量》（GB33372-2020）规定</w:t>
            </w:r>
            <w:r>
              <w:rPr>
                <w:rFonts w:ascii="宋体" w:hAnsi="宋体" w:eastAsia="宋体" w:cs="宋体"/>
                <w:sz w:val="24"/>
                <w:szCs w:val="24"/>
              </w:rPr>
              <w:t>溶剂型胶粘剂</w:t>
            </w:r>
            <w:r>
              <w:rPr>
                <w:rFonts w:hint="eastAsia" w:ascii="Times New Roman" w:hAnsi="Times New Roman" w:eastAsia="宋体" w:cs="Times New Roman"/>
                <w:b w:val="0"/>
                <w:bCs w:val="0"/>
                <w:color w:val="auto"/>
                <w:kern w:val="2"/>
                <w:sz w:val="24"/>
                <w:szCs w:val="24"/>
                <w:lang w:val="en-US" w:eastAsia="zh-CN" w:bidi="ar-SA"/>
              </w:rPr>
              <w:t>-汽车桥梁减震用热硫化胶粘剂VOCs含量700g/L的限值要求。</w:t>
            </w:r>
          </w:p>
          <w:p w14:paraId="5411CCBE">
            <w:pPr>
              <w:numPr>
                <w:ilvl w:val="0"/>
                <w:numId w:val="0"/>
              </w:numPr>
              <w:ind w:firstLine="0" w:firstLineChars="0"/>
              <w:rPr>
                <w:rFonts w:hint="eastAsia"/>
                <w:b/>
                <w:bCs/>
                <w:color w:val="auto"/>
              </w:rPr>
            </w:pPr>
            <w:r>
              <w:rPr>
                <w:rFonts w:hint="eastAsia" w:ascii="Times New Roman" w:hAnsi="Times New Roman" w:eastAsia="宋体" w:cs="Times New Roman"/>
                <w:b/>
                <w:bCs/>
                <w:color w:val="auto"/>
                <w:kern w:val="2"/>
                <w:sz w:val="24"/>
                <w:szCs w:val="24"/>
                <w:lang w:val="en-US" w:eastAsia="zh-CN" w:bidi="ar-SA"/>
              </w:rPr>
              <w:t>6、</w:t>
            </w:r>
            <w:r>
              <w:rPr>
                <w:rFonts w:hint="eastAsia"/>
                <w:b/>
                <w:bCs/>
                <w:color w:val="auto"/>
              </w:rPr>
              <w:t>项目劳动定员及工作制度</w:t>
            </w:r>
          </w:p>
          <w:p w14:paraId="3665ABD7">
            <w:pPr>
              <w:ind w:firstLine="480"/>
              <w:rPr>
                <w:bCs/>
                <w:color w:val="auto"/>
                <w:szCs w:val="21"/>
              </w:rPr>
            </w:pPr>
            <w:r>
              <w:rPr>
                <w:color w:val="auto"/>
                <w:szCs w:val="21"/>
              </w:rPr>
              <w:t>本</w:t>
            </w:r>
            <w:r>
              <w:rPr>
                <w:rFonts w:hint="eastAsia"/>
                <w:color w:val="auto"/>
                <w:szCs w:val="21"/>
                <w:lang w:eastAsia="zh-CN"/>
              </w:rPr>
              <w:t>次</w:t>
            </w:r>
            <w:r>
              <w:rPr>
                <w:color w:val="auto"/>
                <w:szCs w:val="21"/>
              </w:rPr>
              <w:t>项目劳动定员</w:t>
            </w:r>
            <w:r>
              <w:rPr>
                <w:rFonts w:hint="eastAsia"/>
                <w:color w:val="auto"/>
                <w:szCs w:val="21"/>
                <w:lang w:val="en-US" w:eastAsia="zh-CN"/>
              </w:rPr>
              <w:t>80</w:t>
            </w:r>
            <w:r>
              <w:rPr>
                <w:color w:val="auto"/>
                <w:szCs w:val="21"/>
              </w:rPr>
              <w:t>人，</w:t>
            </w:r>
            <w:r>
              <w:rPr>
                <w:rFonts w:hint="eastAsia"/>
                <w:color w:val="auto"/>
                <w:szCs w:val="21"/>
              </w:rPr>
              <w:t>年工作日</w:t>
            </w:r>
            <w:r>
              <w:rPr>
                <w:color w:val="auto"/>
                <w:szCs w:val="21"/>
              </w:rPr>
              <w:t>300</w:t>
            </w:r>
            <w:r>
              <w:rPr>
                <w:rFonts w:hint="eastAsia"/>
                <w:color w:val="auto"/>
                <w:szCs w:val="21"/>
              </w:rPr>
              <w:t>天，实行</w:t>
            </w:r>
            <w:r>
              <w:rPr>
                <w:rFonts w:hint="eastAsia"/>
                <w:color w:val="auto"/>
                <w:szCs w:val="21"/>
                <w:lang w:val="en-US" w:eastAsia="zh-CN"/>
              </w:rPr>
              <w:t>双</w:t>
            </w:r>
            <w:r>
              <w:rPr>
                <w:rFonts w:hint="eastAsia"/>
                <w:color w:val="auto"/>
                <w:szCs w:val="21"/>
              </w:rPr>
              <w:t>班制，每班工作</w:t>
            </w:r>
            <w:r>
              <w:rPr>
                <w:color w:val="auto"/>
                <w:szCs w:val="21"/>
              </w:rPr>
              <w:t>8</w:t>
            </w:r>
            <w:r>
              <w:rPr>
                <w:rFonts w:hint="eastAsia"/>
                <w:color w:val="auto"/>
                <w:szCs w:val="21"/>
              </w:rPr>
              <w:t>小时，年工作</w:t>
            </w:r>
            <w:r>
              <w:rPr>
                <w:rFonts w:hint="eastAsia"/>
                <w:color w:val="auto"/>
                <w:szCs w:val="21"/>
                <w:lang w:val="en-US" w:eastAsia="zh-CN"/>
              </w:rPr>
              <w:t>4800</w:t>
            </w:r>
            <w:r>
              <w:rPr>
                <w:rFonts w:hint="eastAsia"/>
                <w:color w:val="auto"/>
                <w:szCs w:val="21"/>
              </w:rPr>
              <w:t>小时</w:t>
            </w:r>
            <w:r>
              <w:rPr>
                <w:rFonts w:hint="eastAsia"/>
                <w:color w:val="auto"/>
                <w:sz w:val="24"/>
              </w:rPr>
              <w:t>，不设置食堂</w:t>
            </w:r>
            <w:r>
              <w:rPr>
                <w:rFonts w:hint="eastAsia"/>
                <w:color w:val="auto"/>
                <w:sz w:val="24"/>
                <w:lang w:val="en-US" w:eastAsia="zh-CN"/>
              </w:rPr>
              <w:t>和</w:t>
            </w:r>
            <w:r>
              <w:rPr>
                <w:rFonts w:hint="eastAsia"/>
                <w:color w:val="auto"/>
                <w:sz w:val="24"/>
              </w:rPr>
              <w:t>宿舍</w:t>
            </w:r>
            <w:r>
              <w:rPr>
                <w:color w:val="auto"/>
                <w:sz w:val="24"/>
              </w:rPr>
              <w:t>。</w:t>
            </w:r>
          </w:p>
          <w:p w14:paraId="137FD672">
            <w:pPr>
              <w:numPr>
                <w:ilvl w:val="0"/>
                <w:numId w:val="0"/>
              </w:numPr>
              <w:ind w:firstLine="0" w:firstLineChars="0"/>
              <w:rPr>
                <w:rFonts w:hint="eastAsia"/>
                <w:b/>
                <w:bCs/>
                <w:color w:val="auto"/>
              </w:rPr>
            </w:pPr>
            <w:r>
              <w:rPr>
                <w:rFonts w:hint="eastAsia" w:ascii="Times New Roman" w:hAnsi="Times New Roman" w:eastAsia="宋体" w:cs="Times New Roman"/>
                <w:b/>
                <w:bCs/>
                <w:color w:val="auto"/>
                <w:kern w:val="2"/>
                <w:sz w:val="24"/>
                <w:szCs w:val="24"/>
                <w:lang w:val="en-US" w:eastAsia="zh-CN" w:bidi="ar-SA"/>
              </w:rPr>
              <w:t>7、</w:t>
            </w:r>
            <w:r>
              <w:rPr>
                <w:rFonts w:hint="eastAsia"/>
                <w:b/>
                <w:bCs/>
                <w:color w:val="auto"/>
              </w:rPr>
              <w:t>项目水平衡分析</w:t>
            </w:r>
          </w:p>
          <w:p w14:paraId="5DB0AA63">
            <w:pPr>
              <w:ind w:firstLine="480"/>
              <w:rPr>
                <w:rFonts w:hint="eastAsia"/>
                <w:color w:val="auto"/>
              </w:rPr>
            </w:pPr>
            <w:r>
              <w:rPr>
                <w:rFonts w:hint="eastAsia"/>
                <w:color w:val="auto"/>
              </w:rPr>
              <w:t>本</w:t>
            </w:r>
            <w:r>
              <w:rPr>
                <w:rFonts w:hint="eastAsia"/>
                <w:color w:val="auto"/>
                <w:lang w:eastAsia="zh-CN"/>
              </w:rPr>
              <w:t>次</w:t>
            </w:r>
            <w:r>
              <w:rPr>
                <w:rFonts w:hint="eastAsia"/>
                <w:color w:val="auto"/>
              </w:rPr>
              <w:t>项目用水主要为生活用水、保洁用水、</w:t>
            </w:r>
            <w:r>
              <w:rPr>
                <w:rFonts w:hint="eastAsia"/>
                <w:color w:val="auto"/>
                <w:lang w:val="en-US" w:eastAsia="zh-CN"/>
              </w:rPr>
              <w:t>循环冷却系统</w:t>
            </w:r>
            <w:r>
              <w:rPr>
                <w:rFonts w:hint="eastAsia"/>
                <w:color w:val="auto"/>
              </w:rPr>
              <w:t>用水。</w:t>
            </w:r>
          </w:p>
          <w:p w14:paraId="083A3D02">
            <w:pPr>
              <w:numPr>
                <w:ilvl w:val="0"/>
                <w:numId w:val="0"/>
              </w:numPr>
              <w:ind w:firstLine="480" w:firstLineChars="0"/>
              <w:rPr>
                <w:rFonts w:hint="eastAsia"/>
                <w:color w:val="auto"/>
              </w:rPr>
            </w:pPr>
            <w:r>
              <w:rPr>
                <w:rFonts w:hint="default" w:ascii="Times New Roman" w:hAnsi="Times New Roman" w:eastAsia="宋体" w:cs="Times New Roman"/>
                <w:color w:val="auto"/>
                <w:kern w:val="2"/>
                <w:sz w:val="24"/>
                <w:szCs w:val="24"/>
                <w:lang w:val="en-US" w:eastAsia="zh-CN" w:bidi="ar-SA"/>
              </w:rPr>
              <w:t>（1）</w:t>
            </w:r>
            <w:r>
              <w:rPr>
                <w:rFonts w:hint="eastAsia"/>
                <w:color w:val="auto"/>
              </w:rPr>
              <w:t>生活用水</w:t>
            </w:r>
          </w:p>
          <w:p w14:paraId="18A77248">
            <w:pPr>
              <w:ind w:firstLine="480"/>
              <w:rPr>
                <w:rFonts w:hint="eastAsia"/>
                <w:color w:val="auto"/>
                <w:szCs w:val="21"/>
                <w:lang w:val="zh-CN"/>
              </w:rPr>
            </w:pPr>
            <w:r>
              <w:rPr>
                <w:color w:val="auto"/>
                <w:szCs w:val="21"/>
              </w:rPr>
              <w:t>本</w:t>
            </w:r>
            <w:r>
              <w:rPr>
                <w:rFonts w:hint="eastAsia"/>
                <w:color w:val="auto"/>
                <w:szCs w:val="21"/>
                <w:lang w:eastAsia="zh-CN"/>
              </w:rPr>
              <w:t>次</w:t>
            </w:r>
            <w:r>
              <w:rPr>
                <w:color w:val="auto"/>
                <w:szCs w:val="21"/>
              </w:rPr>
              <w:t>项目</w:t>
            </w:r>
            <w:r>
              <w:rPr>
                <w:rFonts w:hint="eastAsia"/>
                <w:color w:val="auto"/>
                <w:lang w:eastAsia="zh-CN"/>
              </w:rPr>
              <w:t>新增</w:t>
            </w:r>
            <w:r>
              <w:rPr>
                <w:color w:val="auto"/>
                <w:szCs w:val="21"/>
              </w:rPr>
              <w:t>员工</w:t>
            </w:r>
            <w:r>
              <w:rPr>
                <w:rFonts w:hint="eastAsia"/>
                <w:color w:val="auto"/>
                <w:szCs w:val="21"/>
                <w:lang w:val="en-US" w:eastAsia="zh-CN"/>
              </w:rPr>
              <w:t>80</w:t>
            </w:r>
            <w:r>
              <w:rPr>
                <w:color w:val="auto"/>
                <w:szCs w:val="21"/>
              </w:rPr>
              <w:t>人，年工作时间</w:t>
            </w:r>
            <w:r>
              <w:rPr>
                <w:rFonts w:hint="eastAsia"/>
                <w:color w:val="auto"/>
                <w:szCs w:val="21"/>
              </w:rPr>
              <w:t>300</w:t>
            </w:r>
            <w:r>
              <w:rPr>
                <w:color w:val="auto"/>
                <w:szCs w:val="21"/>
              </w:rPr>
              <w:t>天。</w:t>
            </w:r>
            <w:r>
              <w:rPr>
                <w:rFonts w:hint="eastAsia"/>
                <w:color w:val="auto"/>
                <w:szCs w:val="21"/>
              </w:rPr>
              <w:t>根据《安徽省行业用水定额》（DB 34/T679-2025），员工</w:t>
            </w:r>
            <w:r>
              <w:rPr>
                <w:rFonts w:hint="eastAsia"/>
                <w:color w:val="auto"/>
              </w:rPr>
              <w:t>生活</w:t>
            </w:r>
            <w:r>
              <w:rPr>
                <w:color w:val="auto"/>
                <w:szCs w:val="21"/>
                <w:lang w:val="zh-CN"/>
              </w:rPr>
              <w:t>用水以</w:t>
            </w:r>
            <w:r>
              <w:rPr>
                <w:color w:val="auto"/>
                <w:szCs w:val="21"/>
              </w:rPr>
              <w:t>60</w:t>
            </w:r>
            <w:r>
              <w:rPr>
                <w:color w:val="auto"/>
                <w:szCs w:val="21"/>
                <w:lang w:val="zh-CN"/>
              </w:rPr>
              <w:t>L/人·d计，</w:t>
            </w:r>
            <w:r>
              <w:rPr>
                <w:rFonts w:hint="eastAsia"/>
                <w:color w:val="auto"/>
              </w:rPr>
              <w:t>生活</w:t>
            </w:r>
            <w:r>
              <w:rPr>
                <w:rFonts w:hint="eastAsia"/>
                <w:color w:val="auto"/>
                <w:szCs w:val="21"/>
                <w:lang w:val="zh-CN"/>
              </w:rPr>
              <w:t>污水产污系数以</w:t>
            </w:r>
            <w:r>
              <w:rPr>
                <w:rFonts w:hint="eastAsia"/>
                <w:color w:val="auto"/>
                <w:szCs w:val="21"/>
              </w:rPr>
              <w:t>0.85计，</w:t>
            </w:r>
            <w:r>
              <w:rPr>
                <w:color w:val="auto"/>
                <w:szCs w:val="21"/>
                <w:lang w:val="zh-CN"/>
              </w:rPr>
              <w:t>则</w:t>
            </w:r>
            <w:r>
              <w:rPr>
                <w:rFonts w:hint="eastAsia"/>
                <w:color w:val="auto"/>
                <w:szCs w:val="21"/>
                <w:lang w:val="zh-CN"/>
              </w:rPr>
              <w:t>员工</w:t>
            </w:r>
            <w:r>
              <w:rPr>
                <w:rFonts w:hint="eastAsia"/>
                <w:color w:val="auto"/>
              </w:rPr>
              <w:t>生活</w:t>
            </w:r>
            <w:r>
              <w:rPr>
                <w:rFonts w:hint="eastAsia"/>
                <w:color w:val="auto"/>
                <w:szCs w:val="21"/>
                <w:lang w:val="zh-CN"/>
              </w:rPr>
              <w:t>用水为</w:t>
            </w:r>
            <w:r>
              <w:rPr>
                <w:rFonts w:hint="eastAsia"/>
                <w:color w:val="auto"/>
                <w:szCs w:val="21"/>
                <w:lang w:val="en-US" w:eastAsia="zh-CN"/>
              </w:rPr>
              <w:t>4.8</w:t>
            </w:r>
            <w:r>
              <w:rPr>
                <w:color w:val="auto"/>
                <w:szCs w:val="21"/>
              </w:rPr>
              <w:t>m</w:t>
            </w:r>
            <w:r>
              <w:rPr>
                <w:color w:val="auto"/>
                <w:szCs w:val="21"/>
                <w:vertAlign w:val="superscript"/>
              </w:rPr>
              <w:t>3</w:t>
            </w:r>
            <w:r>
              <w:rPr>
                <w:color w:val="auto"/>
                <w:szCs w:val="21"/>
                <w:lang w:val="zh-CN"/>
              </w:rPr>
              <w:t>/</w:t>
            </w:r>
            <w:r>
              <w:rPr>
                <w:rFonts w:hint="eastAsia"/>
                <w:color w:val="auto"/>
                <w:szCs w:val="21"/>
              </w:rPr>
              <w:t>d</w:t>
            </w:r>
            <w:r>
              <w:rPr>
                <w:rFonts w:hint="eastAsia"/>
                <w:color w:val="auto"/>
                <w:szCs w:val="21"/>
                <w:lang w:val="zh-CN"/>
              </w:rPr>
              <w:t>，</w:t>
            </w:r>
            <w:r>
              <w:rPr>
                <w:rFonts w:hint="eastAsia"/>
                <w:color w:val="auto"/>
                <w:szCs w:val="21"/>
                <w:lang w:val="en-US" w:eastAsia="zh-CN"/>
              </w:rPr>
              <w:t>1440</w:t>
            </w:r>
            <w:r>
              <w:rPr>
                <w:color w:val="auto"/>
                <w:szCs w:val="21"/>
              </w:rPr>
              <w:t>m</w:t>
            </w:r>
            <w:r>
              <w:rPr>
                <w:color w:val="auto"/>
                <w:szCs w:val="21"/>
                <w:vertAlign w:val="superscript"/>
              </w:rPr>
              <w:t>3</w:t>
            </w:r>
            <w:r>
              <w:rPr>
                <w:color w:val="auto"/>
                <w:szCs w:val="21"/>
                <w:lang w:val="zh-CN"/>
              </w:rPr>
              <w:t>/a</w:t>
            </w:r>
            <w:r>
              <w:rPr>
                <w:rFonts w:hint="eastAsia"/>
                <w:color w:val="auto"/>
                <w:szCs w:val="21"/>
                <w:lang w:val="zh-CN"/>
              </w:rPr>
              <w:t>；</w:t>
            </w:r>
            <w:r>
              <w:rPr>
                <w:rFonts w:hint="eastAsia"/>
                <w:color w:val="auto"/>
              </w:rPr>
              <w:t>生活</w:t>
            </w:r>
            <w:r>
              <w:rPr>
                <w:rFonts w:hint="eastAsia"/>
                <w:color w:val="auto"/>
                <w:szCs w:val="21"/>
                <w:lang w:val="zh-CN"/>
              </w:rPr>
              <w:t>污</w:t>
            </w:r>
            <w:r>
              <w:rPr>
                <w:color w:val="auto"/>
                <w:szCs w:val="21"/>
                <w:lang w:val="zh-CN"/>
              </w:rPr>
              <w:t>水产生量为</w:t>
            </w:r>
            <w:r>
              <w:rPr>
                <w:rFonts w:hint="eastAsia"/>
                <w:color w:val="auto"/>
                <w:szCs w:val="21"/>
                <w:lang w:val="en-US" w:eastAsia="zh-CN"/>
              </w:rPr>
              <w:t>4.08</w:t>
            </w:r>
            <w:r>
              <w:rPr>
                <w:color w:val="auto"/>
                <w:szCs w:val="21"/>
              </w:rPr>
              <w:t>m</w:t>
            </w:r>
            <w:r>
              <w:rPr>
                <w:color w:val="auto"/>
                <w:szCs w:val="21"/>
                <w:vertAlign w:val="superscript"/>
              </w:rPr>
              <w:t>3</w:t>
            </w:r>
            <w:r>
              <w:rPr>
                <w:color w:val="auto"/>
                <w:szCs w:val="21"/>
                <w:lang w:val="zh-CN"/>
              </w:rPr>
              <w:t>/</w:t>
            </w:r>
            <w:r>
              <w:rPr>
                <w:color w:val="auto"/>
                <w:szCs w:val="21"/>
              </w:rPr>
              <w:t>d</w:t>
            </w:r>
            <w:r>
              <w:rPr>
                <w:color w:val="auto"/>
                <w:szCs w:val="21"/>
                <w:lang w:val="zh-CN"/>
              </w:rPr>
              <w:t>，</w:t>
            </w:r>
            <w:r>
              <w:rPr>
                <w:rFonts w:hint="eastAsia"/>
                <w:color w:val="auto"/>
                <w:szCs w:val="21"/>
                <w:lang w:val="en-US" w:eastAsia="zh-CN"/>
              </w:rPr>
              <w:t>1224</w:t>
            </w:r>
            <w:r>
              <w:rPr>
                <w:color w:val="auto"/>
                <w:szCs w:val="21"/>
              </w:rPr>
              <w:t>m</w:t>
            </w:r>
            <w:r>
              <w:rPr>
                <w:color w:val="auto"/>
                <w:szCs w:val="21"/>
                <w:vertAlign w:val="superscript"/>
              </w:rPr>
              <w:t>3</w:t>
            </w:r>
            <w:r>
              <w:rPr>
                <w:color w:val="auto"/>
                <w:szCs w:val="21"/>
                <w:lang w:val="zh-CN"/>
              </w:rPr>
              <w:t>/a</w:t>
            </w:r>
            <w:r>
              <w:rPr>
                <w:rFonts w:hint="eastAsia"/>
                <w:color w:val="auto"/>
                <w:szCs w:val="21"/>
                <w:lang w:val="zh-CN"/>
              </w:rPr>
              <w:t>。</w:t>
            </w:r>
          </w:p>
          <w:p w14:paraId="2DA4BACE">
            <w:pPr>
              <w:numPr>
                <w:ilvl w:val="0"/>
                <w:numId w:val="0"/>
              </w:numPr>
              <w:ind w:firstLine="480" w:firstLineChars="0"/>
              <w:rPr>
                <w:rFonts w:hint="eastAsia"/>
                <w:color w:val="auto"/>
                <w:szCs w:val="21"/>
                <w:lang w:val="zh-CN"/>
              </w:rPr>
            </w:pPr>
            <w:r>
              <w:rPr>
                <w:rFonts w:hint="default" w:ascii="Times New Roman" w:hAnsi="Times New Roman" w:eastAsia="宋体" w:cs="Times New Roman"/>
                <w:color w:val="auto"/>
                <w:kern w:val="2"/>
                <w:sz w:val="24"/>
                <w:szCs w:val="24"/>
                <w:lang w:val="zh-CN" w:eastAsia="zh-CN" w:bidi="ar-SA"/>
              </w:rPr>
              <w:t>（</w:t>
            </w:r>
            <w:r>
              <w:rPr>
                <w:rFonts w:hint="eastAsia" w:cs="Times New Roman"/>
                <w:color w:val="auto"/>
                <w:kern w:val="2"/>
                <w:sz w:val="24"/>
                <w:szCs w:val="24"/>
                <w:lang w:val="en-US" w:eastAsia="zh-CN" w:bidi="ar-SA"/>
              </w:rPr>
              <w:t>2</w:t>
            </w:r>
            <w:r>
              <w:rPr>
                <w:rFonts w:hint="default" w:ascii="Times New Roman" w:hAnsi="Times New Roman" w:eastAsia="宋体" w:cs="Times New Roman"/>
                <w:color w:val="auto"/>
                <w:kern w:val="2"/>
                <w:sz w:val="24"/>
                <w:szCs w:val="24"/>
                <w:lang w:val="zh-CN" w:eastAsia="zh-CN" w:bidi="ar-SA"/>
              </w:rPr>
              <w:t>）</w:t>
            </w:r>
            <w:r>
              <w:rPr>
                <w:rFonts w:hint="eastAsia"/>
                <w:color w:val="auto"/>
                <w:szCs w:val="21"/>
                <w:lang w:val="zh-CN"/>
              </w:rPr>
              <w:t>保洁用水</w:t>
            </w:r>
          </w:p>
          <w:p w14:paraId="04BB674F">
            <w:pPr>
              <w:ind w:firstLine="480"/>
              <w:rPr>
                <w:color w:val="auto"/>
                <w:szCs w:val="21"/>
              </w:rPr>
            </w:pPr>
            <w:r>
              <w:rPr>
                <w:rFonts w:hint="eastAsia"/>
                <w:color w:val="auto"/>
              </w:rPr>
              <w:t>项目总建筑面积共计</w:t>
            </w:r>
            <w:r>
              <w:rPr>
                <w:rFonts w:hint="eastAsia"/>
                <w:color w:val="auto"/>
                <w:lang w:val="en-US" w:eastAsia="zh-CN"/>
              </w:rPr>
              <w:t>9500</w:t>
            </w:r>
            <w:r>
              <w:rPr>
                <w:rFonts w:hint="eastAsia"/>
                <w:color w:val="auto"/>
              </w:rPr>
              <w:t>m</w:t>
            </w:r>
            <w:r>
              <w:rPr>
                <w:rFonts w:hint="eastAsia"/>
                <w:color w:val="auto"/>
                <w:vertAlign w:val="superscript"/>
              </w:rPr>
              <w:t>2</w:t>
            </w:r>
            <w:r>
              <w:rPr>
                <w:rFonts w:hint="eastAsia"/>
                <w:color w:val="auto"/>
              </w:rPr>
              <w:t>，保洁方式采用拖洗，保洁面积以50%计，用水以0.5L/（d•m</w:t>
            </w:r>
            <w:r>
              <w:rPr>
                <w:rFonts w:hint="eastAsia"/>
                <w:color w:val="auto"/>
                <w:vertAlign w:val="superscript"/>
              </w:rPr>
              <w:t>2</w:t>
            </w:r>
            <w:r>
              <w:rPr>
                <w:rFonts w:hint="eastAsia"/>
                <w:color w:val="auto"/>
              </w:rPr>
              <w:t>）计，</w:t>
            </w:r>
            <w:r>
              <w:rPr>
                <w:rFonts w:hint="eastAsia"/>
                <w:color w:val="auto"/>
                <w:lang w:val="en-US" w:eastAsia="zh-CN"/>
              </w:rPr>
              <w:t>保洁</w:t>
            </w:r>
            <w:r>
              <w:rPr>
                <w:rFonts w:hint="eastAsia"/>
                <w:color w:val="auto"/>
                <w:szCs w:val="21"/>
                <w:lang w:val="zh-CN"/>
              </w:rPr>
              <w:t>污水产污系数以</w:t>
            </w:r>
            <w:r>
              <w:rPr>
                <w:rFonts w:hint="eastAsia"/>
                <w:color w:val="auto"/>
                <w:szCs w:val="21"/>
              </w:rPr>
              <w:t>0.</w:t>
            </w:r>
            <w:r>
              <w:rPr>
                <w:rFonts w:hint="eastAsia"/>
                <w:color w:val="auto"/>
                <w:szCs w:val="21"/>
                <w:lang w:val="en-US" w:eastAsia="zh-CN"/>
              </w:rPr>
              <w:t>7</w:t>
            </w:r>
            <w:r>
              <w:rPr>
                <w:rFonts w:hint="eastAsia"/>
                <w:color w:val="auto"/>
                <w:szCs w:val="21"/>
              </w:rPr>
              <w:t>计，</w:t>
            </w:r>
            <w:r>
              <w:rPr>
                <w:color w:val="auto"/>
                <w:szCs w:val="21"/>
                <w:lang w:val="zh-CN"/>
              </w:rPr>
              <w:t>则</w:t>
            </w:r>
            <w:r>
              <w:rPr>
                <w:rFonts w:hint="eastAsia"/>
                <w:color w:val="auto"/>
                <w:szCs w:val="21"/>
                <w:lang w:val="zh-CN"/>
              </w:rPr>
              <w:t>保洁</w:t>
            </w:r>
            <w:r>
              <w:rPr>
                <w:rFonts w:hint="eastAsia"/>
                <w:color w:val="auto"/>
              </w:rPr>
              <w:t>用水量为</w:t>
            </w:r>
            <w:r>
              <w:rPr>
                <w:rFonts w:hint="eastAsia"/>
                <w:color w:val="auto"/>
                <w:lang w:val="en-US" w:eastAsia="zh-CN"/>
              </w:rPr>
              <w:t>2.375</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712.5</w:t>
            </w:r>
            <w:r>
              <w:rPr>
                <w:rFonts w:hint="eastAsia"/>
                <w:color w:val="auto"/>
              </w:rPr>
              <w:t>m</w:t>
            </w:r>
            <w:r>
              <w:rPr>
                <w:rFonts w:hint="eastAsia"/>
                <w:color w:val="auto"/>
                <w:vertAlign w:val="superscript"/>
              </w:rPr>
              <w:t>3</w:t>
            </w:r>
            <w:r>
              <w:rPr>
                <w:rFonts w:hint="eastAsia"/>
                <w:color w:val="auto"/>
              </w:rPr>
              <w:t>/a</w:t>
            </w:r>
            <w:r>
              <w:rPr>
                <w:rFonts w:hint="eastAsia"/>
                <w:color w:val="auto"/>
                <w:lang w:eastAsia="zh-CN"/>
              </w:rPr>
              <w:t>；</w:t>
            </w:r>
            <w:r>
              <w:rPr>
                <w:rFonts w:hint="eastAsia"/>
                <w:color w:val="auto"/>
                <w:szCs w:val="21"/>
                <w:lang w:val="zh-CN"/>
              </w:rPr>
              <w:t>保洁污</w:t>
            </w:r>
            <w:r>
              <w:rPr>
                <w:color w:val="auto"/>
                <w:szCs w:val="21"/>
                <w:lang w:val="zh-CN"/>
              </w:rPr>
              <w:t>水产生量为</w:t>
            </w:r>
            <w:r>
              <w:rPr>
                <w:rFonts w:hint="eastAsia"/>
                <w:color w:val="auto"/>
                <w:szCs w:val="21"/>
                <w:lang w:val="en-US" w:eastAsia="zh-CN"/>
              </w:rPr>
              <w:t>1.663</w:t>
            </w:r>
            <w:r>
              <w:rPr>
                <w:color w:val="auto"/>
                <w:szCs w:val="21"/>
              </w:rPr>
              <w:t>m</w:t>
            </w:r>
            <w:r>
              <w:rPr>
                <w:color w:val="auto"/>
                <w:szCs w:val="21"/>
                <w:vertAlign w:val="superscript"/>
              </w:rPr>
              <w:t>3</w:t>
            </w:r>
            <w:r>
              <w:rPr>
                <w:color w:val="auto"/>
                <w:szCs w:val="21"/>
                <w:lang w:val="zh-CN"/>
              </w:rPr>
              <w:t>/</w:t>
            </w:r>
            <w:r>
              <w:rPr>
                <w:color w:val="auto"/>
                <w:szCs w:val="21"/>
              </w:rPr>
              <w:t>d</w:t>
            </w:r>
            <w:r>
              <w:rPr>
                <w:color w:val="auto"/>
                <w:szCs w:val="21"/>
                <w:lang w:val="zh-CN"/>
              </w:rPr>
              <w:t>，</w:t>
            </w:r>
            <w:r>
              <w:rPr>
                <w:rFonts w:hint="eastAsia"/>
                <w:color w:val="auto"/>
                <w:szCs w:val="21"/>
                <w:lang w:val="en-US" w:eastAsia="zh-CN"/>
              </w:rPr>
              <w:t>498.75</w:t>
            </w:r>
            <w:r>
              <w:rPr>
                <w:color w:val="auto"/>
                <w:szCs w:val="21"/>
              </w:rPr>
              <w:t>m</w:t>
            </w:r>
            <w:r>
              <w:rPr>
                <w:color w:val="auto"/>
                <w:szCs w:val="21"/>
                <w:vertAlign w:val="superscript"/>
              </w:rPr>
              <w:t>3</w:t>
            </w:r>
            <w:r>
              <w:rPr>
                <w:color w:val="auto"/>
                <w:szCs w:val="21"/>
                <w:lang w:val="zh-CN"/>
              </w:rPr>
              <w:t>/a</w:t>
            </w:r>
            <w:r>
              <w:rPr>
                <w:rFonts w:hint="eastAsia"/>
                <w:color w:val="auto"/>
              </w:rPr>
              <w:t>。</w:t>
            </w:r>
          </w:p>
          <w:p w14:paraId="0742208D">
            <w:pPr>
              <w:numPr>
                <w:ilvl w:val="0"/>
                <w:numId w:val="0"/>
              </w:numPr>
              <w:ind w:firstLine="480" w:firstLineChars="0"/>
              <w:rPr>
                <w:rFonts w:hint="eastAsia"/>
                <w:color w:val="auto"/>
                <w:kern w:val="0"/>
              </w:rPr>
            </w:pPr>
            <w:r>
              <w:rPr>
                <w:rFonts w:hint="default" w:ascii="Times New Roman" w:hAnsi="Times New Roman" w:eastAsia="宋体" w:cs="Times New Roman"/>
                <w:color w:val="auto"/>
                <w:kern w:val="0"/>
                <w:sz w:val="24"/>
                <w:szCs w:val="24"/>
                <w:lang w:val="en-US" w:eastAsia="zh-CN" w:bidi="ar-SA"/>
              </w:rPr>
              <w:t>（</w:t>
            </w:r>
            <w:r>
              <w:rPr>
                <w:rFonts w:hint="eastAsia" w:cs="Times New Roman"/>
                <w:color w:val="auto"/>
                <w:kern w:val="0"/>
                <w:sz w:val="24"/>
                <w:szCs w:val="24"/>
                <w:lang w:val="en-US" w:eastAsia="zh-CN" w:bidi="ar-SA"/>
              </w:rPr>
              <w:t>3</w:t>
            </w:r>
            <w:r>
              <w:rPr>
                <w:rFonts w:hint="default" w:ascii="Times New Roman" w:hAnsi="Times New Roman" w:eastAsia="宋体" w:cs="Times New Roman"/>
                <w:color w:val="auto"/>
                <w:kern w:val="0"/>
                <w:sz w:val="24"/>
                <w:szCs w:val="24"/>
                <w:lang w:val="en-US" w:eastAsia="zh-CN" w:bidi="ar-SA"/>
              </w:rPr>
              <w:t>）</w:t>
            </w:r>
            <w:r>
              <w:rPr>
                <w:rFonts w:hint="eastAsia"/>
                <w:color w:val="auto"/>
                <w:lang w:val="en-US" w:eastAsia="zh-CN"/>
              </w:rPr>
              <w:t>循环冷却系统</w:t>
            </w:r>
            <w:r>
              <w:rPr>
                <w:rFonts w:hint="eastAsia"/>
                <w:color w:val="auto"/>
              </w:rPr>
              <w:t>用水</w:t>
            </w:r>
          </w:p>
          <w:p w14:paraId="19103804">
            <w:pPr>
              <w:bidi w:val="0"/>
              <w:ind w:firstLine="480" w:firstLineChars="200"/>
              <w:rPr>
                <w:rFonts w:hint="eastAsia"/>
                <w:color w:val="auto"/>
                <w:lang w:val="en-US" w:eastAsia="zh-CN"/>
              </w:rPr>
            </w:pPr>
            <w:r>
              <w:rPr>
                <w:rFonts w:hint="default" w:ascii="Times New Roman" w:hAnsi="Times New Roman" w:cs="Times New Roman"/>
                <w:bCs/>
                <w:color w:val="auto"/>
              </w:rPr>
              <w:t>项目</w:t>
            </w:r>
            <w:r>
              <w:rPr>
                <w:rFonts w:hint="eastAsia" w:ascii="Times New Roman" w:hAnsi="Times New Roman" w:cs="Times New Roman"/>
                <w:bCs/>
                <w:color w:val="auto"/>
                <w:lang w:val="en-US" w:eastAsia="zh-CN"/>
              </w:rPr>
              <w:t>橡胶</w:t>
            </w:r>
            <w:r>
              <w:rPr>
                <w:rFonts w:hint="default" w:ascii="Times New Roman" w:hAnsi="Times New Roman" w:cs="Times New Roman"/>
                <w:bCs/>
                <w:color w:val="auto"/>
              </w:rPr>
              <w:t>间接冷却降温过程</w:t>
            </w:r>
            <w:r>
              <w:rPr>
                <w:rFonts w:hint="eastAsia"/>
                <w:color w:val="auto"/>
                <w:lang w:val="en-US" w:eastAsia="zh-CN"/>
              </w:rPr>
              <w:t>循环冷却系统</w:t>
            </w:r>
            <w:r>
              <w:rPr>
                <w:rFonts w:hint="default" w:ascii="Times New Roman" w:hAnsi="Times New Roman" w:cs="Times New Roman"/>
                <w:bCs/>
                <w:color w:val="auto"/>
              </w:rPr>
              <w:t>冷却水间接冷却，冷却水循环使用。项目</w:t>
            </w:r>
            <w:r>
              <w:rPr>
                <w:rFonts w:hint="eastAsia" w:ascii="Times New Roman" w:hAnsi="Times New Roman" w:cs="Times New Roman"/>
                <w:bCs/>
                <w:color w:val="auto"/>
                <w:lang w:val="en-US" w:eastAsia="zh-CN"/>
              </w:rPr>
              <w:t>共</w:t>
            </w:r>
            <w:r>
              <w:rPr>
                <w:rFonts w:hint="default" w:ascii="Times New Roman" w:hAnsi="Times New Roman" w:cs="Times New Roman"/>
                <w:bCs/>
                <w:color w:val="auto"/>
              </w:rPr>
              <w:t>设置</w:t>
            </w:r>
            <w:r>
              <w:rPr>
                <w:rFonts w:hint="eastAsia" w:ascii="Times New Roman" w:hAnsi="Times New Roman" w:cs="Times New Roman"/>
                <w:bCs/>
                <w:color w:val="auto"/>
                <w:lang w:val="en-US" w:eastAsia="zh-CN"/>
              </w:rPr>
              <w:t>2套40m</w:t>
            </w:r>
            <w:r>
              <w:rPr>
                <w:rFonts w:hint="eastAsia" w:ascii="Times New Roman" w:hAnsi="Times New Roman" w:cs="Times New Roman"/>
                <w:bCs/>
                <w:color w:val="auto"/>
                <w:vertAlign w:val="superscript"/>
                <w:lang w:val="en-US" w:eastAsia="zh-CN"/>
              </w:rPr>
              <w:t>3</w:t>
            </w:r>
            <w:r>
              <w:rPr>
                <w:rFonts w:hint="eastAsia" w:ascii="Times New Roman" w:hAnsi="Times New Roman" w:cs="Times New Roman"/>
                <w:bCs/>
                <w:color w:val="auto"/>
                <w:lang w:val="en-US" w:eastAsia="zh-CN"/>
              </w:rPr>
              <w:t>/h循环冷却系统</w:t>
            </w:r>
            <w:r>
              <w:rPr>
                <w:rFonts w:hint="default" w:ascii="Times New Roman" w:hAnsi="Times New Roman" w:cs="Times New Roman"/>
                <w:bCs/>
                <w:color w:val="auto"/>
              </w:rPr>
              <w:t>，冷却水多次循环后水质中盐分会变高，拟</w:t>
            </w:r>
            <w:r>
              <w:rPr>
                <w:rFonts w:hint="eastAsia" w:ascii="Times New Roman" w:hAnsi="Times New Roman" w:cs="Times New Roman"/>
                <w:bCs/>
                <w:color w:val="auto"/>
                <w:lang w:val="en-US" w:eastAsia="zh-CN"/>
              </w:rPr>
              <w:t>每个月</w:t>
            </w:r>
            <w:r>
              <w:rPr>
                <w:rFonts w:hint="default" w:ascii="Times New Roman" w:hAnsi="Times New Roman" w:cs="Times New Roman"/>
                <w:bCs/>
                <w:color w:val="auto"/>
              </w:rPr>
              <w:t>排放一次，直接排入</w:t>
            </w:r>
            <w:r>
              <w:rPr>
                <w:rFonts w:hint="eastAsia" w:ascii="Times New Roman" w:hAnsi="Times New Roman" w:cs="Times New Roman"/>
                <w:bCs/>
                <w:color w:val="auto"/>
                <w:lang w:val="en-US" w:eastAsia="zh-CN"/>
              </w:rPr>
              <w:t>市政</w:t>
            </w:r>
            <w:r>
              <w:rPr>
                <w:rFonts w:hint="default" w:ascii="Times New Roman" w:hAnsi="Times New Roman" w:cs="Times New Roman"/>
                <w:bCs/>
                <w:color w:val="auto"/>
              </w:rPr>
              <w:t>污水管网。</w:t>
            </w:r>
          </w:p>
          <w:p w14:paraId="45A63F56">
            <w:pPr>
              <w:bidi w:val="0"/>
              <w:jc w:val="center"/>
              <w:rPr>
                <w:rFonts w:hint="default"/>
                <w:b/>
                <w:bCs/>
                <w:color w:val="auto"/>
              </w:rPr>
            </w:pPr>
            <w:r>
              <w:rPr>
                <w:rFonts w:hint="default"/>
                <w:b/>
                <w:bCs/>
                <w:color w:val="auto"/>
              </w:rPr>
              <w:t>表2-</w:t>
            </w:r>
            <w:r>
              <w:rPr>
                <w:rFonts w:hint="eastAsia"/>
                <w:b/>
                <w:bCs/>
                <w:color w:val="auto"/>
                <w:lang w:val="en-US" w:eastAsia="zh-CN"/>
              </w:rPr>
              <w:t>6</w:t>
            </w:r>
            <w:r>
              <w:rPr>
                <w:rFonts w:hint="default"/>
                <w:b/>
                <w:bCs/>
                <w:color w:val="auto"/>
              </w:rPr>
              <w:t xml:space="preserve">  </w:t>
            </w:r>
            <w:r>
              <w:rPr>
                <w:rFonts w:hint="eastAsia"/>
                <w:b/>
                <w:bCs/>
                <w:color w:val="auto"/>
                <w:lang w:val="en-US" w:eastAsia="zh-CN"/>
              </w:rPr>
              <w:t>项目循环冷却系统</w:t>
            </w:r>
            <w:r>
              <w:rPr>
                <w:rFonts w:hint="default"/>
                <w:b/>
                <w:bCs/>
                <w:color w:val="auto"/>
              </w:rPr>
              <w:t>用水、排水量核算一览表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021"/>
              <w:gridCol w:w="859"/>
              <w:gridCol w:w="810"/>
              <w:gridCol w:w="860"/>
              <w:gridCol w:w="789"/>
              <w:gridCol w:w="735"/>
              <w:gridCol w:w="786"/>
              <w:gridCol w:w="771"/>
              <w:gridCol w:w="771"/>
            </w:tblGrid>
            <w:tr w14:paraId="42D2F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dxa"/>
                  <w:vMerge w:val="restart"/>
                  <w:vAlign w:val="center"/>
                </w:tcPr>
                <w:p w14:paraId="204868B7">
                  <w:pPr>
                    <w:spacing w:line="300" w:lineRule="exac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类别</w:t>
                  </w:r>
                </w:p>
              </w:tc>
              <w:tc>
                <w:tcPr>
                  <w:tcW w:w="1253" w:type="dxa"/>
                  <w:vMerge w:val="restart"/>
                  <w:vAlign w:val="center"/>
                </w:tcPr>
                <w:p w14:paraId="21713365">
                  <w:pPr>
                    <w:spacing w:line="300" w:lineRule="exac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循环水量（/m³/h）</w:t>
                  </w:r>
                </w:p>
              </w:tc>
              <w:tc>
                <w:tcPr>
                  <w:tcW w:w="1044" w:type="dxa"/>
                  <w:vMerge w:val="restart"/>
                  <w:vAlign w:val="center"/>
                </w:tcPr>
                <w:p w14:paraId="36FC0BC6">
                  <w:pPr>
                    <w:spacing w:line="300" w:lineRule="exac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水槽水量（m³）</w:t>
                  </w:r>
                </w:p>
              </w:tc>
              <w:tc>
                <w:tcPr>
                  <w:tcW w:w="981" w:type="dxa"/>
                  <w:vMerge w:val="restart"/>
                  <w:vAlign w:val="center"/>
                </w:tcPr>
                <w:p w14:paraId="2EAC1B52">
                  <w:pPr>
                    <w:spacing w:line="300" w:lineRule="exac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损耗率（%）</w:t>
                  </w:r>
                </w:p>
              </w:tc>
              <w:tc>
                <w:tcPr>
                  <w:tcW w:w="1045" w:type="dxa"/>
                  <w:vMerge w:val="restart"/>
                  <w:vAlign w:val="center"/>
                </w:tcPr>
                <w:p w14:paraId="72FFA81C">
                  <w:pPr>
                    <w:spacing w:line="300" w:lineRule="exac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年运行时间（h）</w:t>
                  </w:r>
                </w:p>
              </w:tc>
              <w:tc>
                <w:tcPr>
                  <w:tcW w:w="954" w:type="dxa"/>
                  <w:vMerge w:val="restart"/>
                  <w:vAlign w:val="center"/>
                </w:tcPr>
                <w:p w14:paraId="380BB587">
                  <w:pPr>
                    <w:spacing w:line="300" w:lineRule="exac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年更换次数</w:t>
                  </w:r>
                </w:p>
              </w:tc>
              <w:tc>
                <w:tcPr>
                  <w:tcW w:w="1834" w:type="dxa"/>
                  <w:gridSpan w:val="2"/>
                  <w:vAlign w:val="center"/>
                </w:tcPr>
                <w:p w14:paraId="0FE39E7B">
                  <w:pPr>
                    <w:spacing w:line="300" w:lineRule="exac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用水量</w:t>
                  </w:r>
                </w:p>
              </w:tc>
              <w:tc>
                <w:tcPr>
                  <w:tcW w:w="1862" w:type="dxa"/>
                  <w:gridSpan w:val="2"/>
                  <w:vAlign w:val="center"/>
                </w:tcPr>
                <w:p w14:paraId="51D875D5">
                  <w:pPr>
                    <w:spacing w:line="300" w:lineRule="exac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废水量</w:t>
                  </w:r>
                </w:p>
              </w:tc>
            </w:tr>
            <w:tr w14:paraId="101A9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dxa"/>
                  <w:vMerge w:val="continue"/>
                  <w:vAlign w:val="center"/>
                </w:tcPr>
                <w:p w14:paraId="7FB804F2">
                  <w:pPr>
                    <w:spacing w:line="300" w:lineRule="exact"/>
                    <w:jc w:val="center"/>
                    <w:rPr>
                      <w:rFonts w:ascii="Times New Roman" w:hAnsi="Times New Roman" w:cs="Times New Roman"/>
                      <w:b/>
                      <w:bCs/>
                      <w:color w:val="auto"/>
                      <w:sz w:val="21"/>
                      <w:szCs w:val="21"/>
                    </w:rPr>
                  </w:pPr>
                </w:p>
              </w:tc>
              <w:tc>
                <w:tcPr>
                  <w:tcW w:w="1253" w:type="dxa"/>
                  <w:vMerge w:val="continue"/>
                  <w:vAlign w:val="center"/>
                </w:tcPr>
                <w:p w14:paraId="75486EC7">
                  <w:pPr>
                    <w:spacing w:line="300" w:lineRule="exact"/>
                    <w:jc w:val="center"/>
                    <w:rPr>
                      <w:rFonts w:ascii="Times New Roman" w:hAnsi="Times New Roman" w:cs="Times New Roman"/>
                      <w:b/>
                      <w:bCs/>
                      <w:color w:val="auto"/>
                      <w:sz w:val="21"/>
                      <w:szCs w:val="21"/>
                    </w:rPr>
                  </w:pPr>
                </w:p>
              </w:tc>
              <w:tc>
                <w:tcPr>
                  <w:tcW w:w="1044" w:type="dxa"/>
                  <w:vMerge w:val="continue"/>
                  <w:vAlign w:val="center"/>
                </w:tcPr>
                <w:p w14:paraId="5ED366E0">
                  <w:pPr>
                    <w:spacing w:line="300" w:lineRule="exact"/>
                    <w:jc w:val="center"/>
                    <w:rPr>
                      <w:rFonts w:ascii="Times New Roman" w:hAnsi="Times New Roman" w:cs="Times New Roman"/>
                      <w:b/>
                      <w:bCs/>
                      <w:color w:val="auto"/>
                      <w:sz w:val="21"/>
                      <w:szCs w:val="21"/>
                    </w:rPr>
                  </w:pPr>
                </w:p>
              </w:tc>
              <w:tc>
                <w:tcPr>
                  <w:tcW w:w="981" w:type="dxa"/>
                  <w:vMerge w:val="continue"/>
                  <w:vAlign w:val="center"/>
                </w:tcPr>
                <w:p w14:paraId="14E35FE5">
                  <w:pPr>
                    <w:spacing w:line="300" w:lineRule="exact"/>
                    <w:jc w:val="center"/>
                    <w:rPr>
                      <w:rFonts w:ascii="Times New Roman" w:hAnsi="Times New Roman" w:cs="Times New Roman"/>
                      <w:b/>
                      <w:bCs/>
                      <w:color w:val="auto"/>
                      <w:sz w:val="21"/>
                      <w:szCs w:val="21"/>
                    </w:rPr>
                  </w:pPr>
                </w:p>
              </w:tc>
              <w:tc>
                <w:tcPr>
                  <w:tcW w:w="1045" w:type="dxa"/>
                  <w:vMerge w:val="continue"/>
                  <w:vAlign w:val="center"/>
                </w:tcPr>
                <w:p w14:paraId="26B17E3A">
                  <w:pPr>
                    <w:spacing w:line="300" w:lineRule="exact"/>
                    <w:jc w:val="center"/>
                    <w:rPr>
                      <w:rFonts w:ascii="Times New Roman" w:hAnsi="Times New Roman" w:cs="Times New Roman"/>
                      <w:b/>
                      <w:bCs/>
                      <w:color w:val="auto"/>
                      <w:sz w:val="21"/>
                      <w:szCs w:val="21"/>
                    </w:rPr>
                  </w:pPr>
                </w:p>
              </w:tc>
              <w:tc>
                <w:tcPr>
                  <w:tcW w:w="954" w:type="dxa"/>
                  <w:vMerge w:val="continue"/>
                  <w:vAlign w:val="center"/>
                </w:tcPr>
                <w:p w14:paraId="120BBA51">
                  <w:pPr>
                    <w:spacing w:line="300" w:lineRule="exact"/>
                    <w:jc w:val="center"/>
                    <w:rPr>
                      <w:rFonts w:ascii="Times New Roman" w:hAnsi="Times New Roman" w:cs="Times New Roman"/>
                      <w:b/>
                      <w:bCs/>
                      <w:color w:val="auto"/>
                      <w:sz w:val="21"/>
                      <w:szCs w:val="21"/>
                    </w:rPr>
                  </w:pPr>
                </w:p>
              </w:tc>
              <w:tc>
                <w:tcPr>
                  <w:tcW w:w="884" w:type="dxa"/>
                  <w:vAlign w:val="center"/>
                </w:tcPr>
                <w:p w14:paraId="0465F8FF">
                  <w:pPr>
                    <w:spacing w:line="300" w:lineRule="exac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m³/d</w:t>
                  </w:r>
                </w:p>
              </w:tc>
              <w:tc>
                <w:tcPr>
                  <w:tcW w:w="950" w:type="dxa"/>
                  <w:vAlign w:val="center"/>
                </w:tcPr>
                <w:p w14:paraId="00C491EB">
                  <w:pPr>
                    <w:spacing w:line="300" w:lineRule="exac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m³/a</w:t>
                  </w:r>
                </w:p>
              </w:tc>
              <w:tc>
                <w:tcPr>
                  <w:tcW w:w="931" w:type="dxa"/>
                  <w:vAlign w:val="center"/>
                </w:tcPr>
                <w:p w14:paraId="238DCBF2">
                  <w:pPr>
                    <w:spacing w:line="300" w:lineRule="exact"/>
                    <w:jc w:val="center"/>
                    <w:rPr>
                      <w:rFonts w:hint="eastAsia" w:ascii="Times New Roman" w:hAnsi="Times New Roman" w:eastAsia="宋体" w:cs="Times New Roman"/>
                      <w:b/>
                      <w:bCs/>
                      <w:color w:val="auto"/>
                      <w:sz w:val="21"/>
                      <w:szCs w:val="21"/>
                      <w:lang w:val="en-US" w:eastAsia="zh-CN"/>
                    </w:rPr>
                  </w:pPr>
                  <w:r>
                    <w:rPr>
                      <w:rFonts w:ascii="Times New Roman" w:hAnsi="Times New Roman" w:cs="Times New Roman"/>
                      <w:b/>
                      <w:bCs/>
                      <w:color w:val="auto"/>
                      <w:sz w:val="21"/>
                      <w:szCs w:val="21"/>
                    </w:rPr>
                    <w:t>m³/</w:t>
                  </w:r>
                  <w:r>
                    <w:rPr>
                      <w:rFonts w:hint="eastAsia" w:ascii="Times New Roman" w:hAnsi="Times New Roman" w:cs="Times New Roman"/>
                      <w:b/>
                      <w:bCs/>
                      <w:color w:val="auto"/>
                      <w:sz w:val="21"/>
                      <w:szCs w:val="21"/>
                      <w:lang w:val="en-US" w:eastAsia="zh-CN"/>
                    </w:rPr>
                    <w:t>d</w:t>
                  </w:r>
                </w:p>
              </w:tc>
              <w:tc>
                <w:tcPr>
                  <w:tcW w:w="931" w:type="dxa"/>
                  <w:vAlign w:val="center"/>
                </w:tcPr>
                <w:p w14:paraId="2DF391A2">
                  <w:pPr>
                    <w:spacing w:line="300" w:lineRule="exac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m³/a</w:t>
                  </w:r>
                </w:p>
              </w:tc>
            </w:tr>
            <w:tr w14:paraId="3A887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dxa"/>
                  <w:vAlign w:val="center"/>
                </w:tcPr>
                <w:p w14:paraId="741EF519">
                  <w:pPr>
                    <w:spacing w:line="300" w:lineRule="exact"/>
                    <w:jc w:val="center"/>
                    <w:rPr>
                      <w:rFonts w:ascii="Times New Roman" w:hAnsi="Times New Roman" w:cs="Times New Roman"/>
                      <w:color w:val="auto"/>
                      <w:sz w:val="21"/>
                      <w:szCs w:val="21"/>
                    </w:rPr>
                  </w:pPr>
                  <w:r>
                    <w:rPr>
                      <w:rFonts w:hint="eastAsia" w:cs="Times New Roman"/>
                      <w:color w:val="auto"/>
                      <w:sz w:val="21"/>
                      <w:szCs w:val="21"/>
                      <w:lang w:val="en-US" w:eastAsia="zh-CN"/>
                    </w:rPr>
                    <w:t>单套</w:t>
                  </w:r>
                </w:p>
              </w:tc>
              <w:tc>
                <w:tcPr>
                  <w:tcW w:w="1253" w:type="dxa"/>
                  <w:vAlign w:val="center"/>
                </w:tcPr>
                <w:p w14:paraId="7577EB21">
                  <w:pPr>
                    <w:spacing w:line="30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w:t>
                  </w:r>
                </w:p>
              </w:tc>
              <w:tc>
                <w:tcPr>
                  <w:tcW w:w="1044" w:type="dxa"/>
                  <w:vAlign w:val="center"/>
                </w:tcPr>
                <w:p w14:paraId="321DCB7E">
                  <w:pPr>
                    <w:spacing w:line="30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15</w:t>
                  </w:r>
                </w:p>
              </w:tc>
              <w:tc>
                <w:tcPr>
                  <w:tcW w:w="981" w:type="dxa"/>
                  <w:vAlign w:val="center"/>
                </w:tcPr>
                <w:p w14:paraId="1904A491">
                  <w:pPr>
                    <w:spacing w:line="30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r>
                    <w:rPr>
                      <w:rFonts w:hint="eastAsia" w:eastAsia="宋体" w:cs="Times New Roman"/>
                      <w:color w:val="auto"/>
                      <w:sz w:val="21"/>
                      <w:szCs w:val="21"/>
                      <w:lang w:val="en-US" w:eastAsia="zh-CN"/>
                    </w:rPr>
                    <w:t>5</w:t>
                  </w:r>
                </w:p>
              </w:tc>
              <w:tc>
                <w:tcPr>
                  <w:tcW w:w="1045" w:type="dxa"/>
                  <w:vAlign w:val="center"/>
                </w:tcPr>
                <w:p w14:paraId="2CA9B602">
                  <w:pPr>
                    <w:spacing w:line="30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4800</w:t>
                  </w:r>
                </w:p>
              </w:tc>
              <w:tc>
                <w:tcPr>
                  <w:tcW w:w="954" w:type="dxa"/>
                  <w:vAlign w:val="center"/>
                </w:tcPr>
                <w:p w14:paraId="64D96601">
                  <w:pPr>
                    <w:spacing w:line="30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12</w:t>
                  </w:r>
                </w:p>
              </w:tc>
              <w:tc>
                <w:tcPr>
                  <w:tcW w:w="884" w:type="dxa"/>
                  <w:vAlign w:val="center"/>
                </w:tcPr>
                <w:p w14:paraId="290A1B91">
                  <w:pPr>
                    <w:spacing w:line="30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3.8</w:t>
                  </w:r>
                </w:p>
              </w:tc>
              <w:tc>
                <w:tcPr>
                  <w:tcW w:w="950" w:type="dxa"/>
                  <w:vAlign w:val="center"/>
                </w:tcPr>
                <w:p w14:paraId="077E864B">
                  <w:pPr>
                    <w:spacing w:line="30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1140</w:t>
                  </w:r>
                </w:p>
              </w:tc>
              <w:tc>
                <w:tcPr>
                  <w:tcW w:w="931" w:type="dxa"/>
                  <w:vAlign w:val="center"/>
                </w:tcPr>
                <w:p w14:paraId="5C04FA24">
                  <w:pPr>
                    <w:spacing w:line="30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w:t>
                  </w:r>
                </w:p>
              </w:tc>
              <w:tc>
                <w:tcPr>
                  <w:tcW w:w="931" w:type="dxa"/>
                  <w:vAlign w:val="center"/>
                </w:tcPr>
                <w:p w14:paraId="10BC7BFC">
                  <w:pPr>
                    <w:spacing w:line="30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180</w:t>
                  </w:r>
                </w:p>
              </w:tc>
            </w:tr>
            <w:tr w14:paraId="1F059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dxa"/>
                  <w:vAlign w:val="center"/>
                </w:tcPr>
                <w:p w14:paraId="5BE4FD99">
                  <w:pPr>
                    <w:spacing w:line="30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合计</w:t>
                  </w:r>
                </w:p>
              </w:tc>
              <w:tc>
                <w:tcPr>
                  <w:tcW w:w="1253" w:type="dxa"/>
                  <w:vAlign w:val="center"/>
                </w:tcPr>
                <w:p w14:paraId="101C1EA9">
                  <w:pPr>
                    <w:spacing w:line="30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80</w:t>
                  </w:r>
                </w:p>
              </w:tc>
              <w:tc>
                <w:tcPr>
                  <w:tcW w:w="1044" w:type="dxa"/>
                  <w:vAlign w:val="center"/>
                </w:tcPr>
                <w:p w14:paraId="2A9B269F">
                  <w:pPr>
                    <w:spacing w:line="30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30</w:t>
                  </w:r>
                </w:p>
              </w:tc>
              <w:tc>
                <w:tcPr>
                  <w:tcW w:w="981" w:type="dxa"/>
                  <w:vAlign w:val="center"/>
                </w:tcPr>
                <w:p w14:paraId="43F2073C">
                  <w:pPr>
                    <w:spacing w:line="30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0.5</w:t>
                  </w:r>
                </w:p>
              </w:tc>
              <w:tc>
                <w:tcPr>
                  <w:tcW w:w="1045" w:type="dxa"/>
                  <w:vAlign w:val="center"/>
                </w:tcPr>
                <w:p w14:paraId="2A1366BA">
                  <w:pPr>
                    <w:spacing w:line="30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4800</w:t>
                  </w:r>
                </w:p>
              </w:tc>
              <w:tc>
                <w:tcPr>
                  <w:tcW w:w="954" w:type="dxa"/>
                  <w:vAlign w:val="center"/>
                </w:tcPr>
                <w:p w14:paraId="37F441FA">
                  <w:pPr>
                    <w:spacing w:line="30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12</w:t>
                  </w:r>
                </w:p>
              </w:tc>
              <w:tc>
                <w:tcPr>
                  <w:tcW w:w="884" w:type="dxa"/>
                  <w:vAlign w:val="center"/>
                </w:tcPr>
                <w:p w14:paraId="118D2997">
                  <w:pPr>
                    <w:spacing w:line="30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7.6</w:t>
                  </w:r>
                </w:p>
              </w:tc>
              <w:tc>
                <w:tcPr>
                  <w:tcW w:w="950" w:type="dxa"/>
                  <w:vAlign w:val="center"/>
                </w:tcPr>
                <w:p w14:paraId="399A4653">
                  <w:pPr>
                    <w:spacing w:line="30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2280</w:t>
                  </w:r>
                </w:p>
              </w:tc>
              <w:tc>
                <w:tcPr>
                  <w:tcW w:w="931" w:type="dxa"/>
                  <w:vAlign w:val="center"/>
                </w:tcPr>
                <w:p w14:paraId="3C32C630">
                  <w:pPr>
                    <w:spacing w:line="30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w:t>
                  </w:r>
                </w:p>
              </w:tc>
              <w:tc>
                <w:tcPr>
                  <w:tcW w:w="931" w:type="dxa"/>
                  <w:vAlign w:val="center"/>
                </w:tcPr>
                <w:p w14:paraId="2A124C0C">
                  <w:pPr>
                    <w:spacing w:line="30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360</w:t>
                  </w:r>
                </w:p>
              </w:tc>
            </w:tr>
          </w:tbl>
          <w:p w14:paraId="06FCF408">
            <w:pPr>
              <w:ind w:firstLine="480"/>
              <w:rPr>
                <w:rFonts w:hint="eastAsia"/>
                <w:color w:val="auto"/>
                <w:kern w:val="0"/>
              </w:rPr>
            </w:pPr>
            <w:r>
              <w:rPr>
                <w:rFonts w:hint="eastAsia"/>
                <w:color w:val="auto"/>
                <w:kern w:val="0"/>
              </w:rPr>
              <w:t>本项目用排水情况见下表。</w:t>
            </w:r>
          </w:p>
          <w:p w14:paraId="75348D01">
            <w:pPr>
              <w:ind w:firstLine="0" w:firstLineChars="0"/>
              <w:jc w:val="center"/>
              <w:rPr>
                <w:b/>
                <w:bCs/>
                <w:color w:val="auto"/>
                <w:kern w:val="0"/>
              </w:rPr>
            </w:pPr>
            <w:r>
              <w:rPr>
                <w:rFonts w:hint="eastAsia"/>
                <w:b/>
                <w:color w:val="auto"/>
              </w:rPr>
              <w:t>表</w:t>
            </w:r>
            <w:r>
              <w:rPr>
                <w:rFonts w:hint="eastAsia"/>
                <w:b/>
                <w:color w:val="auto"/>
                <w:lang w:val="en-US" w:eastAsia="zh-CN"/>
              </w:rPr>
              <w:t>2-7</w:t>
            </w:r>
            <w:r>
              <w:rPr>
                <w:rFonts w:hint="eastAsia"/>
                <w:b/>
                <w:bCs/>
                <w:color w:val="auto"/>
                <w:kern w:val="0"/>
              </w:rPr>
              <w:t xml:space="preserve"> 项目用排水情况一览表</w:t>
            </w:r>
            <w:r>
              <w:rPr>
                <w:rFonts w:hint="eastAsia"/>
                <w:b/>
                <w:bCs/>
                <w:color w:val="auto"/>
              </w:rPr>
              <w:t>（单位：m</w:t>
            </w:r>
            <w:r>
              <w:rPr>
                <w:rFonts w:hint="eastAsia"/>
                <w:b/>
                <w:bCs/>
                <w:color w:val="auto"/>
                <w:vertAlign w:val="superscript"/>
              </w:rPr>
              <w:t>3</w:t>
            </w:r>
            <w:r>
              <w:rPr>
                <w:rFonts w:hint="eastAsia"/>
                <w:b/>
                <w:bCs/>
                <w:color w:val="auto"/>
              </w:rPr>
              <w:t>/d）</w:t>
            </w:r>
          </w:p>
          <w:tbl>
            <w:tblPr>
              <w:tblStyle w:val="23"/>
              <w:tblW w:w="81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2219"/>
              <w:gridCol w:w="2423"/>
              <w:gridCol w:w="2423"/>
            </w:tblGrid>
            <w:tr w14:paraId="38E16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93" w:type="dxa"/>
                  <w:noWrap w:val="0"/>
                  <w:vAlign w:val="center"/>
                </w:tcPr>
                <w:p w14:paraId="55A21CED">
                  <w:pPr>
                    <w:spacing w:line="240" w:lineRule="auto"/>
                    <w:ind w:firstLine="0" w:firstLineChars="0"/>
                    <w:jc w:val="center"/>
                    <w:rPr>
                      <w:b/>
                      <w:bCs/>
                      <w:color w:val="auto"/>
                      <w:sz w:val="21"/>
                      <w:szCs w:val="21"/>
                    </w:rPr>
                  </w:pPr>
                  <w:r>
                    <w:rPr>
                      <w:rFonts w:hint="eastAsia"/>
                      <w:b/>
                      <w:bCs/>
                      <w:color w:val="auto"/>
                      <w:sz w:val="21"/>
                      <w:szCs w:val="21"/>
                    </w:rPr>
                    <w:t>序号</w:t>
                  </w:r>
                </w:p>
              </w:tc>
              <w:tc>
                <w:tcPr>
                  <w:tcW w:w="2219" w:type="dxa"/>
                  <w:noWrap w:val="0"/>
                  <w:vAlign w:val="center"/>
                </w:tcPr>
                <w:p w14:paraId="3D947903">
                  <w:pPr>
                    <w:spacing w:line="240" w:lineRule="auto"/>
                    <w:ind w:firstLine="0" w:firstLineChars="0"/>
                    <w:jc w:val="center"/>
                    <w:rPr>
                      <w:b/>
                      <w:bCs/>
                      <w:color w:val="auto"/>
                      <w:sz w:val="21"/>
                      <w:szCs w:val="21"/>
                    </w:rPr>
                  </w:pPr>
                  <w:r>
                    <w:rPr>
                      <w:rFonts w:hint="eastAsia"/>
                      <w:b/>
                      <w:bCs/>
                      <w:color w:val="auto"/>
                      <w:sz w:val="21"/>
                      <w:szCs w:val="21"/>
                    </w:rPr>
                    <w:t>用水项目</w:t>
                  </w:r>
                </w:p>
              </w:tc>
              <w:tc>
                <w:tcPr>
                  <w:tcW w:w="2423" w:type="dxa"/>
                  <w:noWrap w:val="0"/>
                  <w:vAlign w:val="center"/>
                </w:tcPr>
                <w:p w14:paraId="7E0B2A60">
                  <w:pPr>
                    <w:spacing w:line="240" w:lineRule="auto"/>
                    <w:ind w:firstLine="0" w:firstLineChars="0"/>
                    <w:jc w:val="center"/>
                    <w:rPr>
                      <w:b/>
                      <w:bCs/>
                      <w:color w:val="auto"/>
                      <w:sz w:val="21"/>
                      <w:szCs w:val="21"/>
                    </w:rPr>
                  </w:pPr>
                  <w:r>
                    <w:rPr>
                      <w:rFonts w:hint="eastAsia"/>
                      <w:b/>
                      <w:bCs/>
                      <w:color w:val="auto"/>
                      <w:sz w:val="21"/>
                      <w:szCs w:val="21"/>
                    </w:rPr>
                    <w:t>用水量</w:t>
                  </w:r>
                </w:p>
              </w:tc>
              <w:tc>
                <w:tcPr>
                  <w:tcW w:w="2423" w:type="dxa"/>
                  <w:noWrap w:val="0"/>
                  <w:vAlign w:val="center"/>
                </w:tcPr>
                <w:p w14:paraId="1A9649BF">
                  <w:pPr>
                    <w:spacing w:line="240" w:lineRule="auto"/>
                    <w:ind w:firstLine="0" w:firstLineChars="0"/>
                    <w:jc w:val="center"/>
                    <w:rPr>
                      <w:b/>
                      <w:bCs/>
                      <w:color w:val="auto"/>
                      <w:sz w:val="21"/>
                      <w:szCs w:val="21"/>
                    </w:rPr>
                  </w:pPr>
                  <w:r>
                    <w:rPr>
                      <w:rFonts w:hint="eastAsia"/>
                      <w:b/>
                      <w:bCs/>
                      <w:color w:val="auto"/>
                      <w:sz w:val="21"/>
                      <w:szCs w:val="21"/>
                    </w:rPr>
                    <w:t>排水量</w:t>
                  </w:r>
                </w:p>
              </w:tc>
            </w:tr>
            <w:tr w14:paraId="00A90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noWrap w:val="0"/>
                  <w:vAlign w:val="center"/>
                </w:tcPr>
                <w:p w14:paraId="3982BD88">
                  <w:pPr>
                    <w:spacing w:line="240" w:lineRule="auto"/>
                    <w:ind w:firstLine="0" w:firstLineChars="0"/>
                    <w:jc w:val="center"/>
                    <w:rPr>
                      <w:bCs/>
                      <w:color w:val="auto"/>
                      <w:sz w:val="21"/>
                      <w:szCs w:val="18"/>
                    </w:rPr>
                  </w:pPr>
                  <w:r>
                    <w:rPr>
                      <w:rFonts w:hint="eastAsia"/>
                      <w:bCs/>
                      <w:color w:val="auto"/>
                      <w:sz w:val="21"/>
                      <w:szCs w:val="18"/>
                    </w:rPr>
                    <w:t>1</w:t>
                  </w:r>
                </w:p>
              </w:tc>
              <w:tc>
                <w:tcPr>
                  <w:tcW w:w="2219" w:type="dxa"/>
                  <w:noWrap w:val="0"/>
                  <w:vAlign w:val="center"/>
                </w:tcPr>
                <w:p w14:paraId="22F0E0E9">
                  <w:pPr>
                    <w:spacing w:line="240" w:lineRule="auto"/>
                    <w:ind w:firstLine="0" w:firstLineChars="0"/>
                    <w:jc w:val="center"/>
                    <w:rPr>
                      <w:bCs/>
                      <w:color w:val="auto"/>
                      <w:sz w:val="21"/>
                      <w:szCs w:val="18"/>
                    </w:rPr>
                  </w:pPr>
                  <w:r>
                    <w:rPr>
                      <w:rFonts w:hint="eastAsia"/>
                      <w:bCs/>
                      <w:color w:val="auto"/>
                      <w:sz w:val="21"/>
                      <w:szCs w:val="18"/>
                    </w:rPr>
                    <w:t>生活用水</w:t>
                  </w:r>
                </w:p>
              </w:tc>
              <w:tc>
                <w:tcPr>
                  <w:tcW w:w="2423" w:type="dxa"/>
                  <w:noWrap w:val="0"/>
                  <w:vAlign w:val="center"/>
                </w:tcPr>
                <w:p w14:paraId="10E7D3A6">
                  <w:pPr>
                    <w:spacing w:line="240" w:lineRule="auto"/>
                    <w:ind w:firstLine="0" w:firstLineChars="0"/>
                    <w:jc w:val="center"/>
                    <w:rPr>
                      <w:rFonts w:hint="default" w:eastAsia="宋体"/>
                      <w:bCs/>
                      <w:color w:val="auto"/>
                      <w:sz w:val="21"/>
                      <w:szCs w:val="18"/>
                      <w:lang w:val="en-US" w:eastAsia="zh-CN"/>
                    </w:rPr>
                  </w:pPr>
                  <w:r>
                    <w:rPr>
                      <w:rFonts w:hint="default" w:eastAsia="宋体"/>
                      <w:bCs/>
                      <w:color w:val="auto"/>
                      <w:sz w:val="21"/>
                      <w:szCs w:val="18"/>
                      <w:lang w:val="en-US" w:eastAsia="zh-CN"/>
                    </w:rPr>
                    <w:t>4.8</w:t>
                  </w:r>
                </w:p>
              </w:tc>
              <w:tc>
                <w:tcPr>
                  <w:tcW w:w="2423" w:type="dxa"/>
                  <w:noWrap w:val="0"/>
                  <w:vAlign w:val="center"/>
                </w:tcPr>
                <w:p w14:paraId="65223449">
                  <w:pPr>
                    <w:spacing w:line="240" w:lineRule="auto"/>
                    <w:ind w:firstLine="0" w:firstLineChars="0"/>
                    <w:jc w:val="center"/>
                    <w:rPr>
                      <w:rFonts w:hint="default" w:eastAsia="宋体"/>
                      <w:bCs/>
                      <w:color w:val="auto"/>
                      <w:sz w:val="21"/>
                      <w:szCs w:val="18"/>
                      <w:lang w:val="en-US" w:eastAsia="zh-CN"/>
                    </w:rPr>
                  </w:pPr>
                  <w:r>
                    <w:rPr>
                      <w:rFonts w:hint="default" w:eastAsia="宋体"/>
                      <w:bCs/>
                      <w:color w:val="auto"/>
                      <w:sz w:val="21"/>
                      <w:szCs w:val="18"/>
                      <w:lang w:val="en-US" w:eastAsia="zh-CN"/>
                    </w:rPr>
                    <w:t>4.08</w:t>
                  </w:r>
                </w:p>
              </w:tc>
            </w:tr>
            <w:tr w14:paraId="20304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noWrap w:val="0"/>
                  <w:vAlign w:val="center"/>
                </w:tcPr>
                <w:p w14:paraId="5D605D63">
                  <w:pPr>
                    <w:spacing w:line="240" w:lineRule="auto"/>
                    <w:ind w:firstLine="0" w:firstLineChars="0"/>
                    <w:jc w:val="center"/>
                    <w:rPr>
                      <w:color w:val="auto"/>
                      <w:sz w:val="21"/>
                      <w:szCs w:val="21"/>
                    </w:rPr>
                  </w:pPr>
                  <w:r>
                    <w:rPr>
                      <w:rFonts w:hint="eastAsia"/>
                      <w:color w:val="auto"/>
                      <w:sz w:val="21"/>
                      <w:szCs w:val="21"/>
                    </w:rPr>
                    <w:t>2</w:t>
                  </w:r>
                </w:p>
              </w:tc>
              <w:tc>
                <w:tcPr>
                  <w:tcW w:w="2219" w:type="dxa"/>
                  <w:noWrap w:val="0"/>
                  <w:vAlign w:val="center"/>
                </w:tcPr>
                <w:p w14:paraId="1C0B8E5C">
                  <w:pPr>
                    <w:spacing w:line="240" w:lineRule="auto"/>
                    <w:ind w:firstLine="0" w:firstLineChars="0"/>
                    <w:jc w:val="center"/>
                    <w:rPr>
                      <w:bCs/>
                      <w:color w:val="auto"/>
                      <w:sz w:val="21"/>
                      <w:szCs w:val="18"/>
                    </w:rPr>
                  </w:pPr>
                  <w:r>
                    <w:rPr>
                      <w:bCs/>
                      <w:color w:val="auto"/>
                      <w:sz w:val="21"/>
                      <w:szCs w:val="18"/>
                    </w:rPr>
                    <w:t>保洁用水</w:t>
                  </w:r>
                </w:p>
              </w:tc>
              <w:tc>
                <w:tcPr>
                  <w:tcW w:w="2423" w:type="dxa"/>
                  <w:noWrap w:val="0"/>
                  <w:vAlign w:val="center"/>
                </w:tcPr>
                <w:p w14:paraId="4DB57509">
                  <w:pPr>
                    <w:spacing w:line="240" w:lineRule="auto"/>
                    <w:ind w:firstLine="0" w:firstLineChars="0"/>
                    <w:jc w:val="center"/>
                    <w:rPr>
                      <w:rFonts w:hint="default" w:eastAsia="宋体"/>
                      <w:bCs/>
                      <w:color w:val="auto"/>
                      <w:sz w:val="21"/>
                      <w:szCs w:val="18"/>
                      <w:lang w:val="en-US" w:eastAsia="zh-CN"/>
                    </w:rPr>
                  </w:pPr>
                  <w:r>
                    <w:rPr>
                      <w:rFonts w:hint="default" w:eastAsia="宋体"/>
                      <w:bCs/>
                      <w:color w:val="auto"/>
                      <w:sz w:val="21"/>
                      <w:szCs w:val="18"/>
                      <w:lang w:val="en-US" w:eastAsia="zh-CN"/>
                    </w:rPr>
                    <w:t>2.375</w:t>
                  </w:r>
                </w:p>
              </w:tc>
              <w:tc>
                <w:tcPr>
                  <w:tcW w:w="2423" w:type="dxa"/>
                  <w:noWrap w:val="0"/>
                  <w:vAlign w:val="center"/>
                </w:tcPr>
                <w:p w14:paraId="3EECABB1">
                  <w:pPr>
                    <w:spacing w:line="240" w:lineRule="auto"/>
                    <w:ind w:firstLine="0" w:firstLineChars="0"/>
                    <w:jc w:val="center"/>
                    <w:rPr>
                      <w:rFonts w:hint="default" w:eastAsia="宋体"/>
                      <w:bCs/>
                      <w:color w:val="auto"/>
                      <w:sz w:val="21"/>
                      <w:szCs w:val="18"/>
                      <w:lang w:val="en-US" w:eastAsia="zh-CN"/>
                    </w:rPr>
                  </w:pPr>
                  <w:r>
                    <w:rPr>
                      <w:rFonts w:hint="default" w:eastAsia="宋体"/>
                      <w:bCs/>
                      <w:color w:val="auto"/>
                      <w:sz w:val="21"/>
                      <w:szCs w:val="18"/>
                      <w:lang w:val="en-US" w:eastAsia="zh-CN"/>
                    </w:rPr>
                    <w:t>1.663</w:t>
                  </w:r>
                </w:p>
              </w:tc>
            </w:tr>
            <w:tr w14:paraId="36EC3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noWrap w:val="0"/>
                  <w:vAlign w:val="center"/>
                </w:tcPr>
                <w:p w14:paraId="64A8FC31">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3</w:t>
                  </w:r>
                </w:p>
              </w:tc>
              <w:tc>
                <w:tcPr>
                  <w:tcW w:w="2219" w:type="dxa"/>
                  <w:noWrap w:val="0"/>
                  <w:vAlign w:val="center"/>
                </w:tcPr>
                <w:p w14:paraId="3BF72C4A">
                  <w:pPr>
                    <w:spacing w:line="240" w:lineRule="auto"/>
                    <w:ind w:firstLine="0" w:firstLineChars="0"/>
                    <w:jc w:val="center"/>
                    <w:rPr>
                      <w:rFonts w:hint="eastAsia"/>
                      <w:bCs/>
                      <w:color w:val="auto"/>
                      <w:sz w:val="21"/>
                      <w:szCs w:val="18"/>
                      <w:lang w:eastAsia="zh-CN"/>
                    </w:rPr>
                  </w:pPr>
                  <w:r>
                    <w:rPr>
                      <w:rFonts w:hint="eastAsia"/>
                      <w:bCs/>
                      <w:color w:val="auto"/>
                      <w:sz w:val="21"/>
                      <w:szCs w:val="18"/>
                      <w:lang w:val="en-US" w:eastAsia="zh-CN"/>
                    </w:rPr>
                    <w:t>循环冷却系统</w:t>
                  </w:r>
                  <w:r>
                    <w:rPr>
                      <w:rFonts w:hint="eastAsia"/>
                      <w:bCs/>
                      <w:color w:val="auto"/>
                      <w:sz w:val="21"/>
                      <w:szCs w:val="18"/>
                      <w:lang w:eastAsia="zh-CN"/>
                    </w:rPr>
                    <w:t>用水</w:t>
                  </w:r>
                </w:p>
              </w:tc>
              <w:tc>
                <w:tcPr>
                  <w:tcW w:w="2423" w:type="dxa"/>
                  <w:noWrap w:val="0"/>
                  <w:vAlign w:val="center"/>
                </w:tcPr>
                <w:p w14:paraId="76CD0CDE">
                  <w:pPr>
                    <w:spacing w:line="240" w:lineRule="auto"/>
                    <w:ind w:firstLine="0" w:firstLineChars="0"/>
                    <w:jc w:val="center"/>
                    <w:rPr>
                      <w:rFonts w:hint="default"/>
                      <w:bCs/>
                      <w:color w:val="auto"/>
                      <w:sz w:val="21"/>
                      <w:szCs w:val="18"/>
                      <w:lang w:val="en-US" w:eastAsia="zh-CN"/>
                    </w:rPr>
                  </w:pPr>
                  <w:r>
                    <w:rPr>
                      <w:rFonts w:hint="default"/>
                      <w:bCs/>
                      <w:color w:val="auto"/>
                      <w:sz w:val="21"/>
                      <w:szCs w:val="18"/>
                      <w:lang w:val="en-US" w:eastAsia="zh-CN"/>
                    </w:rPr>
                    <w:t>7.6</w:t>
                  </w:r>
                </w:p>
              </w:tc>
              <w:tc>
                <w:tcPr>
                  <w:tcW w:w="2423" w:type="dxa"/>
                  <w:noWrap w:val="0"/>
                  <w:vAlign w:val="center"/>
                </w:tcPr>
                <w:p w14:paraId="00B34B31">
                  <w:pPr>
                    <w:spacing w:line="240" w:lineRule="auto"/>
                    <w:ind w:firstLine="0" w:firstLineChars="0"/>
                    <w:jc w:val="center"/>
                    <w:rPr>
                      <w:rFonts w:hint="default" w:eastAsia="宋体"/>
                      <w:bCs/>
                      <w:color w:val="auto"/>
                      <w:sz w:val="21"/>
                      <w:szCs w:val="18"/>
                      <w:lang w:val="en-US" w:eastAsia="zh-CN"/>
                    </w:rPr>
                  </w:pPr>
                  <w:r>
                    <w:rPr>
                      <w:rFonts w:hint="default" w:eastAsia="宋体"/>
                      <w:bCs/>
                      <w:color w:val="auto"/>
                      <w:sz w:val="21"/>
                      <w:szCs w:val="18"/>
                      <w:lang w:val="en-US" w:eastAsia="zh-CN"/>
                    </w:rPr>
                    <w:t>1.2</w:t>
                  </w:r>
                </w:p>
              </w:tc>
            </w:tr>
            <w:tr w14:paraId="0E32A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noWrap w:val="0"/>
                  <w:vAlign w:val="center"/>
                </w:tcPr>
                <w:p w14:paraId="236A1D9A">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4</w:t>
                  </w:r>
                </w:p>
              </w:tc>
              <w:tc>
                <w:tcPr>
                  <w:tcW w:w="2219" w:type="dxa"/>
                  <w:noWrap w:val="0"/>
                  <w:vAlign w:val="center"/>
                </w:tcPr>
                <w:p w14:paraId="0440E5E7">
                  <w:pPr>
                    <w:spacing w:line="240" w:lineRule="auto"/>
                    <w:ind w:firstLine="0" w:firstLineChars="0"/>
                    <w:jc w:val="center"/>
                    <w:rPr>
                      <w:rFonts w:hint="eastAsia"/>
                      <w:bCs/>
                      <w:color w:val="auto"/>
                      <w:sz w:val="21"/>
                      <w:szCs w:val="18"/>
                    </w:rPr>
                  </w:pPr>
                  <w:r>
                    <w:rPr>
                      <w:rFonts w:hint="eastAsia"/>
                      <w:bCs/>
                      <w:color w:val="auto"/>
                      <w:sz w:val="21"/>
                      <w:szCs w:val="18"/>
                    </w:rPr>
                    <w:t>合计</w:t>
                  </w:r>
                </w:p>
              </w:tc>
              <w:tc>
                <w:tcPr>
                  <w:tcW w:w="2423" w:type="dxa"/>
                  <w:noWrap w:val="0"/>
                  <w:vAlign w:val="center"/>
                </w:tcPr>
                <w:p w14:paraId="089137C5">
                  <w:pPr>
                    <w:spacing w:line="240" w:lineRule="auto"/>
                    <w:ind w:firstLine="0" w:firstLineChars="0"/>
                    <w:jc w:val="center"/>
                    <w:rPr>
                      <w:rFonts w:hint="default"/>
                      <w:bCs/>
                      <w:color w:val="auto"/>
                      <w:sz w:val="21"/>
                      <w:szCs w:val="18"/>
                      <w:lang w:val="en-US"/>
                    </w:rPr>
                  </w:pPr>
                  <w:r>
                    <w:rPr>
                      <w:rFonts w:hint="default"/>
                      <w:bCs/>
                      <w:color w:val="auto"/>
                      <w:sz w:val="21"/>
                      <w:szCs w:val="18"/>
                      <w:lang w:val="en-US"/>
                    </w:rPr>
                    <w:fldChar w:fldCharType="begin"/>
                  </w:r>
                  <w:r>
                    <w:rPr>
                      <w:rFonts w:hint="default"/>
                      <w:bCs/>
                      <w:color w:val="auto"/>
                      <w:sz w:val="21"/>
                      <w:szCs w:val="18"/>
                      <w:lang w:val="en-US"/>
                    </w:rPr>
                    <w:instrText xml:space="preserve"> = sum(C2:C4) \* MERGEFORMAT </w:instrText>
                  </w:r>
                  <w:r>
                    <w:rPr>
                      <w:rFonts w:hint="default"/>
                      <w:bCs/>
                      <w:color w:val="auto"/>
                      <w:sz w:val="21"/>
                      <w:szCs w:val="18"/>
                      <w:lang w:val="en-US"/>
                    </w:rPr>
                    <w:fldChar w:fldCharType="separate"/>
                  </w:r>
                  <w:r>
                    <w:rPr>
                      <w:rFonts w:hint="default"/>
                      <w:bCs/>
                      <w:color w:val="auto"/>
                      <w:sz w:val="21"/>
                      <w:szCs w:val="18"/>
                      <w:lang w:val="en-US"/>
                    </w:rPr>
                    <w:t>14.775</w:t>
                  </w:r>
                  <w:r>
                    <w:rPr>
                      <w:rFonts w:hint="default"/>
                      <w:bCs/>
                      <w:color w:val="auto"/>
                      <w:sz w:val="21"/>
                      <w:szCs w:val="18"/>
                      <w:lang w:val="en-US"/>
                    </w:rPr>
                    <w:fldChar w:fldCharType="end"/>
                  </w:r>
                </w:p>
              </w:tc>
              <w:tc>
                <w:tcPr>
                  <w:tcW w:w="2423" w:type="dxa"/>
                  <w:noWrap w:val="0"/>
                  <w:vAlign w:val="center"/>
                </w:tcPr>
                <w:p w14:paraId="7B5C984C">
                  <w:pPr>
                    <w:spacing w:line="240" w:lineRule="auto"/>
                    <w:ind w:firstLine="0" w:firstLineChars="0"/>
                    <w:jc w:val="center"/>
                    <w:rPr>
                      <w:rFonts w:hint="default" w:eastAsia="宋体"/>
                      <w:bCs/>
                      <w:color w:val="auto"/>
                      <w:sz w:val="21"/>
                      <w:szCs w:val="18"/>
                      <w:lang w:val="en-US" w:eastAsia="zh-CN"/>
                    </w:rPr>
                  </w:pPr>
                  <w:r>
                    <w:rPr>
                      <w:rFonts w:hint="default" w:eastAsia="宋体"/>
                      <w:bCs/>
                      <w:color w:val="auto"/>
                      <w:sz w:val="21"/>
                      <w:szCs w:val="18"/>
                      <w:lang w:val="en-US" w:eastAsia="zh-CN"/>
                    </w:rPr>
                    <w:fldChar w:fldCharType="begin"/>
                  </w:r>
                  <w:r>
                    <w:rPr>
                      <w:rFonts w:hint="default" w:eastAsia="宋体"/>
                      <w:bCs/>
                      <w:color w:val="auto"/>
                      <w:sz w:val="21"/>
                      <w:szCs w:val="18"/>
                      <w:lang w:val="en-US" w:eastAsia="zh-CN"/>
                    </w:rPr>
                    <w:instrText xml:space="preserve"> = sum(D2:D4) \* MERGEFORMAT </w:instrText>
                  </w:r>
                  <w:r>
                    <w:rPr>
                      <w:rFonts w:hint="default" w:eastAsia="宋体"/>
                      <w:bCs/>
                      <w:color w:val="auto"/>
                      <w:sz w:val="21"/>
                      <w:szCs w:val="18"/>
                      <w:lang w:val="en-US" w:eastAsia="zh-CN"/>
                    </w:rPr>
                    <w:fldChar w:fldCharType="separate"/>
                  </w:r>
                  <w:r>
                    <w:rPr>
                      <w:rFonts w:hint="default" w:eastAsia="宋体"/>
                      <w:bCs/>
                      <w:color w:val="auto"/>
                      <w:sz w:val="21"/>
                      <w:szCs w:val="18"/>
                      <w:lang w:val="en-US" w:eastAsia="zh-CN"/>
                    </w:rPr>
                    <w:t>6.943</w:t>
                  </w:r>
                  <w:r>
                    <w:rPr>
                      <w:rFonts w:hint="default" w:eastAsia="宋体"/>
                      <w:bCs/>
                      <w:color w:val="auto"/>
                      <w:sz w:val="21"/>
                      <w:szCs w:val="18"/>
                      <w:lang w:val="en-US" w:eastAsia="zh-CN"/>
                    </w:rPr>
                    <w:fldChar w:fldCharType="end"/>
                  </w:r>
                </w:p>
              </w:tc>
            </w:tr>
          </w:tbl>
          <w:p w14:paraId="2C7F19E9">
            <w:pPr>
              <w:bidi w:val="0"/>
              <w:ind w:firstLine="480" w:firstLineChars="200"/>
              <w:rPr>
                <w:rFonts w:hint="eastAsia"/>
              </w:rPr>
            </w:pPr>
            <w:r>
              <w:rPr>
                <w:rFonts w:hint="eastAsia"/>
              </w:rPr>
              <w:t>本项目水平衡见下图。</w:t>
            </w:r>
          </w:p>
          <w:p w14:paraId="188932FD">
            <w:pPr>
              <w:bidi w:val="0"/>
              <w:jc w:val="center"/>
              <w:rPr>
                <w:rFonts w:hint="eastAsia" w:eastAsia="宋体"/>
                <w:lang w:val="en-US" w:eastAsia="zh-CN"/>
              </w:rPr>
            </w:pPr>
            <w:r>
              <w:rPr>
                <w:rFonts w:hint="eastAsia" w:eastAsia="宋体"/>
                <w:lang w:val="en-US" w:eastAsia="zh-CN"/>
              </w:rPr>
              <w:drawing>
                <wp:inline distT="0" distB="0" distL="114300" distR="114300">
                  <wp:extent cx="4742180" cy="4795520"/>
                  <wp:effectExtent l="0" t="0" r="0" b="0"/>
                  <wp:docPr id="23"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CB019B1-382A-4266-B25C-5B523AA43C14-1" descr="wps"/>
                          <pic:cNvPicPr>
                            <a:picLocks noChangeAspect="1"/>
                          </pic:cNvPicPr>
                        </pic:nvPicPr>
                        <pic:blipFill>
                          <a:blip r:embed="rId17"/>
                          <a:stretch>
                            <a:fillRect/>
                          </a:stretch>
                        </pic:blipFill>
                        <pic:spPr>
                          <a:xfrm>
                            <a:off x="0" y="0"/>
                            <a:ext cx="4742180" cy="4795520"/>
                          </a:xfrm>
                          <a:prstGeom prst="rect">
                            <a:avLst/>
                          </a:prstGeom>
                        </pic:spPr>
                      </pic:pic>
                    </a:graphicData>
                  </a:graphic>
                </wp:inline>
              </w:drawing>
            </w:r>
          </w:p>
          <w:p w14:paraId="156EE429">
            <w:pPr>
              <w:bidi w:val="0"/>
              <w:jc w:val="center"/>
              <w:rPr>
                <w:rFonts w:hint="eastAsia"/>
                <w:b/>
                <w:color w:val="auto"/>
                <w:szCs w:val="21"/>
              </w:rPr>
            </w:pPr>
            <w:r>
              <w:rPr>
                <w:rFonts w:hint="eastAsia"/>
                <w:b/>
                <w:color w:val="auto"/>
                <w:szCs w:val="21"/>
              </w:rPr>
              <w:t>图</w:t>
            </w:r>
            <w:r>
              <w:rPr>
                <w:rFonts w:hint="eastAsia"/>
                <w:b/>
                <w:color w:val="auto"/>
                <w:szCs w:val="21"/>
                <w:lang w:val="en-US" w:eastAsia="zh-CN"/>
              </w:rPr>
              <w:t>2-</w:t>
            </w:r>
            <w:r>
              <w:rPr>
                <w:rFonts w:hint="eastAsia"/>
                <w:b/>
                <w:color w:val="auto"/>
                <w:szCs w:val="21"/>
              </w:rPr>
              <w:t xml:space="preserve">1  </w:t>
            </w:r>
            <w:r>
              <w:rPr>
                <w:rFonts w:hint="eastAsia"/>
                <w:b/>
                <w:color w:val="auto"/>
                <w:szCs w:val="21"/>
                <w:lang w:eastAsia="zh-CN"/>
              </w:rPr>
              <w:t>本</w:t>
            </w:r>
            <w:r>
              <w:rPr>
                <w:rFonts w:hint="eastAsia"/>
                <w:b/>
                <w:color w:val="auto"/>
                <w:szCs w:val="21"/>
              </w:rPr>
              <w:t>项目水平衡图（单位：</w:t>
            </w:r>
            <w:r>
              <w:rPr>
                <w:rFonts w:hint="eastAsia"/>
                <w:b/>
                <w:bCs/>
                <w:color w:val="auto"/>
                <w:lang w:val="en-US" w:eastAsia="zh-CN"/>
              </w:rPr>
              <w:t>m</w:t>
            </w:r>
            <w:r>
              <w:rPr>
                <w:rFonts w:hint="eastAsia"/>
                <w:b/>
                <w:bCs/>
                <w:color w:val="auto"/>
                <w:vertAlign w:val="superscript"/>
                <w:lang w:val="en-US" w:eastAsia="zh-CN"/>
              </w:rPr>
              <w:t>3</w:t>
            </w:r>
            <w:r>
              <w:rPr>
                <w:rFonts w:hint="eastAsia"/>
                <w:b/>
                <w:bCs/>
                <w:color w:val="auto"/>
              </w:rPr>
              <w:t>/d</w:t>
            </w:r>
            <w:r>
              <w:rPr>
                <w:rFonts w:hint="eastAsia"/>
                <w:b/>
                <w:color w:val="auto"/>
                <w:szCs w:val="21"/>
              </w:rPr>
              <w:t>）</w:t>
            </w:r>
          </w:p>
          <w:p w14:paraId="1974DE70">
            <w:pPr>
              <w:numPr>
                <w:ilvl w:val="0"/>
                <w:numId w:val="0"/>
              </w:numPr>
              <w:ind w:firstLine="0" w:firstLineChars="0"/>
              <w:rPr>
                <w:rFonts w:hint="eastAsia"/>
                <w:b/>
                <w:color w:val="auto"/>
                <w:szCs w:val="21"/>
              </w:rPr>
            </w:pPr>
            <w:r>
              <w:rPr>
                <w:rFonts w:hint="eastAsia" w:ascii="Times New Roman" w:hAnsi="Times New Roman" w:eastAsia="宋体" w:cs="Times New Roman"/>
                <w:b/>
                <w:color w:val="auto"/>
                <w:kern w:val="2"/>
                <w:sz w:val="24"/>
                <w:szCs w:val="21"/>
                <w:lang w:val="en-US" w:eastAsia="zh-CN" w:bidi="ar-SA"/>
              </w:rPr>
              <w:t>8、</w:t>
            </w:r>
            <w:r>
              <w:rPr>
                <w:rFonts w:hint="eastAsia"/>
                <w:b/>
                <w:color w:val="auto"/>
                <w:szCs w:val="21"/>
              </w:rPr>
              <w:t>项目总平面布置</w:t>
            </w:r>
          </w:p>
          <w:p w14:paraId="7BBC19AC">
            <w:pPr>
              <w:bidi w:val="0"/>
              <w:ind w:firstLine="480" w:firstLineChars="200"/>
              <w:rPr>
                <w:rFonts w:hint="eastAsia"/>
                <w:lang w:val="en-US" w:eastAsia="zh-CN"/>
              </w:rPr>
            </w:pPr>
            <w:r>
              <w:rPr>
                <w:color w:val="auto"/>
                <w:szCs w:val="21"/>
              </w:rPr>
              <w:t>本项目位于</w:t>
            </w:r>
            <w:r>
              <w:rPr>
                <w:rFonts w:hint="eastAsia"/>
                <w:color w:val="auto"/>
                <w:szCs w:val="21"/>
                <w:lang w:val="en-US" w:eastAsia="zh-CN"/>
              </w:rPr>
              <w:t>淮北市</w:t>
            </w:r>
            <w:r>
              <w:rPr>
                <w:rFonts w:hint="default" w:ascii="Times New Roman" w:hAnsi="Times New Roman" w:cs="Times New Roman"/>
                <w:color w:val="000000"/>
                <w:spacing w:val="0"/>
                <w:w w:val="100"/>
                <w:position w:val="0"/>
                <w:sz w:val="24"/>
                <w:szCs w:val="24"/>
                <w:u w:val="none"/>
                <w:lang w:eastAsia="zh-CN"/>
              </w:rPr>
              <w:t>石台镇乡村振兴厂房2号部分厂房及3号</w:t>
            </w:r>
            <w:r>
              <w:rPr>
                <w:rFonts w:hint="eastAsia" w:ascii="Times New Roman" w:hAnsi="Times New Roman" w:cs="Times New Roman"/>
                <w:color w:val="000000"/>
                <w:spacing w:val="0"/>
                <w:w w:val="100"/>
                <w:position w:val="0"/>
                <w:sz w:val="24"/>
                <w:szCs w:val="24"/>
                <w:u w:val="none"/>
                <w:lang w:val="en-US" w:eastAsia="zh-CN"/>
              </w:rPr>
              <w:t>厂房</w:t>
            </w:r>
            <w:r>
              <w:rPr>
                <w:rFonts w:hint="eastAsia"/>
                <w:color w:val="auto"/>
                <w:szCs w:val="21"/>
              </w:rPr>
              <w:t>，</w:t>
            </w:r>
            <w:r>
              <w:rPr>
                <w:rFonts w:hint="eastAsia"/>
                <w:color w:val="auto"/>
                <w:szCs w:val="21"/>
                <w:lang w:val="en-US" w:eastAsia="zh-CN"/>
              </w:rPr>
              <w:t>机加工车间以及密炼车间位于</w:t>
            </w:r>
            <w:r>
              <w:rPr>
                <w:rFonts w:hint="default" w:ascii="Times New Roman" w:hAnsi="Times New Roman" w:cs="Times New Roman"/>
                <w:color w:val="000000"/>
                <w:spacing w:val="0"/>
                <w:w w:val="100"/>
                <w:position w:val="0"/>
                <w:sz w:val="24"/>
                <w:szCs w:val="24"/>
                <w:u w:val="none"/>
                <w:lang w:eastAsia="zh-CN"/>
              </w:rPr>
              <w:t>3号</w:t>
            </w:r>
            <w:r>
              <w:rPr>
                <w:rFonts w:hint="eastAsia" w:ascii="Times New Roman" w:hAnsi="Times New Roman" w:cs="Times New Roman"/>
                <w:color w:val="000000"/>
                <w:spacing w:val="0"/>
                <w:w w:val="100"/>
                <w:position w:val="0"/>
                <w:sz w:val="24"/>
                <w:szCs w:val="24"/>
                <w:u w:val="none"/>
                <w:lang w:val="en-US" w:eastAsia="zh-CN"/>
              </w:rPr>
              <w:t>厂房，</w:t>
            </w:r>
            <w:r>
              <w:rPr>
                <w:rFonts w:hint="eastAsia"/>
                <w:color w:val="auto"/>
                <w:szCs w:val="21"/>
                <w:lang w:val="en-US" w:eastAsia="zh-CN"/>
              </w:rPr>
              <w:t>硫化车间位于</w:t>
            </w:r>
            <w:r>
              <w:rPr>
                <w:rFonts w:hint="default" w:ascii="Times New Roman" w:hAnsi="Times New Roman" w:cs="Times New Roman"/>
                <w:color w:val="000000"/>
                <w:spacing w:val="0"/>
                <w:w w:val="100"/>
                <w:position w:val="0"/>
                <w:sz w:val="24"/>
                <w:szCs w:val="24"/>
                <w:u w:val="none"/>
                <w:lang w:eastAsia="zh-CN"/>
              </w:rPr>
              <w:t>2号厂房</w:t>
            </w:r>
            <w:r>
              <w:rPr>
                <w:rFonts w:hint="eastAsia" w:ascii="Times New Roman" w:hAnsi="Times New Roman" w:cs="Times New Roman"/>
                <w:color w:val="000000"/>
                <w:spacing w:val="0"/>
                <w:w w:val="100"/>
                <w:position w:val="0"/>
                <w:sz w:val="24"/>
                <w:szCs w:val="24"/>
                <w:u w:val="none"/>
                <w:lang w:eastAsia="zh-CN"/>
              </w:rPr>
              <w:t>。</w:t>
            </w:r>
            <w:r>
              <w:rPr>
                <w:rFonts w:hint="eastAsia" w:ascii="Times New Roman" w:hAnsi="Times New Roman" w:cs="Times New Roman"/>
                <w:color w:val="000000"/>
                <w:spacing w:val="0"/>
                <w:w w:val="100"/>
                <w:position w:val="0"/>
                <w:sz w:val="24"/>
                <w:szCs w:val="24"/>
                <w:u w:val="none"/>
                <w:lang w:val="en-US" w:eastAsia="zh-CN"/>
              </w:rPr>
              <w:t>实验室、配料室和涂板间位于</w:t>
            </w:r>
            <w:r>
              <w:rPr>
                <w:rFonts w:hint="eastAsia"/>
                <w:color w:val="auto"/>
                <w:szCs w:val="21"/>
                <w:lang w:val="en-US" w:eastAsia="zh-CN"/>
              </w:rPr>
              <w:t>硫化车间；钢板存放区、钢板成品区位于机加工车间；成品存放区位于硫化车间、辅料库房位于密炼车间内西侧；硫磺防爆间以及危废暂存间位于密炼车间外西侧；废气处理设施位于各车间。项目</w:t>
            </w:r>
            <w:r>
              <w:rPr>
                <w:rFonts w:hint="eastAsia" w:ascii="Times New Roman" w:hAnsi="Times New Roman" w:cs="Times New Roman"/>
                <w:bCs/>
                <w:snapToGrid w:val="0"/>
                <w:color w:val="000000"/>
                <w:sz w:val="24"/>
              </w:rPr>
              <w:t>车</w:t>
            </w:r>
            <w:r>
              <w:rPr>
                <w:rFonts w:ascii="Times New Roman" w:hAnsi="Times New Roman" w:cs="Times New Roman"/>
                <w:bCs/>
                <w:snapToGrid w:val="0"/>
                <w:color w:val="000000"/>
                <w:sz w:val="24"/>
              </w:rPr>
              <w:t>间内按各生产流程布置各生产设备和生产材料，以缩短运输路线，提高生产效率。厂内外运输配合协调，避免了往返运输和作业线交叉，避免人流货流交叉</w:t>
            </w:r>
            <w:r>
              <w:rPr>
                <w:rFonts w:hint="eastAsia" w:cs="Times New Roman"/>
                <w:bCs/>
                <w:snapToGrid w:val="0"/>
                <w:color w:val="000000"/>
                <w:sz w:val="24"/>
                <w:lang w:eastAsia="zh-CN"/>
              </w:rPr>
              <w:t>。项目总平面布置合理，分区明确，交通便捷，空间利用合理有序。</w:t>
            </w:r>
            <w:r>
              <w:rPr>
                <w:color w:val="auto"/>
                <w:sz w:val="24"/>
              </w:rPr>
              <w:t>具体厂区</w:t>
            </w:r>
            <w:r>
              <w:rPr>
                <w:rFonts w:hint="eastAsia"/>
                <w:color w:val="auto"/>
                <w:sz w:val="24"/>
              </w:rPr>
              <w:t>总平</w:t>
            </w:r>
            <w:r>
              <w:rPr>
                <w:color w:val="auto"/>
                <w:sz w:val="24"/>
              </w:rPr>
              <w:t>图见附图2、</w:t>
            </w:r>
            <w:r>
              <w:rPr>
                <w:rFonts w:hint="eastAsia"/>
                <w:color w:val="auto"/>
                <w:sz w:val="24"/>
              </w:rPr>
              <w:t>车间内部布局图见附图</w:t>
            </w:r>
            <w:r>
              <w:rPr>
                <w:rFonts w:hint="eastAsia"/>
                <w:color w:val="auto"/>
                <w:sz w:val="24"/>
                <w:lang w:val="en-US" w:eastAsia="zh-CN"/>
              </w:rPr>
              <w:t>3</w:t>
            </w:r>
            <w:r>
              <w:rPr>
                <w:rFonts w:hint="eastAsia"/>
                <w:color w:val="auto"/>
                <w:sz w:val="24"/>
              </w:rPr>
              <w:t>。</w:t>
            </w:r>
          </w:p>
        </w:tc>
      </w:tr>
    </w:tbl>
    <w:p w14:paraId="38B3FCE4">
      <w:pPr>
        <w:bidi w:val="0"/>
        <w:rPr>
          <w:color w:val="auto"/>
        </w:rPr>
        <w:sectPr>
          <w:pgSz w:w="11905" w:h="16838"/>
          <w:pgMar w:top="1701" w:right="1531" w:bottom="1701" w:left="1531" w:header="851" w:footer="850" w:gutter="0"/>
          <w:pgNumType w:fmt="decimal"/>
          <w:cols w:space="720" w:num="1"/>
          <w:docGrid w:type="linesAndChars" w:linePitch="312" w:charSpace="0"/>
        </w:sectPr>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12873"/>
      </w:tblGrid>
      <w:tr w14:paraId="4E4D0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noWrap w:val="0"/>
            <w:vAlign w:val="center"/>
          </w:tcPr>
          <w:p w14:paraId="5B61B0A4">
            <w:pPr>
              <w:pStyle w:val="20"/>
              <w:adjustRightInd w:val="0"/>
              <w:snapToGrid w:val="0"/>
              <w:spacing w:before="0" w:beforeAutospacing="0" w:after="0" w:afterAutospacing="0" w:line="240" w:lineRule="auto"/>
              <w:ind w:firstLine="0" w:firstLineChars="0"/>
              <w:jc w:val="center"/>
              <w:rPr>
                <w:rFonts w:ascii="宋体" w:hAnsi="宋体" w:eastAsia="宋体" w:cs="宋体"/>
                <w:color w:val="auto"/>
                <w:kern w:val="0"/>
                <w:sz w:val="24"/>
                <w:szCs w:val="24"/>
                <w:lang w:val="en-US" w:eastAsia="zh-CN" w:bidi="ar-SA"/>
              </w:rPr>
            </w:pPr>
            <w:r>
              <w:rPr>
                <w:rFonts w:hint="eastAsia" w:cs="宋体"/>
                <w:color w:val="auto"/>
                <w:szCs w:val="24"/>
              </w:rPr>
              <w:t>工艺流程和产排污环节</w:t>
            </w:r>
          </w:p>
        </w:tc>
        <w:tc>
          <w:tcPr>
            <w:tcW w:w="12873" w:type="dxa"/>
            <w:noWrap w:val="0"/>
            <w:vAlign w:val="top"/>
          </w:tcPr>
          <w:p w14:paraId="6482540F">
            <w:pPr>
              <w:ind w:firstLine="482"/>
              <w:rPr>
                <w:rFonts w:hint="eastAsia"/>
                <w:b/>
                <w:bCs/>
                <w:color w:val="auto"/>
              </w:rPr>
            </w:pPr>
            <w:r>
              <w:rPr>
                <w:rFonts w:hint="eastAsia"/>
                <w:b/>
                <w:bCs/>
                <w:color w:val="auto"/>
              </w:rPr>
              <w:t>营运期工艺流程及产排污环节</w:t>
            </w:r>
          </w:p>
          <w:p w14:paraId="1848F26C">
            <w:pPr>
              <w:ind w:firstLine="480"/>
              <w:rPr>
                <w:rFonts w:hint="eastAsia"/>
                <w:color w:val="auto"/>
              </w:rPr>
            </w:pPr>
            <w:r>
              <w:rPr>
                <w:rFonts w:hint="eastAsia"/>
                <w:color w:val="auto"/>
              </w:rPr>
              <w:t>项目</w:t>
            </w:r>
            <w:r>
              <w:rPr>
                <w:rFonts w:hint="eastAsia"/>
                <w:color w:val="auto"/>
                <w:lang w:val="en-US" w:eastAsia="zh-CN"/>
              </w:rPr>
              <w:t>道路桥梁支座生产</w:t>
            </w:r>
            <w:r>
              <w:rPr>
                <w:rFonts w:hint="eastAsia"/>
                <w:color w:val="auto"/>
              </w:rPr>
              <w:t>流程和产污环节见下图。</w:t>
            </w:r>
          </w:p>
          <w:p w14:paraId="2DF7ED31">
            <w:pPr>
              <w:jc w:val="center"/>
              <w:rPr>
                <w:rFonts w:hint="eastAsia" w:eastAsia="宋体"/>
                <w:color w:val="auto"/>
                <w:lang w:eastAsia="zh-CN"/>
              </w:rPr>
            </w:pPr>
            <w:r>
              <w:rPr>
                <w:rFonts w:hint="eastAsia" w:eastAsia="宋体"/>
                <w:color w:val="auto"/>
                <w:lang w:eastAsia="zh-CN"/>
              </w:rPr>
              <w:drawing>
                <wp:inline distT="0" distB="0" distL="114300" distR="114300">
                  <wp:extent cx="7813040" cy="4121785"/>
                  <wp:effectExtent l="0" t="0" r="16510" b="0"/>
                  <wp:docPr id="24" name="ECB019B1-382A-4266-B25C-5B523AA43C14-2" descr="C:/Users/Administrator.DESKTOP-6SJIAPA/AppData/Local/Temp/wps.FInOPS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CB019B1-382A-4266-B25C-5B523AA43C14-2" descr="C:/Users/Administrator.DESKTOP-6SJIAPA/AppData/Local/Temp/wps.FInOPSwps"/>
                          <pic:cNvPicPr>
                            <a:picLocks noChangeAspect="1"/>
                          </pic:cNvPicPr>
                        </pic:nvPicPr>
                        <pic:blipFill>
                          <a:blip r:embed="rId18"/>
                          <a:stretch>
                            <a:fillRect/>
                          </a:stretch>
                        </pic:blipFill>
                        <pic:spPr>
                          <a:xfrm>
                            <a:off x="0" y="0"/>
                            <a:ext cx="7813040" cy="4121785"/>
                          </a:xfrm>
                          <a:prstGeom prst="rect">
                            <a:avLst/>
                          </a:prstGeom>
                        </pic:spPr>
                      </pic:pic>
                    </a:graphicData>
                  </a:graphic>
                </wp:inline>
              </w:drawing>
            </w:r>
          </w:p>
          <w:p w14:paraId="13176AEF">
            <w:pPr>
              <w:jc w:val="center"/>
              <w:rPr>
                <w:rFonts w:hint="eastAsia" w:eastAsia="宋体"/>
                <w:color w:val="auto"/>
                <w:lang w:eastAsia="zh-CN"/>
              </w:rPr>
            </w:pPr>
            <w:r>
              <w:rPr>
                <w:rFonts w:hint="eastAsia"/>
                <w:b/>
                <w:bCs/>
                <w:color w:val="auto"/>
              </w:rPr>
              <w:t>图</w:t>
            </w:r>
            <w:r>
              <w:rPr>
                <w:rFonts w:hint="eastAsia"/>
                <w:b/>
                <w:bCs/>
                <w:color w:val="auto"/>
                <w:lang w:val="en-US" w:eastAsia="zh-CN"/>
              </w:rPr>
              <w:t>2-2</w:t>
            </w:r>
            <w:r>
              <w:rPr>
                <w:rFonts w:hint="eastAsia"/>
                <w:b/>
                <w:bCs/>
                <w:color w:val="auto"/>
              </w:rPr>
              <w:t xml:space="preserve">  </w:t>
            </w:r>
            <w:r>
              <w:rPr>
                <w:rFonts w:hint="eastAsia"/>
                <w:b/>
                <w:bCs/>
                <w:color w:val="auto"/>
                <w:lang w:val="en-US" w:eastAsia="zh-CN"/>
              </w:rPr>
              <w:t>本项目道路桥梁支座生产</w:t>
            </w:r>
            <w:r>
              <w:rPr>
                <w:rFonts w:hint="eastAsia"/>
                <w:b/>
                <w:bCs/>
                <w:color w:val="auto"/>
              </w:rPr>
              <w:t>工艺流程及产污节点图</w:t>
            </w:r>
          </w:p>
          <w:p w14:paraId="3F722462">
            <w:pPr>
              <w:ind w:firstLine="0" w:firstLineChars="0"/>
              <w:rPr>
                <w:rFonts w:hint="eastAsia" w:ascii="Times New Roman" w:hAnsi="Times New Roman" w:eastAsia="宋体"/>
                <w:color w:val="auto"/>
                <w:kern w:val="2"/>
                <w:sz w:val="24"/>
                <w:szCs w:val="24"/>
                <w:lang w:val="en-US" w:eastAsia="zh-CN" w:bidi="ar-SA"/>
              </w:rPr>
            </w:pPr>
          </w:p>
        </w:tc>
      </w:tr>
    </w:tbl>
    <w:p w14:paraId="34A74822">
      <w:pPr>
        <w:bidi w:val="0"/>
        <w:rPr>
          <w:color w:val="auto"/>
        </w:rPr>
        <w:sectPr>
          <w:pgSz w:w="16838" w:h="11905" w:orient="landscape"/>
          <w:pgMar w:top="1531" w:right="1701" w:bottom="1531" w:left="1701" w:header="851" w:footer="850" w:gutter="0"/>
          <w:pgNumType w:fmt="decimal"/>
          <w:cols w:space="0" w:num="1"/>
          <w:rtlGutter w:val="0"/>
          <w:docGrid w:type="linesAndChars" w:linePitch="327"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
        <w:gridCol w:w="8553"/>
      </w:tblGrid>
      <w:tr w14:paraId="28445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trPr>
        <w:tc>
          <w:tcPr>
            <w:tcW w:w="506" w:type="dxa"/>
            <w:vAlign w:val="top"/>
          </w:tcPr>
          <w:p w14:paraId="1D9D4D87">
            <w:pPr>
              <w:bidi w:val="0"/>
              <w:rPr>
                <w:color w:val="auto"/>
                <w:vertAlign w:val="baseline"/>
              </w:rPr>
            </w:pPr>
          </w:p>
        </w:tc>
        <w:tc>
          <w:tcPr>
            <w:tcW w:w="8553" w:type="dxa"/>
            <w:vAlign w:val="top"/>
          </w:tcPr>
          <w:p w14:paraId="79BBB7CB">
            <w:pPr>
              <w:bidi w:val="0"/>
              <w:ind w:firstLine="480" w:firstLineChars="200"/>
              <w:rPr>
                <w:color w:val="auto"/>
                <w:vertAlign w:val="baseline"/>
              </w:rPr>
            </w:pPr>
            <w:r>
              <w:rPr>
                <w:b/>
                <w:bCs/>
                <w:color w:val="auto"/>
              </w:rPr>
              <w:t>工艺流程描述：</w:t>
            </w:r>
          </w:p>
          <w:p w14:paraId="005CA573">
            <w:pPr>
              <w:numPr>
                <w:ilvl w:val="0"/>
                <w:numId w:val="0"/>
              </w:numPr>
              <w:bidi w:val="0"/>
              <w:ind w:firstLine="480" w:firstLineChars="200"/>
              <w:rPr>
                <w:rFonts w:hint="eastAsia"/>
                <w:color w:val="auto"/>
                <w:vertAlign w:val="baseline"/>
                <w:lang w:val="en-US" w:eastAsia="zh-CN"/>
              </w:rPr>
            </w:pPr>
            <w:r>
              <w:rPr>
                <w:rFonts w:hint="eastAsia" w:ascii="Times New Roman" w:hAnsi="Times New Roman" w:eastAsia="宋体" w:cs="Times New Roman"/>
                <w:color w:val="auto"/>
                <w:kern w:val="2"/>
                <w:sz w:val="24"/>
                <w:szCs w:val="24"/>
                <w:vertAlign w:val="baseline"/>
                <w:lang w:val="en-US" w:eastAsia="zh-CN" w:bidi="ar-SA"/>
              </w:rPr>
              <w:t>（1）</w:t>
            </w:r>
            <w:r>
              <w:rPr>
                <w:rFonts w:hint="eastAsia"/>
                <w:color w:val="auto"/>
                <w:vertAlign w:val="baseline"/>
                <w:lang w:val="en-US" w:eastAsia="zh-CN"/>
              </w:rPr>
              <w:t>配料</w:t>
            </w:r>
          </w:p>
          <w:p w14:paraId="3685B14D">
            <w:pPr>
              <w:numPr>
                <w:ilvl w:val="0"/>
                <w:numId w:val="0"/>
              </w:numPr>
              <w:bidi w:val="0"/>
              <w:ind w:firstLine="480" w:firstLineChars="200"/>
              <w:rPr>
                <w:rFonts w:hint="default"/>
                <w:color w:val="auto"/>
                <w:vertAlign w:val="baseline"/>
                <w:lang w:val="en-US" w:eastAsia="zh-CN"/>
              </w:rPr>
            </w:pPr>
            <w:r>
              <w:rPr>
                <w:rFonts w:ascii="Times New Roman" w:hAnsi="Times New Roman" w:cs="Times New Roman"/>
                <w:color w:val="000000"/>
                <w:sz w:val="24"/>
                <w:szCs w:val="24"/>
              </w:rPr>
              <w:t>操作人员按照配方要求，</w:t>
            </w:r>
            <w:r>
              <w:rPr>
                <w:rFonts w:hint="eastAsia" w:cs="Times New Roman"/>
                <w:color w:val="000000"/>
                <w:sz w:val="24"/>
                <w:szCs w:val="24"/>
                <w:lang w:val="en-US" w:eastAsia="zh-CN"/>
              </w:rPr>
              <w:t>在配料室内</w:t>
            </w:r>
            <w:r>
              <w:rPr>
                <w:rFonts w:ascii="Times New Roman" w:hAnsi="Times New Roman" w:cs="Times New Roman"/>
                <w:color w:val="000000"/>
                <w:sz w:val="24"/>
                <w:szCs w:val="24"/>
              </w:rPr>
              <w:t>核对</w:t>
            </w:r>
            <w:r>
              <w:rPr>
                <w:rFonts w:hint="eastAsia" w:cs="Times New Roman"/>
                <w:color w:val="000000"/>
                <w:sz w:val="24"/>
                <w:szCs w:val="24"/>
                <w:lang w:val="en-US" w:eastAsia="zh-CN"/>
              </w:rPr>
              <w:t>原辅材料</w:t>
            </w:r>
            <w:r>
              <w:rPr>
                <w:rFonts w:ascii="Times New Roman" w:hAnsi="Times New Roman" w:cs="Times New Roman"/>
                <w:color w:val="000000"/>
                <w:sz w:val="24"/>
                <w:szCs w:val="24"/>
              </w:rPr>
              <w:t>材料种类</w:t>
            </w:r>
            <w:r>
              <w:rPr>
                <w:rFonts w:hint="eastAsia" w:ascii="Times New Roman" w:hAnsi="Times New Roman" w:cs="Times New Roman"/>
                <w:color w:val="000000"/>
                <w:sz w:val="24"/>
                <w:szCs w:val="24"/>
                <w:lang w:eastAsia="zh-CN"/>
              </w:rPr>
              <w:t>（</w:t>
            </w:r>
            <w:r>
              <w:rPr>
                <w:rFonts w:hint="eastAsia" w:cs="Times New Roman"/>
                <w:color w:val="000000"/>
                <w:sz w:val="24"/>
                <w:szCs w:val="24"/>
                <w:lang w:val="en-US" w:eastAsia="zh-CN"/>
              </w:rPr>
              <w:t>天然橡胶、氯丁合成胶、</w:t>
            </w:r>
            <w:r>
              <w:rPr>
                <w:rFonts w:hint="eastAsia" w:ascii="Times New Roman" w:hAnsi="Times New Roman" w:cs="Times New Roman"/>
                <w:color w:val="000000"/>
                <w:sz w:val="24"/>
                <w:szCs w:val="24"/>
                <w:lang w:eastAsia="zh-CN"/>
              </w:rPr>
              <w:t>炭黑、防老剂</w:t>
            </w:r>
            <w:r>
              <w:rPr>
                <w:rFonts w:hint="eastAsia" w:ascii="Times New Roman" w:hAnsi="Times New Roman" w:cs="Times New Roman"/>
                <w:color w:val="000000"/>
                <w:sz w:val="24"/>
                <w:szCs w:val="24"/>
                <w:lang w:val="en-US" w:eastAsia="zh-CN"/>
              </w:rPr>
              <w:t xml:space="preserve"> </w:t>
            </w:r>
            <w:r>
              <w:rPr>
                <w:rFonts w:hint="eastAsia" w:ascii="Times New Roman" w:hAnsi="Times New Roman" w:cs="Times New Roman"/>
                <w:color w:val="000000"/>
                <w:sz w:val="24"/>
                <w:szCs w:val="24"/>
                <w:lang w:eastAsia="zh-CN"/>
              </w:rPr>
              <w:t>4010</w:t>
            </w:r>
            <w:r>
              <w:rPr>
                <w:rFonts w:hint="eastAsia" w:ascii="Times New Roman" w:hAnsi="Times New Roman" w:cs="Times New Roman"/>
                <w:color w:val="000000"/>
                <w:sz w:val="24"/>
                <w:szCs w:val="24"/>
                <w:lang w:val="en-US" w:eastAsia="zh-CN"/>
              </w:rPr>
              <w:t>、</w:t>
            </w:r>
            <w:r>
              <w:rPr>
                <w:rFonts w:hint="eastAsia" w:ascii="Times New Roman" w:hAnsi="Times New Roman" w:cs="Times New Roman"/>
                <w:color w:val="000000"/>
                <w:sz w:val="24"/>
                <w:szCs w:val="24"/>
                <w:lang w:eastAsia="zh-CN"/>
              </w:rPr>
              <w:t>氧化锌</w:t>
            </w:r>
            <w:r>
              <w:rPr>
                <w:rFonts w:hint="eastAsia" w:ascii="Times New Roman" w:hAnsi="Times New Roman" w:cs="Times New Roman"/>
                <w:color w:val="000000"/>
                <w:sz w:val="24"/>
                <w:szCs w:val="24"/>
                <w:lang w:val="en-US" w:eastAsia="zh-CN"/>
              </w:rPr>
              <w:t>、</w:t>
            </w:r>
            <w:r>
              <w:rPr>
                <w:rFonts w:hint="eastAsia" w:ascii="Times New Roman" w:hAnsi="Times New Roman" w:cs="Times New Roman"/>
                <w:color w:val="000000"/>
                <w:sz w:val="24"/>
                <w:szCs w:val="24"/>
                <w:lang w:eastAsia="zh-CN"/>
              </w:rPr>
              <w:t>防老剂 RD</w:t>
            </w:r>
            <w:r>
              <w:rPr>
                <w:rFonts w:hint="eastAsia" w:ascii="Times New Roman" w:hAnsi="Times New Roman" w:cs="Times New Roman"/>
                <w:color w:val="000000"/>
                <w:sz w:val="24"/>
                <w:szCs w:val="24"/>
                <w:lang w:val="en-US" w:eastAsia="zh-CN"/>
              </w:rPr>
              <w:t>、</w:t>
            </w:r>
            <w:r>
              <w:rPr>
                <w:rFonts w:hint="eastAsia" w:ascii="Times New Roman" w:hAnsi="Times New Roman" w:cs="Times New Roman"/>
                <w:color w:val="000000"/>
                <w:sz w:val="24"/>
                <w:szCs w:val="24"/>
                <w:lang w:eastAsia="zh-CN"/>
              </w:rPr>
              <w:t>硬脂酸 SA</w:t>
            </w:r>
            <w:r>
              <w:rPr>
                <w:rFonts w:hint="eastAsia" w:ascii="Times New Roman" w:hAnsi="Times New Roman" w:cs="Times New Roman"/>
                <w:color w:val="000000"/>
                <w:sz w:val="24"/>
                <w:szCs w:val="24"/>
                <w:lang w:val="en-US" w:eastAsia="zh-CN"/>
              </w:rPr>
              <w:t>、</w:t>
            </w:r>
            <w:r>
              <w:rPr>
                <w:rFonts w:hint="eastAsia" w:ascii="Times New Roman" w:hAnsi="Times New Roman" w:cs="Times New Roman"/>
                <w:color w:val="000000"/>
                <w:sz w:val="24"/>
                <w:szCs w:val="24"/>
                <w:lang w:eastAsia="zh-CN"/>
              </w:rPr>
              <w:t>氧化镁</w:t>
            </w:r>
            <w:r>
              <w:rPr>
                <w:rFonts w:hint="eastAsia" w:ascii="Times New Roman" w:hAnsi="Times New Roman" w:cs="Times New Roman"/>
                <w:color w:val="000000"/>
                <w:sz w:val="24"/>
                <w:szCs w:val="24"/>
                <w:lang w:val="en-US" w:eastAsia="zh-CN"/>
              </w:rPr>
              <w:t>、</w:t>
            </w:r>
            <w:r>
              <w:rPr>
                <w:rFonts w:hint="eastAsia" w:ascii="Times New Roman" w:hAnsi="Times New Roman" w:cs="Times New Roman"/>
                <w:color w:val="000000"/>
                <w:sz w:val="24"/>
                <w:szCs w:val="24"/>
                <w:lang w:eastAsia="zh-CN"/>
              </w:rPr>
              <w:t>二氧化硅土</w:t>
            </w:r>
            <w:r>
              <w:rPr>
                <w:rFonts w:hint="eastAsia" w:ascii="Times New Roman" w:hAnsi="Times New Roman" w:cs="Times New Roman"/>
                <w:color w:val="000000"/>
                <w:sz w:val="24"/>
                <w:szCs w:val="24"/>
                <w:lang w:val="en-US" w:eastAsia="zh-CN"/>
              </w:rPr>
              <w:t>、</w:t>
            </w:r>
            <w:r>
              <w:rPr>
                <w:rFonts w:hint="eastAsia" w:ascii="Times New Roman" w:hAnsi="Times New Roman" w:cs="Times New Roman"/>
                <w:color w:val="000000"/>
                <w:sz w:val="24"/>
                <w:szCs w:val="24"/>
                <w:lang w:eastAsia="zh-CN"/>
              </w:rPr>
              <w:t>促进剂 DM</w:t>
            </w:r>
            <w:r>
              <w:rPr>
                <w:rFonts w:hint="eastAsia" w:ascii="Times New Roman" w:hAnsi="Times New Roman" w:cs="Times New Roman"/>
                <w:color w:val="000000"/>
                <w:sz w:val="24"/>
                <w:szCs w:val="24"/>
                <w:lang w:val="en-US" w:eastAsia="zh-CN"/>
              </w:rPr>
              <w:t>、</w:t>
            </w:r>
            <w:r>
              <w:rPr>
                <w:rFonts w:hint="eastAsia" w:ascii="Times New Roman" w:hAnsi="Times New Roman" w:cs="Times New Roman"/>
                <w:color w:val="000000"/>
                <w:sz w:val="24"/>
                <w:szCs w:val="24"/>
                <w:lang w:eastAsia="zh-CN"/>
              </w:rPr>
              <w:t>促进剂 CZ）</w:t>
            </w:r>
            <w:r>
              <w:rPr>
                <w:rFonts w:ascii="Times New Roman" w:hAnsi="Times New Roman" w:cs="Times New Roman"/>
                <w:color w:val="000000"/>
                <w:sz w:val="24"/>
                <w:szCs w:val="24"/>
              </w:rPr>
              <w:t>及重量</w:t>
            </w:r>
            <w:r>
              <w:rPr>
                <w:rFonts w:hint="eastAsia" w:cs="Times New Roman"/>
                <w:color w:val="000000"/>
                <w:sz w:val="24"/>
                <w:szCs w:val="24"/>
                <w:lang w:val="en-US" w:eastAsia="zh-CN"/>
              </w:rPr>
              <w:t>，并对粉料进行拆包称量，此过程产生配料粉尘G1。</w:t>
            </w:r>
          </w:p>
          <w:p w14:paraId="5E7D7426">
            <w:pPr>
              <w:bidi w:val="0"/>
              <w:ind w:firstLine="480" w:firstLineChars="200"/>
              <w:rPr>
                <w:color w:val="auto"/>
                <w:vertAlign w:val="baseline"/>
              </w:rPr>
            </w:pPr>
            <w:r>
              <w:rPr>
                <w:rFonts w:hint="eastAsia" w:ascii="Times New Roman" w:hAnsi="Times New Roman" w:eastAsia="宋体" w:cs="Times New Roman"/>
                <w:color w:val="auto"/>
                <w:kern w:val="2"/>
                <w:sz w:val="24"/>
                <w:szCs w:val="24"/>
                <w:vertAlign w:val="baseline"/>
                <w:lang w:val="en-US" w:eastAsia="zh-CN" w:bidi="ar-SA"/>
              </w:rPr>
              <w:t>（2）</w:t>
            </w:r>
            <w:r>
              <w:rPr>
                <w:rFonts w:hint="eastAsia"/>
                <w:color w:val="auto"/>
                <w:vertAlign w:val="baseline"/>
                <w:lang w:val="en-US" w:eastAsia="zh-CN"/>
              </w:rPr>
              <w:t>投料</w:t>
            </w:r>
          </w:p>
          <w:p w14:paraId="42207D21">
            <w:pPr>
              <w:bidi w:val="0"/>
              <w:ind w:firstLine="480" w:firstLineChars="200"/>
              <w:rPr>
                <w:color w:val="auto"/>
                <w:vertAlign w:val="baseline"/>
              </w:rPr>
            </w:pPr>
            <w:r>
              <w:rPr>
                <w:rFonts w:hint="eastAsia"/>
                <w:color w:val="auto"/>
                <w:vertAlign w:val="baseline"/>
                <w:lang w:val="en-US" w:eastAsia="zh-CN"/>
              </w:rPr>
              <w:t>配料完成</w:t>
            </w:r>
            <w:r>
              <w:rPr>
                <w:rFonts w:ascii="Times New Roman" w:hAnsi="Times New Roman" w:cs="Times New Roman"/>
                <w:color w:val="000000"/>
                <w:sz w:val="24"/>
                <w:szCs w:val="24"/>
              </w:rPr>
              <w:t>后，</w:t>
            </w:r>
            <w:r>
              <w:rPr>
                <w:rFonts w:hint="eastAsia" w:ascii="Times New Roman" w:hAnsi="Times New Roman" w:cs="Times New Roman"/>
                <w:color w:val="000000"/>
                <w:sz w:val="24"/>
                <w:szCs w:val="24"/>
                <w:lang w:eastAsia="zh-CN"/>
              </w:rPr>
              <w:t>将粉料（炭黑、防老剂</w:t>
            </w:r>
            <w:r>
              <w:rPr>
                <w:rFonts w:hint="eastAsia" w:ascii="Times New Roman" w:hAnsi="Times New Roman" w:cs="Times New Roman"/>
                <w:color w:val="000000"/>
                <w:sz w:val="24"/>
                <w:szCs w:val="24"/>
                <w:lang w:val="en-US" w:eastAsia="zh-CN"/>
              </w:rPr>
              <w:t xml:space="preserve"> </w:t>
            </w:r>
            <w:r>
              <w:rPr>
                <w:rFonts w:hint="eastAsia" w:ascii="Times New Roman" w:hAnsi="Times New Roman" w:cs="Times New Roman"/>
                <w:color w:val="000000"/>
                <w:sz w:val="24"/>
                <w:szCs w:val="24"/>
                <w:lang w:eastAsia="zh-CN"/>
              </w:rPr>
              <w:t>4010</w:t>
            </w:r>
            <w:r>
              <w:rPr>
                <w:rFonts w:hint="eastAsia" w:ascii="Times New Roman" w:hAnsi="Times New Roman" w:cs="Times New Roman"/>
                <w:color w:val="000000"/>
                <w:sz w:val="24"/>
                <w:szCs w:val="24"/>
                <w:lang w:val="en-US" w:eastAsia="zh-CN"/>
              </w:rPr>
              <w:t>、</w:t>
            </w:r>
            <w:r>
              <w:rPr>
                <w:rFonts w:hint="eastAsia" w:ascii="Times New Roman" w:hAnsi="Times New Roman" w:cs="Times New Roman"/>
                <w:color w:val="000000"/>
                <w:sz w:val="24"/>
                <w:szCs w:val="24"/>
                <w:lang w:eastAsia="zh-CN"/>
              </w:rPr>
              <w:t>氧化锌</w:t>
            </w:r>
            <w:r>
              <w:rPr>
                <w:rFonts w:hint="eastAsia" w:ascii="Times New Roman" w:hAnsi="Times New Roman" w:cs="Times New Roman"/>
                <w:color w:val="000000"/>
                <w:sz w:val="24"/>
                <w:szCs w:val="24"/>
                <w:lang w:val="en-US" w:eastAsia="zh-CN"/>
              </w:rPr>
              <w:t>、</w:t>
            </w:r>
            <w:r>
              <w:rPr>
                <w:rFonts w:hint="eastAsia" w:ascii="Times New Roman" w:hAnsi="Times New Roman" w:cs="Times New Roman"/>
                <w:color w:val="000000"/>
                <w:sz w:val="24"/>
                <w:szCs w:val="24"/>
                <w:lang w:eastAsia="zh-CN"/>
              </w:rPr>
              <w:t>防老剂 RD</w:t>
            </w:r>
            <w:r>
              <w:rPr>
                <w:rFonts w:hint="eastAsia" w:ascii="Times New Roman" w:hAnsi="Times New Roman" w:cs="Times New Roman"/>
                <w:color w:val="000000"/>
                <w:sz w:val="24"/>
                <w:szCs w:val="24"/>
                <w:lang w:val="en-US" w:eastAsia="zh-CN"/>
              </w:rPr>
              <w:t>、</w:t>
            </w:r>
            <w:r>
              <w:rPr>
                <w:rFonts w:hint="eastAsia" w:ascii="Times New Roman" w:hAnsi="Times New Roman" w:cs="Times New Roman"/>
                <w:color w:val="000000"/>
                <w:sz w:val="24"/>
                <w:szCs w:val="24"/>
                <w:lang w:eastAsia="zh-CN"/>
              </w:rPr>
              <w:t>硬脂酸 SA</w:t>
            </w:r>
            <w:r>
              <w:rPr>
                <w:rFonts w:hint="eastAsia" w:ascii="Times New Roman" w:hAnsi="Times New Roman" w:cs="Times New Roman"/>
                <w:color w:val="000000"/>
                <w:sz w:val="24"/>
                <w:szCs w:val="24"/>
                <w:lang w:val="en-US" w:eastAsia="zh-CN"/>
              </w:rPr>
              <w:t>、</w:t>
            </w:r>
            <w:r>
              <w:rPr>
                <w:rFonts w:hint="eastAsia" w:ascii="Times New Roman" w:hAnsi="Times New Roman" w:cs="Times New Roman"/>
                <w:color w:val="000000"/>
                <w:sz w:val="24"/>
                <w:szCs w:val="24"/>
                <w:lang w:eastAsia="zh-CN"/>
              </w:rPr>
              <w:t>氧化镁</w:t>
            </w:r>
            <w:r>
              <w:rPr>
                <w:rFonts w:hint="eastAsia" w:ascii="Times New Roman" w:hAnsi="Times New Roman" w:cs="Times New Roman"/>
                <w:color w:val="000000"/>
                <w:sz w:val="24"/>
                <w:szCs w:val="24"/>
                <w:lang w:val="en-US" w:eastAsia="zh-CN"/>
              </w:rPr>
              <w:t>、</w:t>
            </w:r>
            <w:r>
              <w:rPr>
                <w:rFonts w:hint="eastAsia" w:ascii="Times New Roman" w:hAnsi="Times New Roman" w:cs="Times New Roman"/>
                <w:color w:val="000000"/>
                <w:sz w:val="24"/>
                <w:szCs w:val="24"/>
                <w:lang w:eastAsia="zh-CN"/>
              </w:rPr>
              <w:t>二氧化硅土</w:t>
            </w:r>
            <w:r>
              <w:rPr>
                <w:rFonts w:hint="eastAsia" w:ascii="Times New Roman" w:hAnsi="Times New Roman" w:cs="Times New Roman"/>
                <w:color w:val="000000"/>
                <w:sz w:val="24"/>
                <w:szCs w:val="24"/>
                <w:lang w:val="en-US" w:eastAsia="zh-CN"/>
              </w:rPr>
              <w:t>、</w:t>
            </w:r>
            <w:r>
              <w:rPr>
                <w:rFonts w:hint="eastAsia" w:ascii="Times New Roman" w:hAnsi="Times New Roman" w:cs="Times New Roman"/>
                <w:color w:val="000000"/>
                <w:sz w:val="24"/>
                <w:szCs w:val="24"/>
                <w:lang w:eastAsia="zh-CN"/>
              </w:rPr>
              <w:t>促进剂 DM</w:t>
            </w:r>
            <w:r>
              <w:rPr>
                <w:rFonts w:hint="eastAsia" w:ascii="Times New Roman" w:hAnsi="Times New Roman" w:cs="Times New Roman"/>
                <w:color w:val="000000"/>
                <w:sz w:val="24"/>
                <w:szCs w:val="24"/>
                <w:lang w:val="en-US" w:eastAsia="zh-CN"/>
              </w:rPr>
              <w:t>、</w:t>
            </w:r>
            <w:r>
              <w:rPr>
                <w:rFonts w:hint="eastAsia" w:ascii="Times New Roman" w:hAnsi="Times New Roman" w:cs="Times New Roman"/>
                <w:color w:val="000000"/>
                <w:sz w:val="24"/>
                <w:szCs w:val="24"/>
                <w:lang w:eastAsia="zh-CN"/>
              </w:rPr>
              <w:t>促进剂 CZ）人工搬运至计量罐上料口</w:t>
            </w:r>
            <w:r>
              <w:rPr>
                <w:rFonts w:hint="eastAsia" w:ascii="Times New Roman" w:hAnsi="Times New Roman" w:cs="Times New Roman"/>
                <w:color w:val="000000"/>
                <w:sz w:val="24"/>
                <w:szCs w:val="24"/>
                <w:lang w:val="en-US" w:eastAsia="zh-CN"/>
              </w:rPr>
              <w:t>进行投料</w:t>
            </w:r>
            <w:r>
              <w:rPr>
                <w:rFonts w:hint="eastAsia" w:cs="Times New Roman"/>
                <w:color w:val="000000"/>
                <w:sz w:val="24"/>
                <w:szCs w:val="24"/>
                <w:lang w:val="en-US" w:eastAsia="zh-CN"/>
              </w:rPr>
              <w:t>（投料口设置集气罩）</w:t>
            </w:r>
            <w:r>
              <w:rPr>
                <w:rFonts w:hint="eastAsia" w:ascii="Times New Roman" w:hAnsi="Times New Roman" w:cs="Times New Roman"/>
                <w:color w:val="000000"/>
                <w:sz w:val="24"/>
                <w:szCs w:val="24"/>
                <w:lang w:eastAsia="zh-CN"/>
              </w:rPr>
              <w:t>，</w:t>
            </w:r>
            <w:r>
              <w:rPr>
                <w:rFonts w:ascii="Times New Roman" w:hAnsi="Times New Roman" w:cs="Times New Roman"/>
                <w:color w:val="000000"/>
                <w:sz w:val="24"/>
                <w:szCs w:val="24"/>
              </w:rPr>
              <w:t>操作人员根据配方要求</w:t>
            </w:r>
            <w:r>
              <w:rPr>
                <w:rFonts w:hint="eastAsia" w:ascii="Times New Roman" w:hAnsi="Times New Roman" w:cs="Times New Roman"/>
                <w:color w:val="000000"/>
                <w:sz w:val="24"/>
                <w:szCs w:val="24"/>
                <w:lang w:eastAsia="zh-CN"/>
              </w:rPr>
              <w:t>通过电脑系统操作计量罐进行粉料</w:t>
            </w:r>
            <w:r>
              <w:rPr>
                <w:rFonts w:hint="eastAsia" w:ascii="Times New Roman" w:hAnsi="Times New Roman" w:cs="Times New Roman"/>
                <w:color w:val="000000"/>
                <w:sz w:val="24"/>
                <w:szCs w:val="24"/>
                <w:lang w:val="en-US" w:eastAsia="zh-CN"/>
              </w:rPr>
              <w:t>气动</w:t>
            </w:r>
            <w:r>
              <w:rPr>
                <w:rFonts w:hint="eastAsia" w:ascii="Times New Roman" w:hAnsi="Times New Roman" w:cs="Times New Roman"/>
                <w:color w:val="000000"/>
                <w:sz w:val="24"/>
                <w:szCs w:val="24"/>
                <w:lang w:eastAsia="zh-CN"/>
              </w:rPr>
              <w:t>上料，此过程密闭设备中进行；天然橡胶、氯丁合成胶等</w:t>
            </w:r>
            <w:r>
              <w:rPr>
                <w:rFonts w:hint="eastAsia" w:ascii="Times New Roman" w:hAnsi="Times New Roman" w:cs="Times New Roman"/>
                <w:color w:val="000000"/>
                <w:sz w:val="24"/>
                <w:szCs w:val="24"/>
                <w:lang w:val="en-US" w:eastAsia="zh-CN"/>
              </w:rPr>
              <w:t>大料</w:t>
            </w:r>
            <w:r>
              <w:rPr>
                <w:rFonts w:hint="eastAsia" w:ascii="Times New Roman" w:hAnsi="Times New Roman" w:cs="Times New Roman"/>
                <w:color w:val="000000"/>
                <w:sz w:val="24"/>
                <w:szCs w:val="24"/>
                <w:lang w:eastAsia="zh-CN"/>
              </w:rPr>
              <w:t>通过人工放至半封闭传送带上进行上料。</w:t>
            </w:r>
            <w:r>
              <w:rPr>
                <w:rFonts w:hint="eastAsia" w:ascii="Times New Roman" w:hAnsi="Times New Roman" w:cs="Times New Roman"/>
                <w:color w:val="000000"/>
                <w:sz w:val="24"/>
                <w:szCs w:val="24"/>
              </w:rPr>
              <w:t>此过程</w:t>
            </w:r>
            <w:r>
              <w:rPr>
                <w:rFonts w:ascii="Times New Roman" w:hAnsi="Times New Roman" w:cs="Times New Roman"/>
                <w:color w:val="000000"/>
                <w:sz w:val="24"/>
                <w:szCs w:val="24"/>
              </w:rPr>
              <w:t>会产生</w:t>
            </w:r>
            <w:r>
              <w:rPr>
                <w:rFonts w:hint="eastAsia"/>
                <w:color w:val="auto"/>
                <w:vertAlign w:val="baseline"/>
                <w:lang w:val="en-US" w:eastAsia="zh-CN"/>
              </w:rPr>
              <w:t>投料</w:t>
            </w:r>
            <w:r>
              <w:rPr>
                <w:rFonts w:ascii="Times New Roman" w:hAnsi="Times New Roman" w:cs="Times New Roman"/>
                <w:color w:val="000000"/>
                <w:sz w:val="24"/>
                <w:szCs w:val="24"/>
              </w:rPr>
              <w:t>粉尘</w:t>
            </w:r>
            <w:r>
              <w:rPr>
                <w:rFonts w:hint="eastAsia" w:cs="Times New Roman"/>
                <w:color w:val="000000"/>
                <w:sz w:val="24"/>
                <w:szCs w:val="24"/>
                <w:lang w:val="en-US" w:eastAsia="zh-CN"/>
              </w:rPr>
              <w:t>G2</w:t>
            </w:r>
            <w:r>
              <w:rPr>
                <w:rFonts w:hint="eastAsia" w:ascii="Times New Roman" w:hAnsi="Times New Roman" w:cs="Times New Roman"/>
                <w:color w:val="000000"/>
                <w:sz w:val="24"/>
                <w:szCs w:val="24"/>
                <w:lang w:eastAsia="zh-CN"/>
              </w:rPr>
              <w:t>。</w:t>
            </w:r>
          </w:p>
          <w:p w14:paraId="697A0308">
            <w:pPr>
              <w:bidi w:val="0"/>
              <w:ind w:firstLine="480" w:firstLineChars="200"/>
              <w:rPr>
                <w:rFonts w:hint="default"/>
                <w:color w:val="auto"/>
                <w:vertAlign w:val="baseline"/>
                <w:lang w:val="en-US"/>
              </w:rPr>
            </w:pPr>
            <w:r>
              <w:rPr>
                <w:rFonts w:hint="eastAsia" w:ascii="Times New Roman" w:hAnsi="Times New Roman" w:eastAsia="宋体" w:cs="Times New Roman"/>
                <w:color w:val="auto"/>
                <w:kern w:val="2"/>
                <w:sz w:val="24"/>
                <w:szCs w:val="24"/>
                <w:vertAlign w:val="baseline"/>
                <w:lang w:val="en-US" w:eastAsia="zh-CN" w:bidi="ar-SA"/>
              </w:rPr>
              <w:t>（3）</w:t>
            </w:r>
            <w:r>
              <w:rPr>
                <w:rFonts w:hint="eastAsia"/>
                <w:color w:val="auto"/>
                <w:vertAlign w:val="baseline"/>
                <w:lang w:val="en-US" w:eastAsia="zh-CN"/>
              </w:rPr>
              <w:t>密炼</w:t>
            </w:r>
          </w:p>
          <w:p w14:paraId="34C71989">
            <w:pPr>
              <w:bidi w:val="0"/>
              <w:ind w:firstLine="480" w:firstLineChars="200"/>
              <w:rPr>
                <w:rFonts w:hint="eastAsia"/>
                <w:color w:val="auto"/>
                <w:vertAlign w:val="baseline"/>
              </w:rPr>
            </w:pPr>
            <w:r>
              <w:rPr>
                <w:rFonts w:hint="eastAsia"/>
                <w:color w:val="auto"/>
                <w:vertAlign w:val="baseline"/>
              </w:rPr>
              <w:t>密炼分为三个阶段，即润湿、分散、混合，</w:t>
            </w:r>
            <w:r>
              <w:rPr>
                <w:rFonts w:hint="eastAsia" w:ascii="Times New Roman" w:hAnsi="Times New Roman" w:cs="Times New Roman"/>
                <w:color w:val="000000"/>
                <w:sz w:val="24"/>
                <w:szCs w:val="24"/>
                <w:lang w:eastAsia="zh-CN"/>
              </w:rPr>
              <w:t>天然橡胶</w:t>
            </w:r>
            <w:r>
              <w:rPr>
                <w:rFonts w:hint="eastAsia"/>
                <w:color w:val="auto"/>
                <w:vertAlign w:val="baseline"/>
              </w:rPr>
              <w:t>在密炼</w:t>
            </w:r>
            <w:r>
              <w:rPr>
                <w:rFonts w:hint="eastAsia"/>
                <w:color w:val="auto"/>
                <w:vertAlign w:val="baseline"/>
                <w:lang w:val="en-US" w:eastAsia="zh-CN"/>
              </w:rPr>
              <w:t>机</w:t>
            </w:r>
            <w:r>
              <w:rPr>
                <w:rFonts w:hint="eastAsia"/>
                <w:color w:val="auto"/>
                <w:vertAlign w:val="baseline"/>
              </w:rPr>
              <w:t>中受到剪切和拉伸的作用产生流变、断裂、破碎，与</w:t>
            </w:r>
            <w:r>
              <w:rPr>
                <w:rFonts w:hint="eastAsia"/>
                <w:color w:val="auto"/>
                <w:vertAlign w:val="baseline"/>
                <w:lang w:val="en-US" w:eastAsia="zh-CN"/>
              </w:rPr>
              <w:t>粉料</w:t>
            </w:r>
            <w:r>
              <w:rPr>
                <w:rFonts w:hint="eastAsia"/>
                <w:color w:val="auto"/>
                <w:vertAlign w:val="baseline"/>
              </w:rPr>
              <w:t>充分接触，使其混入，这一过程称为润湿阶段。混入橡胶后的</w:t>
            </w:r>
            <w:r>
              <w:rPr>
                <w:rFonts w:hint="eastAsia"/>
                <w:color w:val="auto"/>
                <w:vertAlign w:val="baseline"/>
                <w:lang w:val="en-US" w:eastAsia="zh-CN"/>
              </w:rPr>
              <w:t>粉料</w:t>
            </w:r>
            <w:r>
              <w:rPr>
                <w:rFonts w:hint="eastAsia"/>
                <w:color w:val="auto"/>
                <w:vertAlign w:val="baseline"/>
              </w:rPr>
              <w:t>在机械力的作用下，进一步被破碎成微小尺寸的细粒，同时增加接触面面积并进步提高混合均匀性，这一过程为分散。橡胶分子在机械力</w:t>
            </w:r>
            <w:r>
              <w:rPr>
                <w:rFonts w:hint="eastAsia"/>
                <w:color w:val="auto"/>
                <w:vertAlign w:val="baseline"/>
                <w:lang w:val="en-US" w:eastAsia="zh-CN"/>
              </w:rPr>
              <w:t>-</w:t>
            </w:r>
            <w:r>
              <w:rPr>
                <w:rFonts w:hint="eastAsia"/>
                <w:color w:val="auto"/>
                <w:vertAlign w:val="baseline"/>
              </w:rPr>
              <w:t>化学作用下继续断裂，使粘度下降，实现均匀混合。</w:t>
            </w:r>
          </w:p>
          <w:p w14:paraId="3032F074">
            <w:pPr>
              <w:bidi w:val="0"/>
              <w:ind w:firstLine="480" w:firstLineChars="200"/>
              <w:rPr>
                <w:rFonts w:hint="eastAsia"/>
                <w:color w:val="auto"/>
                <w:vertAlign w:val="baseline"/>
              </w:rPr>
            </w:pPr>
            <w:r>
              <w:rPr>
                <w:rFonts w:hint="eastAsia"/>
                <w:color w:val="auto"/>
                <w:vertAlign w:val="baseline"/>
              </w:rPr>
              <w:t>密炼</w:t>
            </w:r>
            <w:r>
              <w:rPr>
                <w:rFonts w:hint="eastAsia"/>
                <w:color w:val="auto"/>
                <w:vertAlign w:val="baseline"/>
                <w:lang w:val="en-US" w:eastAsia="zh-CN"/>
              </w:rPr>
              <w:t>机采用电加热，</w:t>
            </w:r>
            <w:r>
              <w:rPr>
                <w:rFonts w:hint="eastAsia"/>
                <w:color w:val="auto"/>
                <w:vertAlign w:val="baseline"/>
              </w:rPr>
              <w:t>密炼温度不超过100</w:t>
            </w:r>
            <w:r>
              <w:rPr>
                <w:rFonts w:hint="eastAsia"/>
                <w:color w:val="auto"/>
                <w:vertAlign w:val="baseline"/>
                <w:lang w:val="en-US" w:eastAsia="zh-CN"/>
              </w:rPr>
              <w:t>℃</w:t>
            </w:r>
            <w:r>
              <w:rPr>
                <w:rFonts w:hint="eastAsia"/>
                <w:color w:val="auto"/>
                <w:vertAlign w:val="baseline"/>
              </w:rPr>
              <w:t>，压力控制在0.03MPa左右，密炼时间控制在15~20min。各原料在密炼机内两个相对转动的转子间隙中受到捏炼，同时由于转子旋转，使胶料与密闭室壁之间，与上、下顶栓之间产生强烈的摩擦及机械剪切撕捏作用，使得橡胶分子键断裂而获得一定的可塑性，从而活化了橡胶分子密炼后出料，之后密炼胶料从密炼机加入开炼机进行开炼。</w:t>
            </w:r>
            <w:r>
              <w:rPr>
                <w:rFonts w:hint="eastAsia" w:ascii="Times New Roman" w:hAnsi="Times New Roman" w:cs="Times New Roman"/>
                <w:color w:val="000000"/>
                <w:sz w:val="24"/>
                <w:szCs w:val="24"/>
              </w:rPr>
              <w:t>此过程</w:t>
            </w:r>
            <w:r>
              <w:rPr>
                <w:rFonts w:ascii="Times New Roman" w:hAnsi="Times New Roman" w:cs="Times New Roman"/>
                <w:color w:val="000000"/>
                <w:sz w:val="24"/>
                <w:szCs w:val="24"/>
              </w:rPr>
              <w:t>会产生</w:t>
            </w:r>
            <w:r>
              <w:rPr>
                <w:rFonts w:hint="eastAsia"/>
                <w:color w:val="auto"/>
                <w:vertAlign w:val="baseline"/>
                <w:lang w:val="en-US" w:eastAsia="zh-CN"/>
              </w:rPr>
              <w:t>密炼废气</w:t>
            </w:r>
            <w:r>
              <w:rPr>
                <w:rFonts w:hint="eastAsia" w:cs="Times New Roman"/>
                <w:color w:val="000000"/>
                <w:sz w:val="24"/>
                <w:szCs w:val="24"/>
                <w:lang w:val="en-US" w:eastAsia="zh-CN"/>
              </w:rPr>
              <w:t>G3</w:t>
            </w:r>
            <w:r>
              <w:rPr>
                <w:rFonts w:hint="eastAsia" w:ascii="Times New Roman" w:hAnsi="Times New Roman" w:cs="Times New Roman"/>
                <w:color w:val="000000"/>
                <w:sz w:val="24"/>
                <w:szCs w:val="24"/>
                <w:lang w:eastAsia="zh-CN"/>
              </w:rPr>
              <w:t>。</w:t>
            </w:r>
          </w:p>
          <w:p w14:paraId="178EE5EE">
            <w:pPr>
              <w:bidi w:val="0"/>
              <w:ind w:firstLine="480" w:firstLineChars="200"/>
              <w:rPr>
                <w:color w:val="auto"/>
                <w:vertAlign w:val="baseline"/>
              </w:rPr>
            </w:pPr>
            <w:r>
              <w:rPr>
                <w:rFonts w:hint="eastAsia" w:ascii="Times New Roman" w:hAnsi="Times New Roman" w:eastAsia="宋体" w:cs="Times New Roman"/>
                <w:color w:val="auto"/>
                <w:kern w:val="2"/>
                <w:sz w:val="24"/>
                <w:szCs w:val="24"/>
                <w:vertAlign w:val="baseline"/>
                <w:lang w:val="en-US" w:eastAsia="zh-CN" w:bidi="ar-SA"/>
              </w:rPr>
              <w:t>（4）</w:t>
            </w:r>
            <w:r>
              <w:rPr>
                <w:rFonts w:hint="eastAsia"/>
                <w:color w:val="auto"/>
                <w:vertAlign w:val="baseline"/>
                <w:lang w:val="en-US" w:eastAsia="zh-CN"/>
              </w:rPr>
              <w:t>开炼</w:t>
            </w:r>
          </w:p>
          <w:p w14:paraId="3F12B087">
            <w:pPr>
              <w:bidi w:val="0"/>
              <w:ind w:firstLine="480" w:firstLineChars="200"/>
              <w:rPr>
                <w:color w:val="auto"/>
                <w:vertAlign w:val="baseline"/>
              </w:rPr>
            </w:pPr>
            <w:r>
              <w:rPr>
                <w:rFonts w:hint="eastAsia"/>
                <w:color w:val="auto"/>
                <w:vertAlign w:val="baseline"/>
              </w:rPr>
              <w:t>密炼胶料卸料后传送至开炼机，采用间接循环冷却水控制辊筒温度在60~65</w:t>
            </w:r>
            <w:r>
              <w:rPr>
                <w:rFonts w:hint="eastAsia"/>
                <w:color w:val="auto"/>
                <w:vertAlign w:val="baseline"/>
                <w:lang w:val="en-US" w:eastAsia="zh-CN"/>
              </w:rPr>
              <w:t>℃</w:t>
            </w:r>
            <w:r>
              <w:rPr>
                <w:rFonts w:hint="eastAsia"/>
                <w:color w:val="auto"/>
                <w:vertAlign w:val="baseline"/>
              </w:rPr>
              <w:t>。首先采用较小辊距进行开炼，开炼机的辊压作用使胶料呈片状并均匀地分布在辊筒上，通过辊筒上部的翻胶装置将包覆在辊筒上的胶片隆起成团，然后随着辊筒的不断转动，胶团进入开炼机继续进行开炼，重复上述操作3~4次。然后将胶片转移至辊距较大的开炼机上，随着两辊的转动，得到符合厚度要求的胶片。</w:t>
            </w:r>
            <w:r>
              <w:rPr>
                <w:rFonts w:hint="eastAsia" w:ascii="Times New Roman" w:hAnsi="Times New Roman" w:cs="Times New Roman"/>
                <w:color w:val="000000"/>
                <w:sz w:val="24"/>
                <w:szCs w:val="24"/>
              </w:rPr>
              <w:t>此过程</w:t>
            </w:r>
            <w:r>
              <w:rPr>
                <w:rFonts w:ascii="Times New Roman" w:hAnsi="Times New Roman" w:cs="Times New Roman"/>
                <w:color w:val="000000"/>
                <w:sz w:val="24"/>
                <w:szCs w:val="24"/>
              </w:rPr>
              <w:t>会产生</w:t>
            </w:r>
            <w:r>
              <w:rPr>
                <w:rFonts w:hint="eastAsia"/>
                <w:color w:val="auto"/>
                <w:vertAlign w:val="baseline"/>
                <w:lang w:val="en-US" w:eastAsia="zh-CN"/>
              </w:rPr>
              <w:t>开炼废气</w:t>
            </w:r>
            <w:r>
              <w:rPr>
                <w:rFonts w:hint="eastAsia" w:cs="Times New Roman"/>
                <w:color w:val="000000"/>
                <w:sz w:val="24"/>
                <w:szCs w:val="24"/>
                <w:lang w:val="en-US" w:eastAsia="zh-CN"/>
              </w:rPr>
              <w:t>G4</w:t>
            </w:r>
            <w:r>
              <w:rPr>
                <w:rFonts w:hint="eastAsia" w:ascii="Times New Roman" w:hAnsi="Times New Roman" w:cs="Times New Roman"/>
                <w:color w:val="000000"/>
                <w:sz w:val="24"/>
                <w:szCs w:val="24"/>
                <w:lang w:eastAsia="zh-CN"/>
              </w:rPr>
              <w:t>。</w:t>
            </w:r>
          </w:p>
          <w:p w14:paraId="2C8C78BE">
            <w:pPr>
              <w:bidi w:val="0"/>
              <w:ind w:firstLine="480" w:firstLineChars="200"/>
              <w:rPr>
                <w:color w:val="auto"/>
                <w:vertAlign w:val="baseline"/>
              </w:rPr>
            </w:pPr>
            <w:r>
              <w:rPr>
                <w:rFonts w:hint="eastAsia" w:ascii="Times New Roman" w:hAnsi="Times New Roman" w:eastAsia="宋体" w:cs="Times New Roman"/>
                <w:color w:val="auto"/>
                <w:kern w:val="2"/>
                <w:sz w:val="24"/>
                <w:szCs w:val="24"/>
                <w:vertAlign w:val="baseline"/>
                <w:lang w:val="en-US" w:eastAsia="zh-CN" w:bidi="ar-SA"/>
              </w:rPr>
              <w:t>（5）</w:t>
            </w:r>
            <w:r>
              <w:rPr>
                <w:rFonts w:hint="eastAsia"/>
                <w:color w:val="auto"/>
                <w:vertAlign w:val="baseline"/>
                <w:lang w:val="en-US" w:eastAsia="zh-CN"/>
              </w:rPr>
              <w:t>冷却</w:t>
            </w:r>
          </w:p>
          <w:p w14:paraId="4064C7E8">
            <w:pPr>
              <w:bidi w:val="0"/>
              <w:ind w:firstLine="480" w:firstLineChars="200"/>
              <w:rPr>
                <w:color w:val="auto"/>
                <w:vertAlign w:val="baseline"/>
              </w:rPr>
            </w:pPr>
            <w:r>
              <w:rPr>
                <w:rFonts w:hint="eastAsia"/>
                <w:color w:val="auto"/>
                <w:vertAlign w:val="baseline"/>
              </w:rPr>
              <w:t>通过输送带传送入胶片冷却系统，经过</w:t>
            </w:r>
            <w:r>
              <w:rPr>
                <w:rFonts w:hint="eastAsia"/>
                <w:color w:val="auto"/>
                <w:vertAlign w:val="baseline"/>
                <w:lang w:val="en-US" w:eastAsia="zh-CN"/>
              </w:rPr>
              <w:t>常温</w:t>
            </w:r>
            <w:r>
              <w:rPr>
                <w:rFonts w:hint="eastAsia"/>
                <w:color w:val="auto"/>
                <w:vertAlign w:val="baseline"/>
              </w:rPr>
              <w:t>循环冷却水对设备控温的形式进行</w:t>
            </w:r>
            <w:r>
              <w:rPr>
                <w:rFonts w:hint="eastAsia"/>
                <w:color w:val="auto"/>
                <w:vertAlign w:val="baseline"/>
                <w:lang w:val="en-US" w:eastAsia="zh-CN"/>
              </w:rPr>
              <w:t>间接</w:t>
            </w:r>
            <w:r>
              <w:rPr>
                <w:rFonts w:hint="eastAsia"/>
                <w:color w:val="auto"/>
                <w:vertAlign w:val="baseline"/>
              </w:rPr>
              <w:t>降温</w:t>
            </w:r>
            <w:r>
              <w:rPr>
                <w:rFonts w:hint="eastAsia"/>
                <w:color w:val="auto"/>
                <w:vertAlign w:val="baseline"/>
                <w:lang w:eastAsia="zh-CN"/>
              </w:rPr>
              <w:t>，</w:t>
            </w:r>
            <w:r>
              <w:rPr>
                <w:rFonts w:hint="eastAsia"/>
                <w:color w:val="auto"/>
                <w:vertAlign w:val="baseline"/>
                <w:lang w:val="en-US" w:eastAsia="zh-CN"/>
              </w:rPr>
              <w:t>此过程产生循环冷却废水W1</w:t>
            </w:r>
            <w:r>
              <w:rPr>
                <w:rFonts w:hint="eastAsia"/>
                <w:color w:val="auto"/>
                <w:vertAlign w:val="baseline"/>
              </w:rPr>
              <w:t>。</w:t>
            </w:r>
          </w:p>
          <w:p w14:paraId="397AFC6B">
            <w:pPr>
              <w:bidi w:val="0"/>
              <w:ind w:firstLine="480" w:firstLineChars="200"/>
              <w:rPr>
                <w:color w:val="auto"/>
                <w:vertAlign w:val="baseline"/>
              </w:rPr>
            </w:pPr>
            <w:r>
              <w:rPr>
                <w:rFonts w:hint="eastAsia" w:ascii="Times New Roman" w:hAnsi="Times New Roman" w:eastAsia="宋体" w:cs="Times New Roman"/>
                <w:color w:val="auto"/>
                <w:kern w:val="2"/>
                <w:sz w:val="24"/>
                <w:szCs w:val="24"/>
                <w:vertAlign w:val="baseline"/>
                <w:lang w:val="en-US" w:eastAsia="zh-CN" w:bidi="ar-SA"/>
              </w:rPr>
              <w:t>（6）</w:t>
            </w:r>
            <w:r>
              <w:rPr>
                <w:rFonts w:hint="eastAsia"/>
                <w:color w:val="auto"/>
                <w:vertAlign w:val="baseline"/>
                <w:lang w:val="en-US" w:eastAsia="zh-CN"/>
              </w:rPr>
              <w:t>切胶</w:t>
            </w:r>
          </w:p>
          <w:p w14:paraId="5069B4C5">
            <w:pPr>
              <w:bidi w:val="0"/>
              <w:ind w:firstLine="480" w:firstLineChars="200"/>
              <w:rPr>
                <w:color w:val="auto"/>
                <w:vertAlign w:val="baseline"/>
              </w:rPr>
            </w:pPr>
            <w:r>
              <w:rPr>
                <w:rFonts w:hint="eastAsia"/>
                <w:color w:val="auto"/>
                <w:vertAlign w:val="baseline"/>
                <w:lang w:val="en-US" w:eastAsia="zh-CN"/>
              </w:rPr>
              <w:t>由电动液压切胶机</w:t>
            </w:r>
            <w:r>
              <w:rPr>
                <w:rFonts w:hint="eastAsia"/>
                <w:color w:val="auto"/>
                <w:vertAlign w:val="baseline"/>
              </w:rPr>
              <w:t>对</w:t>
            </w:r>
            <w:r>
              <w:rPr>
                <w:rFonts w:hint="eastAsia"/>
                <w:color w:val="auto"/>
                <w:vertAlign w:val="baseline"/>
                <w:lang w:val="en-US" w:eastAsia="zh-CN"/>
              </w:rPr>
              <w:t>冷却完成</w:t>
            </w:r>
            <w:r>
              <w:rPr>
                <w:rFonts w:hint="eastAsia"/>
                <w:color w:val="auto"/>
                <w:vertAlign w:val="baseline"/>
              </w:rPr>
              <w:t>的半成品胶片进行裁剪，按照产品要求的尺寸裁胶。</w:t>
            </w:r>
            <w:r>
              <w:rPr>
                <w:rFonts w:hint="eastAsia" w:ascii="Times New Roman" w:hAnsi="Times New Roman" w:cs="Times New Roman"/>
                <w:color w:val="000000"/>
                <w:sz w:val="24"/>
                <w:szCs w:val="24"/>
              </w:rPr>
              <w:t>此过程</w:t>
            </w:r>
            <w:r>
              <w:rPr>
                <w:rFonts w:ascii="Times New Roman" w:hAnsi="Times New Roman" w:cs="Times New Roman"/>
                <w:color w:val="000000"/>
                <w:sz w:val="24"/>
                <w:szCs w:val="24"/>
              </w:rPr>
              <w:t>会产生</w:t>
            </w:r>
            <w:r>
              <w:rPr>
                <w:rFonts w:hint="eastAsia"/>
                <w:color w:val="auto"/>
                <w:vertAlign w:val="baseline"/>
                <w:lang w:val="en-US" w:eastAsia="zh-CN"/>
              </w:rPr>
              <w:t>橡胶边角料S1</w:t>
            </w:r>
            <w:r>
              <w:rPr>
                <w:rFonts w:hint="eastAsia" w:ascii="Times New Roman" w:hAnsi="Times New Roman" w:cs="Times New Roman"/>
                <w:color w:val="000000"/>
                <w:sz w:val="24"/>
                <w:szCs w:val="24"/>
                <w:lang w:eastAsia="zh-CN"/>
              </w:rPr>
              <w:t>。</w:t>
            </w:r>
          </w:p>
          <w:p w14:paraId="4ECE806E">
            <w:pPr>
              <w:bidi w:val="0"/>
              <w:ind w:firstLine="480" w:firstLineChars="200"/>
              <w:rPr>
                <w:color w:val="auto"/>
                <w:vertAlign w:val="baseline"/>
              </w:rPr>
            </w:pPr>
            <w:r>
              <w:rPr>
                <w:rFonts w:hint="eastAsia" w:ascii="Times New Roman" w:hAnsi="Times New Roman" w:eastAsia="宋体" w:cs="Times New Roman"/>
                <w:color w:val="auto"/>
                <w:kern w:val="2"/>
                <w:sz w:val="24"/>
                <w:szCs w:val="24"/>
                <w:vertAlign w:val="baseline"/>
                <w:lang w:val="en-US" w:eastAsia="zh-CN" w:bidi="ar-SA"/>
              </w:rPr>
              <w:t>（7）</w:t>
            </w:r>
            <w:r>
              <w:rPr>
                <w:rFonts w:hint="eastAsia"/>
                <w:color w:val="auto"/>
                <w:vertAlign w:val="baseline"/>
                <w:lang w:val="en-US" w:eastAsia="zh-CN"/>
              </w:rPr>
              <w:t>剪切</w:t>
            </w:r>
          </w:p>
          <w:p w14:paraId="12D29316">
            <w:pPr>
              <w:bidi w:val="0"/>
              <w:ind w:firstLine="480" w:firstLineChars="200"/>
              <w:rPr>
                <w:rFonts w:hint="default" w:eastAsia="宋体"/>
                <w:color w:val="auto"/>
                <w:vertAlign w:val="baseline"/>
                <w:lang w:val="en-US" w:eastAsia="zh-CN"/>
              </w:rPr>
            </w:pPr>
            <w:r>
              <w:rPr>
                <w:rFonts w:hint="eastAsia"/>
                <w:color w:val="auto"/>
                <w:vertAlign w:val="baseline"/>
              </w:rPr>
              <w:t>将外购的钢板按照</w:t>
            </w:r>
            <w:r>
              <w:rPr>
                <w:rFonts w:hint="eastAsia"/>
                <w:color w:val="auto"/>
                <w:vertAlign w:val="baseline"/>
                <w:lang w:val="en-US" w:eastAsia="zh-CN"/>
              </w:rPr>
              <w:t>产品规格</w:t>
            </w:r>
            <w:r>
              <w:rPr>
                <w:rFonts w:hint="eastAsia"/>
                <w:color w:val="auto"/>
                <w:vertAlign w:val="baseline"/>
              </w:rPr>
              <w:t>要求切割成一定规格的板材，本项目</w:t>
            </w:r>
            <w:r>
              <w:rPr>
                <w:rFonts w:hint="eastAsia"/>
                <w:color w:val="auto"/>
                <w:vertAlign w:val="baseline"/>
                <w:lang w:val="en-US" w:eastAsia="zh-CN"/>
              </w:rPr>
              <w:t>剪切主要采用锯床、机械裁板机和大族激光机</w:t>
            </w:r>
            <w:r>
              <w:rPr>
                <w:rFonts w:hint="eastAsia"/>
                <w:color w:val="auto"/>
                <w:vertAlign w:val="baseline"/>
              </w:rPr>
              <w:t>等进行，</w:t>
            </w:r>
            <w:r>
              <w:rPr>
                <w:rFonts w:hint="eastAsia"/>
                <w:color w:val="auto"/>
                <w:vertAlign w:val="baseline"/>
                <w:lang w:val="en-US" w:eastAsia="zh-CN"/>
              </w:rPr>
              <w:t>锯床和机械裁板机</w:t>
            </w:r>
            <w:r>
              <w:rPr>
                <w:rFonts w:hint="eastAsia"/>
                <w:color w:val="auto"/>
                <w:vertAlign w:val="baseline"/>
              </w:rPr>
              <w:t>主要切割用于厚板加工，激光切割机主要用于薄板加工</w:t>
            </w:r>
            <w:r>
              <w:rPr>
                <w:rFonts w:hint="eastAsia"/>
                <w:color w:val="auto"/>
                <w:vertAlign w:val="baseline"/>
                <w:lang w:eastAsia="zh-CN"/>
              </w:rPr>
              <w:t>。</w:t>
            </w:r>
            <w:r>
              <w:rPr>
                <w:rFonts w:hint="eastAsia"/>
                <w:color w:val="auto"/>
                <w:vertAlign w:val="baseline"/>
                <w:lang w:val="en-US" w:eastAsia="zh-CN"/>
              </w:rPr>
              <w:t>此过程会产生激光切割粉尘G5和废边角料S2。</w:t>
            </w:r>
          </w:p>
          <w:p w14:paraId="454BF902">
            <w:pPr>
              <w:bidi w:val="0"/>
              <w:ind w:firstLine="480" w:firstLineChars="200"/>
              <w:rPr>
                <w:color w:val="auto"/>
                <w:vertAlign w:val="baseline"/>
              </w:rPr>
            </w:pPr>
            <w:r>
              <w:rPr>
                <w:rFonts w:hint="eastAsia" w:ascii="Times New Roman" w:hAnsi="Times New Roman" w:eastAsia="宋体" w:cs="Times New Roman"/>
                <w:color w:val="auto"/>
                <w:kern w:val="2"/>
                <w:sz w:val="24"/>
                <w:szCs w:val="24"/>
                <w:vertAlign w:val="baseline"/>
                <w:lang w:val="en-US" w:eastAsia="zh-CN" w:bidi="ar-SA"/>
              </w:rPr>
              <w:t>（8）</w:t>
            </w:r>
            <w:r>
              <w:rPr>
                <w:rFonts w:hint="eastAsia"/>
                <w:color w:val="auto"/>
                <w:vertAlign w:val="baseline"/>
                <w:lang w:val="en-US" w:eastAsia="zh-CN"/>
              </w:rPr>
              <w:t>机加工</w:t>
            </w:r>
          </w:p>
          <w:p w14:paraId="2B118ABB">
            <w:pPr>
              <w:bidi w:val="0"/>
              <w:ind w:firstLine="480" w:firstLineChars="200"/>
              <w:rPr>
                <w:rFonts w:hint="eastAsia"/>
                <w:color w:val="auto"/>
                <w:vertAlign w:val="baseline"/>
                <w:lang w:val="en-US" w:eastAsia="zh-CN"/>
              </w:rPr>
            </w:pPr>
            <w:r>
              <w:rPr>
                <w:rFonts w:hint="eastAsia"/>
                <w:color w:val="auto"/>
                <w:vertAlign w:val="baseline"/>
                <w:lang w:val="en-US" w:eastAsia="zh-CN"/>
              </w:rPr>
              <w:t>剪切完成后的板材经过铣边机和车床进行机加工，此过程会产生废铁屑S3。</w:t>
            </w:r>
          </w:p>
          <w:p w14:paraId="5C57CD1B">
            <w:pPr>
              <w:bidi w:val="0"/>
              <w:ind w:firstLine="480" w:firstLineChars="200"/>
              <w:rPr>
                <w:color w:val="auto"/>
                <w:vertAlign w:val="baseline"/>
              </w:rPr>
            </w:pPr>
            <w:r>
              <w:rPr>
                <w:rFonts w:hint="eastAsia" w:ascii="Times New Roman" w:hAnsi="Times New Roman" w:eastAsia="宋体" w:cs="Times New Roman"/>
                <w:color w:val="auto"/>
                <w:kern w:val="2"/>
                <w:sz w:val="24"/>
                <w:szCs w:val="24"/>
                <w:vertAlign w:val="baseline"/>
                <w:lang w:val="en-US" w:eastAsia="zh-CN" w:bidi="ar-SA"/>
              </w:rPr>
              <w:t>（9）</w:t>
            </w:r>
            <w:r>
              <w:rPr>
                <w:rFonts w:hint="eastAsia"/>
                <w:color w:val="auto"/>
                <w:vertAlign w:val="baseline"/>
                <w:lang w:val="en-US" w:eastAsia="zh-CN"/>
              </w:rPr>
              <w:t>喷砂</w:t>
            </w:r>
          </w:p>
          <w:p w14:paraId="314D4038">
            <w:pPr>
              <w:bidi w:val="0"/>
              <w:ind w:firstLine="480" w:firstLineChars="200"/>
              <w:rPr>
                <w:color w:val="auto"/>
                <w:vertAlign w:val="baseline"/>
              </w:rPr>
            </w:pPr>
            <w:r>
              <w:rPr>
                <w:rFonts w:hint="eastAsia"/>
                <w:color w:val="auto"/>
                <w:vertAlign w:val="baseline"/>
              </w:rPr>
              <w:t>将加工</w:t>
            </w:r>
            <w:r>
              <w:rPr>
                <w:rFonts w:hint="eastAsia"/>
                <w:color w:val="auto"/>
                <w:vertAlign w:val="baseline"/>
                <w:lang w:val="en-US" w:eastAsia="zh-CN"/>
              </w:rPr>
              <w:t>完成</w:t>
            </w:r>
            <w:r>
              <w:rPr>
                <w:rFonts w:hint="eastAsia"/>
                <w:color w:val="auto"/>
                <w:vertAlign w:val="baseline"/>
              </w:rPr>
              <w:t>的板材通过喷砂机使工件表面获的一定的清洁度和不同的粗糙度，增加工件表面的附着力</w:t>
            </w:r>
            <w:r>
              <w:rPr>
                <w:rFonts w:hint="eastAsia"/>
                <w:color w:val="auto"/>
                <w:vertAlign w:val="baseline"/>
                <w:lang w:eastAsia="zh-CN"/>
              </w:rPr>
              <w:t>。</w:t>
            </w:r>
            <w:r>
              <w:rPr>
                <w:rFonts w:hint="eastAsia"/>
                <w:color w:val="auto"/>
                <w:vertAlign w:val="baseline"/>
                <w:lang w:val="en-US" w:eastAsia="zh-CN"/>
              </w:rPr>
              <w:t>此过程会产生喷砂粉尘G6和废钢丸S4。</w:t>
            </w:r>
          </w:p>
          <w:p w14:paraId="2E33DC4C">
            <w:pPr>
              <w:bidi w:val="0"/>
              <w:ind w:firstLine="480" w:firstLineChars="200"/>
              <w:rPr>
                <w:color w:val="auto"/>
                <w:vertAlign w:val="baseline"/>
              </w:rPr>
            </w:pPr>
            <w:r>
              <w:rPr>
                <w:rFonts w:hint="eastAsia" w:ascii="Times New Roman" w:hAnsi="Times New Roman" w:eastAsia="宋体" w:cs="Times New Roman"/>
                <w:color w:val="auto"/>
                <w:kern w:val="2"/>
                <w:sz w:val="24"/>
                <w:szCs w:val="24"/>
                <w:vertAlign w:val="baseline"/>
                <w:lang w:val="en-US" w:eastAsia="zh-CN" w:bidi="ar-SA"/>
              </w:rPr>
              <w:t>（10）</w:t>
            </w:r>
            <w:r>
              <w:rPr>
                <w:rFonts w:hint="eastAsia"/>
                <w:color w:val="auto"/>
                <w:vertAlign w:val="baseline"/>
                <w:lang w:val="en-US" w:eastAsia="zh-CN"/>
              </w:rPr>
              <w:t>涂胶</w:t>
            </w:r>
          </w:p>
          <w:p w14:paraId="13BC490B">
            <w:pPr>
              <w:bidi w:val="0"/>
              <w:ind w:firstLine="480" w:firstLineChars="200"/>
              <w:rPr>
                <w:color w:val="auto"/>
                <w:vertAlign w:val="baseline"/>
              </w:rPr>
            </w:pPr>
            <w:r>
              <w:rPr>
                <w:rFonts w:hint="eastAsia"/>
                <w:color w:val="auto"/>
                <w:vertAlign w:val="baseline"/>
              </w:rPr>
              <w:t>将</w:t>
            </w:r>
            <w:r>
              <w:rPr>
                <w:rFonts w:hint="eastAsia"/>
                <w:color w:val="auto"/>
                <w:vertAlign w:val="baseline"/>
                <w:lang w:val="en-US" w:eastAsia="zh-CN"/>
              </w:rPr>
              <w:t>喷砂完成</w:t>
            </w:r>
            <w:r>
              <w:rPr>
                <w:rFonts w:hint="eastAsia"/>
                <w:color w:val="auto"/>
                <w:vertAlign w:val="baseline"/>
              </w:rPr>
              <w:t>的板材</w:t>
            </w:r>
            <w:r>
              <w:rPr>
                <w:rFonts w:hint="eastAsia"/>
                <w:color w:val="auto"/>
                <w:vertAlign w:val="baseline"/>
                <w:lang w:eastAsia="zh-CN"/>
              </w:rPr>
              <w:t>、</w:t>
            </w:r>
            <w:r>
              <w:rPr>
                <w:rFonts w:hint="eastAsia"/>
                <w:color w:val="auto"/>
                <w:vertAlign w:val="baseline"/>
                <w:lang w:val="en-US" w:eastAsia="zh-CN"/>
              </w:rPr>
              <w:t>外购的四氟板以及胶片转运至硫化车间中，在密闭</w:t>
            </w:r>
            <w:r>
              <w:rPr>
                <w:rFonts w:hint="eastAsia" w:ascii="Times New Roman" w:hAnsi="Times New Roman" w:cs="Times New Roman"/>
                <w:b w:val="0"/>
                <w:bCs w:val="0"/>
                <w:color w:val="000000"/>
                <w:sz w:val="24"/>
                <w:szCs w:val="24"/>
                <w:lang w:eastAsia="zh-CN"/>
              </w:rPr>
              <w:t>的涂胶</w:t>
            </w:r>
            <w:r>
              <w:rPr>
                <w:rFonts w:hint="eastAsia" w:ascii="Times New Roman" w:hAnsi="Times New Roman" w:cs="Times New Roman"/>
                <w:b w:val="0"/>
                <w:bCs w:val="0"/>
                <w:color w:val="000000"/>
                <w:sz w:val="24"/>
                <w:szCs w:val="24"/>
                <w:lang w:val="en-US" w:eastAsia="zh-CN"/>
              </w:rPr>
              <w:t>室</w:t>
            </w:r>
            <w:r>
              <w:rPr>
                <w:rFonts w:hint="eastAsia" w:cs="Times New Roman"/>
                <w:b w:val="0"/>
                <w:bCs w:val="0"/>
                <w:color w:val="000000"/>
                <w:sz w:val="24"/>
                <w:szCs w:val="24"/>
                <w:lang w:val="en-US" w:eastAsia="zh-CN"/>
              </w:rPr>
              <w:t>内</w:t>
            </w:r>
            <w:r>
              <w:rPr>
                <w:rFonts w:hint="eastAsia" w:ascii="Times New Roman" w:hAnsi="Times New Roman" w:cs="Times New Roman"/>
                <w:b w:val="0"/>
                <w:bCs w:val="0"/>
                <w:color w:val="000000"/>
                <w:sz w:val="24"/>
                <w:szCs w:val="24"/>
                <w:lang w:eastAsia="zh-CN"/>
              </w:rPr>
              <w:t>人工涂环保型胶黏剂</w:t>
            </w:r>
            <w:r>
              <w:rPr>
                <w:rFonts w:hint="eastAsia" w:cs="Times New Roman"/>
                <w:b w:val="0"/>
                <w:bCs w:val="0"/>
                <w:color w:val="000000"/>
                <w:sz w:val="24"/>
                <w:szCs w:val="24"/>
                <w:lang w:val="en-US" w:eastAsia="zh-CN"/>
              </w:rPr>
              <w:t>进行粘结</w:t>
            </w:r>
            <w:r>
              <w:rPr>
                <w:rFonts w:hint="eastAsia"/>
                <w:color w:val="auto"/>
                <w:vertAlign w:val="baseline"/>
                <w:lang w:eastAsia="zh-CN"/>
              </w:rPr>
              <w:t>。</w:t>
            </w:r>
            <w:r>
              <w:rPr>
                <w:rFonts w:hint="eastAsia"/>
                <w:color w:val="auto"/>
                <w:vertAlign w:val="baseline"/>
                <w:lang w:val="en-US" w:eastAsia="zh-CN"/>
              </w:rPr>
              <w:t>此过程会产生涂胶废气G7。</w:t>
            </w:r>
          </w:p>
          <w:p w14:paraId="1578247A">
            <w:pPr>
              <w:bidi w:val="0"/>
              <w:ind w:firstLine="480" w:firstLineChars="200"/>
              <w:rPr>
                <w:rFonts w:hint="default"/>
                <w:color w:val="auto"/>
                <w:vertAlign w:val="baseline"/>
                <w:lang w:val="en-US"/>
              </w:rPr>
            </w:pPr>
            <w:r>
              <w:rPr>
                <w:rFonts w:hint="eastAsia" w:ascii="Times New Roman" w:hAnsi="Times New Roman" w:eastAsia="宋体" w:cs="Times New Roman"/>
                <w:color w:val="auto"/>
                <w:kern w:val="2"/>
                <w:sz w:val="24"/>
                <w:szCs w:val="24"/>
                <w:vertAlign w:val="baseline"/>
                <w:lang w:val="en-US" w:eastAsia="zh-CN" w:bidi="ar-SA"/>
              </w:rPr>
              <w:t>（10）压模</w:t>
            </w:r>
          </w:p>
          <w:p w14:paraId="6253512F">
            <w:pPr>
              <w:bidi w:val="0"/>
              <w:ind w:firstLine="480" w:firstLineChars="200"/>
              <w:rPr>
                <w:color w:val="auto"/>
                <w:vertAlign w:val="baseline"/>
              </w:rPr>
            </w:pPr>
            <w:r>
              <w:rPr>
                <w:rFonts w:hint="eastAsia"/>
                <w:color w:val="auto"/>
                <w:vertAlign w:val="baseline"/>
              </w:rPr>
              <w:t>将</w:t>
            </w:r>
            <w:r>
              <w:rPr>
                <w:rFonts w:hint="eastAsia"/>
                <w:color w:val="auto"/>
                <w:vertAlign w:val="baseline"/>
                <w:lang w:val="en-US" w:eastAsia="zh-CN"/>
              </w:rPr>
              <w:t>涂胶完成</w:t>
            </w:r>
            <w:r>
              <w:rPr>
                <w:rFonts w:hint="eastAsia"/>
                <w:color w:val="auto"/>
                <w:vertAlign w:val="baseline"/>
              </w:rPr>
              <w:t>的</w:t>
            </w:r>
            <w:r>
              <w:rPr>
                <w:rFonts w:hint="eastAsia"/>
                <w:color w:val="auto"/>
                <w:vertAlign w:val="baseline"/>
                <w:lang w:val="en-US" w:eastAsia="zh-CN"/>
              </w:rPr>
              <w:t>半成品放入电动液压出模机中进行</w:t>
            </w:r>
            <w:r>
              <w:rPr>
                <w:rFonts w:hint="eastAsia" w:ascii="Times New Roman" w:hAnsi="Times New Roman" w:eastAsia="宋体" w:cs="Times New Roman"/>
                <w:color w:val="auto"/>
                <w:kern w:val="2"/>
                <w:sz w:val="24"/>
                <w:szCs w:val="24"/>
                <w:vertAlign w:val="baseline"/>
                <w:lang w:val="en-US" w:eastAsia="zh-CN" w:bidi="ar-SA"/>
              </w:rPr>
              <w:t>压模</w:t>
            </w:r>
            <w:r>
              <w:rPr>
                <w:rFonts w:hint="eastAsia"/>
                <w:color w:val="auto"/>
                <w:vertAlign w:val="baseline"/>
                <w:lang w:eastAsia="zh-CN"/>
              </w:rPr>
              <w:t>。</w:t>
            </w:r>
          </w:p>
          <w:p w14:paraId="745D371F">
            <w:pPr>
              <w:bidi w:val="0"/>
              <w:ind w:firstLine="480" w:firstLineChars="200"/>
              <w:rPr>
                <w:color w:val="auto"/>
                <w:vertAlign w:val="baseline"/>
              </w:rPr>
            </w:pPr>
            <w:r>
              <w:rPr>
                <w:rFonts w:hint="eastAsia" w:ascii="Times New Roman" w:hAnsi="Times New Roman" w:eastAsia="宋体" w:cs="Times New Roman"/>
                <w:color w:val="auto"/>
                <w:kern w:val="2"/>
                <w:sz w:val="24"/>
                <w:szCs w:val="24"/>
                <w:vertAlign w:val="baseline"/>
                <w:lang w:val="en-US" w:eastAsia="zh-CN" w:bidi="ar-SA"/>
              </w:rPr>
              <w:t>（11）</w:t>
            </w:r>
            <w:r>
              <w:rPr>
                <w:rFonts w:hint="eastAsia"/>
                <w:color w:val="auto"/>
                <w:vertAlign w:val="baseline"/>
                <w:lang w:val="en-US" w:eastAsia="zh-CN"/>
              </w:rPr>
              <w:t>硫化</w:t>
            </w:r>
          </w:p>
          <w:p w14:paraId="128CFC27">
            <w:pPr>
              <w:bidi w:val="0"/>
              <w:ind w:firstLine="480" w:firstLineChars="200"/>
              <w:rPr>
                <w:color w:val="auto"/>
                <w:vertAlign w:val="baseline"/>
              </w:rPr>
            </w:pPr>
            <w:r>
              <w:rPr>
                <w:rFonts w:hint="eastAsia"/>
                <w:color w:val="auto"/>
                <w:vertAlign w:val="baseline"/>
                <w:lang w:eastAsia="zh-CN"/>
              </w:rPr>
              <w:t>硫化的科学意义是“交联”或“架桥”，橡胶大分子在加热下发生化学反应，交联成为立体网状高分子结构的过程。从物性上即是塑性橡胶转化为弹性橡胶或硬质橡胶的过程。将</w:t>
            </w:r>
            <w:r>
              <w:rPr>
                <w:rFonts w:hint="eastAsia"/>
                <w:color w:val="auto"/>
                <w:vertAlign w:val="baseline"/>
                <w:lang w:val="en-US" w:eastAsia="zh-CN"/>
              </w:rPr>
              <w:t>压模包覆完成的</w:t>
            </w:r>
            <w:r>
              <w:rPr>
                <w:rFonts w:hint="eastAsia"/>
                <w:color w:val="auto"/>
                <w:vertAlign w:val="baseline"/>
                <w:lang w:eastAsia="zh-CN"/>
              </w:rPr>
              <w:t>橡胶制品在硫化机</w:t>
            </w:r>
            <w:r>
              <w:rPr>
                <w:rFonts w:hint="eastAsia"/>
                <w:color w:val="auto"/>
                <w:vertAlign w:val="baseline"/>
                <w:lang w:val="en-US" w:eastAsia="zh-CN"/>
              </w:rPr>
              <w:t>内</w:t>
            </w:r>
            <w:r>
              <w:rPr>
                <w:rFonts w:hint="eastAsia"/>
                <w:color w:val="auto"/>
                <w:vertAlign w:val="baseline"/>
                <w:lang w:eastAsia="zh-CN"/>
              </w:rPr>
              <w:t>硫化，硫化</w:t>
            </w:r>
            <w:r>
              <w:rPr>
                <w:rFonts w:hint="eastAsia"/>
                <w:color w:val="auto"/>
                <w:vertAlign w:val="baseline"/>
                <w:lang w:val="en-US" w:eastAsia="zh-CN"/>
              </w:rPr>
              <w:t>机采用电加热，</w:t>
            </w:r>
            <w:r>
              <w:rPr>
                <w:rFonts w:hint="eastAsia"/>
                <w:color w:val="auto"/>
                <w:vertAlign w:val="baseline"/>
                <w:lang w:eastAsia="zh-CN"/>
              </w:rPr>
              <w:t>温度保持150</w:t>
            </w:r>
            <w:r>
              <w:rPr>
                <w:rFonts w:hint="eastAsia"/>
                <w:color w:val="auto"/>
                <w:vertAlign w:val="baseline"/>
                <w:lang w:val="en-US" w:eastAsia="zh-CN"/>
              </w:rPr>
              <w:t>℃</w:t>
            </w:r>
            <w:r>
              <w:rPr>
                <w:rFonts w:hint="eastAsia"/>
                <w:color w:val="auto"/>
                <w:vertAlign w:val="baseline"/>
                <w:lang w:eastAsia="zh-CN"/>
              </w:rPr>
              <w:t>，</w:t>
            </w:r>
            <w:r>
              <w:rPr>
                <w:rFonts w:ascii="Times New Roman" w:hAnsi="Times New Roman" w:cs="Times New Roman"/>
                <w:color w:val="000000"/>
                <w:sz w:val="24"/>
                <w:szCs w:val="24"/>
              </w:rPr>
              <w:t>压力保持在9MPa-10MPa之间，</w:t>
            </w:r>
            <w:r>
              <w:rPr>
                <w:rFonts w:hint="eastAsia"/>
                <w:color w:val="auto"/>
                <w:vertAlign w:val="baseline"/>
                <w:lang w:eastAsia="zh-CN"/>
              </w:rPr>
              <w:t>硫化时间约</w:t>
            </w:r>
            <w:r>
              <w:rPr>
                <w:rFonts w:hint="eastAsia"/>
                <w:color w:val="auto"/>
                <w:vertAlign w:val="baseline"/>
                <w:lang w:val="en-US" w:eastAsia="zh-CN"/>
              </w:rPr>
              <w:t>20</w:t>
            </w:r>
            <w:r>
              <w:rPr>
                <w:rFonts w:hint="eastAsia"/>
                <w:color w:val="auto"/>
                <w:vertAlign w:val="baseline"/>
                <w:lang w:eastAsia="zh-CN"/>
              </w:rPr>
              <w:t>min。</w:t>
            </w:r>
            <w:r>
              <w:rPr>
                <w:rFonts w:hint="eastAsia"/>
                <w:color w:val="auto"/>
                <w:vertAlign w:val="baseline"/>
                <w:lang w:val="en-US" w:eastAsia="zh-CN"/>
              </w:rPr>
              <w:t>此过程会产生硫化废气G8。</w:t>
            </w:r>
          </w:p>
          <w:p w14:paraId="65815C57">
            <w:pPr>
              <w:bidi w:val="0"/>
              <w:ind w:firstLine="480" w:firstLineChars="200"/>
              <w:rPr>
                <w:color w:val="auto"/>
                <w:vertAlign w:val="baseline"/>
              </w:rPr>
            </w:pPr>
            <w:r>
              <w:rPr>
                <w:rFonts w:hint="eastAsia" w:ascii="Times New Roman" w:hAnsi="Times New Roman" w:eastAsia="宋体" w:cs="Times New Roman"/>
                <w:color w:val="auto"/>
                <w:kern w:val="2"/>
                <w:sz w:val="24"/>
                <w:szCs w:val="24"/>
                <w:vertAlign w:val="baseline"/>
                <w:lang w:val="en-US" w:eastAsia="zh-CN" w:bidi="ar-SA"/>
              </w:rPr>
              <w:t>（12）</w:t>
            </w:r>
            <w:r>
              <w:rPr>
                <w:rFonts w:hint="eastAsia"/>
                <w:color w:val="auto"/>
                <w:vertAlign w:val="baseline"/>
                <w:lang w:val="en-US" w:eastAsia="zh-CN"/>
              </w:rPr>
              <w:t>裁胶</w:t>
            </w:r>
          </w:p>
          <w:p w14:paraId="586D25F4">
            <w:pPr>
              <w:bidi w:val="0"/>
              <w:ind w:firstLine="480" w:firstLineChars="200"/>
              <w:rPr>
                <w:color w:val="auto"/>
                <w:vertAlign w:val="baseline"/>
              </w:rPr>
            </w:pPr>
            <w:r>
              <w:rPr>
                <w:rFonts w:hint="eastAsia"/>
                <w:color w:val="auto"/>
                <w:vertAlign w:val="baseline"/>
                <w:lang w:val="en-US" w:eastAsia="zh-CN"/>
              </w:rPr>
              <w:t>硫化完成</w:t>
            </w:r>
            <w:r>
              <w:rPr>
                <w:rFonts w:hint="eastAsia"/>
                <w:color w:val="auto"/>
                <w:vertAlign w:val="baseline"/>
              </w:rPr>
              <w:t>的</w:t>
            </w:r>
            <w:r>
              <w:rPr>
                <w:rFonts w:hint="eastAsia"/>
                <w:color w:val="auto"/>
                <w:vertAlign w:val="baseline"/>
                <w:lang w:val="en-US" w:eastAsia="zh-CN"/>
              </w:rPr>
              <w:t>支座需要对其进行修整，</w:t>
            </w:r>
            <w:r>
              <w:rPr>
                <w:rFonts w:hint="eastAsia"/>
                <w:color w:val="auto"/>
                <w:vertAlign w:val="baseline"/>
              </w:rPr>
              <w:t>通过</w:t>
            </w:r>
            <w:r>
              <w:rPr>
                <w:rFonts w:hint="eastAsia"/>
                <w:color w:val="auto"/>
                <w:vertAlign w:val="baseline"/>
                <w:lang w:val="en-US" w:eastAsia="zh-CN"/>
              </w:rPr>
              <w:t>裁胶机</w:t>
            </w:r>
            <w:r>
              <w:rPr>
                <w:rFonts w:hint="eastAsia"/>
                <w:color w:val="auto"/>
                <w:vertAlign w:val="baseline"/>
              </w:rPr>
              <w:t>进行裁剪</w:t>
            </w:r>
            <w:r>
              <w:rPr>
                <w:rFonts w:hint="eastAsia"/>
                <w:color w:val="auto"/>
                <w:vertAlign w:val="baseline"/>
                <w:lang w:eastAsia="zh-CN"/>
              </w:rPr>
              <w:t>。</w:t>
            </w:r>
            <w:r>
              <w:rPr>
                <w:rFonts w:hint="eastAsia"/>
                <w:color w:val="auto"/>
                <w:vertAlign w:val="baseline"/>
                <w:lang w:val="en-US" w:eastAsia="zh-CN"/>
              </w:rPr>
              <w:t>此过程会产生橡胶边角料S1。</w:t>
            </w:r>
          </w:p>
          <w:p w14:paraId="79B88292">
            <w:pPr>
              <w:bidi w:val="0"/>
              <w:ind w:firstLine="480" w:firstLineChars="200"/>
              <w:rPr>
                <w:color w:val="auto"/>
                <w:vertAlign w:val="baseline"/>
              </w:rPr>
            </w:pPr>
            <w:r>
              <w:rPr>
                <w:rFonts w:hint="eastAsia" w:ascii="Times New Roman" w:hAnsi="Times New Roman" w:eastAsia="宋体" w:cs="Times New Roman"/>
                <w:color w:val="auto"/>
                <w:kern w:val="2"/>
                <w:sz w:val="24"/>
                <w:szCs w:val="24"/>
                <w:vertAlign w:val="baseline"/>
                <w:lang w:val="en-US" w:eastAsia="zh-CN" w:bidi="ar-SA"/>
              </w:rPr>
              <w:t>（13）</w:t>
            </w:r>
            <w:r>
              <w:rPr>
                <w:rFonts w:hint="eastAsia"/>
                <w:color w:val="auto"/>
                <w:vertAlign w:val="baseline"/>
                <w:lang w:val="en-US" w:eastAsia="zh-CN"/>
              </w:rPr>
              <w:t>检验</w:t>
            </w:r>
          </w:p>
          <w:p w14:paraId="59823582">
            <w:pPr>
              <w:bidi w:val="0"/>
              <w:ind w:firstLine="480" w:firstLineChars="200"/>
              <w:rPr>
                <w:rFonts w:hint="eastAsia"/>
                <w:color w:val="auto"/>
              </w:rPr>
            </w:pPr>
            <w:r>
              <w:rPr>
                <w:rFonts w:hint="eastAsia"/>
                <w:color w:val="auto"/>
                <w:vertAlign w:val="baseline"/>
                <w:lang w:val="en-US" w:eastAsia="zh-CN"/>
              </w:rPr>
              <w:t>将成品运至实验室进行耐压和拉力测试，检测合格包装入库，形成产品。此过程会产生不合格产品S5。</w:t>
            </w:r>
          </w:p>
          <w:p w14:paraId="250A4879">
            <w:pPr>
              <w:ind w:firstLine="480" w:firstLineChars="200"/>
              <w:rPr>
                <w:rFonts w:hint="eastAsia"/>
                <w:color w:val="auto"/>
              </w:rPr>
            </w:pPr>
            <w:r>
              <w:rPr>
                <w:rFonts w:hint="eastAsia"/>
                <w:color w:val="auto"/>
              </w:rPr>
              <w:t>本项目主要产污环节及产污因子见下表。</w:t>
            </w:r>
          </w:p>
          <w:p w14:paraId="2720B61C">
            <w:pPr>
              <w:jc w:val="center"/>
              <w:rPr>
                <w:rFonts w:hint="eastAsia"/>
                <w:color w:val="auto"/>
              </w:rPr>
            </w:pPr>
            <w:r>
              <w:rPr>
                <w:rFonts w:hint="eastAsia"/>
                <w:b/>
                <w:bCs/>
                <w:color w:val="auto"/>
              </w:rPr>
              <w:t>表</w:t>
            </w:r>
            <w:r>
              <w:rPr>
                <w:rFonts w:hint="eastAsia"/>
                <w:b/>
                <w:bCs/>
                <w:color w:val="auto"/>
                <w:lang w:val="en-US" w:eastAsia="zh-CN"/>
              </w:rPr>
              <w:t>2-8</w:t>
            </w:r>
            <w:r>
              <w:rPr>
                <w:rFonts w:hint="eastAsia"/>
                <w:b/>
                <w:bCs/>
                <w:color w:val="auto"/>
              </w:rPr>
              <w:t xml:space="preserve"> 项目产污环节及产污因子一览表</w:t>
            </w:r>
          </w:p>
          <w:tbl>
            <w:tblPr>
              <w:tblStyle w:val="24"/>
              <w:tblW w:w="83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1380"/>
              <w:gridCol w:w="1575"/>
              <w:gridCol w:w="1504"/>
              <w:gridCol w:w="3101"/>
            </w:tblGrid>
            <w:tr w14:paraId="33659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67" w:type="dxa"/>
                  <w:vAlign w:val="center"/>
                </w:tcPr>
                <w:p w14:paraId="4A165B95">
                  <w:pPr>
                    <w:spacing w:line="240" w:lineRule="auto"/>
                    <w:ind w:firstLine="0" w:firstLineChars="0"/>
                    <w:jc w:val="center"/>
                    <w:rPr>
                      <w:rFonts w:hint="eastAsia" w:ascii="Times New Roman" w:hAnsi="Times New Roman" w:eastAsia="宋体"/>
                      <w:b/>
                      <w:bCs/>
                      <w:color w:val="auto"/>
                      <w:kern w:val="2"/>
                      <w:sz w:val="21"/>
                      <w:szCs w:val="21"/>
                      <w:vertAlign w:val="baseline"/>
                      <w:lang w:val="en-US" w:eastAsia="zh-CN" w:bidi="ar-SA"/>
                    </w:rPr>
                  </w:pPr>
                  <w:r>
                    <w:rPr>
                      <w:rFonts w:hint="eastAsia"/>
                      <w:b/>
                      <w:bCs/>
                      <w:color w:val="auto"/>
                      <w:sz w:val="21"/>
                      <w:szCs w:val="21"/>
                      <w:vertAlign w:val="baseline"/>
                      <w:lang w:eastAsia="zh-CN"/>
                    </w:rPr>
                    <w:t>污染类别</w:t>
                  </w:r>
                </w:p>
              </w:tc>
              <w:tc>
                <w:tcPr>
                  <w:tcW w:w="1380" w:type="dxa"/>
                  <w:vAlign w:val="center"/>
                </w:tcPr>
                <w:p w14:paraId="5C56B32B">
                  <w:pPr>
                    <w:spacing w:line="240" w:lineRule="auto"/>
                    <w:ind w:firstLine="0" w:firstLineChars="0"/>
                    <w:jc w:val="center"/>
                    <w:rPr>
                      <w:rFonts w:hint="eastAsia" w:ascii="Times New Roman" w:hAnsi="Times New Roman" w:eastAsia="宋体"/>
                      <w:b/>
                      <w:bCs/>
                      <w:color w:val="auto"/>
                      <w:kern w:val="2"/>
                      <w:sz w:val="21"/>
                      <w:szCs w:val="21"/>
                      <w:vertAlign w:val="baseline"/>
                      <w:lang w:val="en-US" w:eastAsia="zh-CN" w:bidi="ar-SA"/>
                    </w:rPr>
                  </w:pPr>
                  <w:r>
                    <w:rPr>
                      <w:rFonts w:hint="eastAsia"/>
                      <w:b/>
                      <w:bCs/>
                      <w:color w:val="auto"/>
                      <w:sz w:val="21"/>
                      <w:szCs w:val="21"/>
                      <w:vertAlign w:val="baseline"/>
                      <w:lang w:eastAsia="zh-CN"/>
                    </w:rPr>
                    <w:t>产污环节</w:t>
                  </w:r>
                </w:p>
              </w:tc>
              <w:tc>
                <w:tcPr>
                  <w:tcW w:w="1575" w:type="dxa"/>
                  <w:vAlign w:val="center"/>
                </w:tcPr>
                <w:p w14:paraId="4BED180A">
                  <w:pPr>
                    <w:spacing w:line="240" w:lineRule="auto"/>
                    <w:ind w:firstLine="0" w:firstLineChars="0"/>
                    <w:jc w:val="center"/>
                    <w:rPr>
                      <w:rFonts w:hint="eastAsia" w:ascii="Times New Roman" w:hAnsi="Times New Roman" w:eastAsia="宋体"/>
                      <w:b/>
                      <w:bCs/>
                      <w:color w:val="auto"/>
                      <w:kern w:val="2"/>
                      <w:sz w:val="21"/>
                      <w:szCs w:val="21"/>
                      <w:vertAlign w:val="baseline"/>
                      <w:lang w:val="en-US" w:eastAsia="zh-CN" w:bidi="ar-SA"/>
                    </w:rPr>
                  </w:pPr>
                  <w:r>
                    <w:rPr>
                      <w:rFonts w:hint="eastAsia"/>
                      <w:b/>
                      <w:bCs/>
                      <w:color w:val="auto"/>
                      <w:sz w:val="21"/>
                      <w:szCs w:val="21"/>
                      <w:vertAlign w:val="baseline"/>
                      <w:lang w:eastAsia="zh-CN"/>
                    </w:rPr>
                    <w:t>产污编号</w:t>
                  </w:r>
                </w:p>
              </w:tc>
              <w:tc>
                <w:tcPr>
                  <w:tcW w:w="1504" w:type="dxa"/>
                  <w:vAlign w:val="center"/>
                </w:tcPr>
                <w:p w14:paraId="4391A8C6">
                  <w:pPr>
                    <w:spacing w:line="240" w:lineRule="auto"/>
                    <w:ind w:firstLine="0" w:firstLineChars="0"/>
                    <w:jc w:val="center"/>
                    <w:rPr>
                      <w:rFonts w:hint="eastAsia" w:ascii="Times New Roman" w:hAnsi="Times New Roman" w:eastAsia="宋体"/>
                      <w:b/>
                      <w:bCs/>
                      <w:color w:val="auto"/>
                      <w:kern w:val="2"/>
                      <w:sz w:val="21"/>
                      <w:szCs w:val="21"/>
                      <w:vertAlign w:val="baseline"/>
                      <w:lang w:val="en-US" w:eastAsia="zh-CN" w:bidi="ar-SA"/>
                    </w:rPr>
                  </w:pPr>
                  <w:r>
                    <w:rPr>
                      <w:rFonts w:hint="eastAsia"/>
                      <w:b/>
                      <w:bCs/>
                      <w:color w:val="auto"/>
                      <w:sz w:val="21"/>
                      <w:szCs w:val="21"/>
                      <w:vertAlign w:val="baseline"/>
                      <w:lang w:eastAsia="zh-CN"/>
                    </w:rPr>
                    <w:t>污染物名称</w:t>
                  </w:r>
                </w:p>
              </w:tc>
              <w:tc>
                <w:tcPr>
                  <w:tcW w:w="3101" w:type="dxa"/>
                  <w:vAlign w:val="center"/>
                </w:tcPr>
                <w:p w14:paraId="2CBEA8E5">
                  <w:pPr>
                    <w:spacing w:line="240" w:lineRule="auto"/>
                    <w:ind w:firstLine="0" w:firstLineChars="0"/>
                    <w:jc w:val="center"/>
                    <w:rPr>
                      <w:rFonts w:hint="eastAsia" w:ascii="Times New Roman" w:hAnsi="Times New Roman" w:eastAsia="宋体"/>
                      <w:b/>
                      <w:bCs/>
                      <w:color w:val="auto"/>
                      <w:kern w:val="2"/>
                      <w:sz w:val="21"/>
                      <w:szCs w:val="21"/>
                      <w:vertAlign w:val="baseline"/>
                      <w:lang w:val="en-US" w:eastAsia="zh-CN" w:bidi="ar-SA"/>
                    </w:rPr>
                  </w:pPr>
                  <w:r>
                    <w:rPr>
                      <w:rFonts w:hint="eastAsia"/>
                      <w:b/>
                      <w:bCs/>
                      <w:color w:val="auto"/>
                      <w:sz w:val="21"/>
                      <w:szCs w:val="21"/>
                      <w:vertAlign w:val="baseline"/>
                      <w:lang w:eastAsia="zh-CN"/>
                    </w:rPr>
                    <w:t>处理措施</w:t>
                  </w:r>
                </w:p>
              </w:tc>
            </w:tr>
            <w:tr w14:paraId="307EA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restart"/>
                  <w:vAlign w:val="center"/>
                </w:tcPr>
                <w:p w14:paraId="353E6161">
                  <w:pPr>
                    <w:spacing w:line="240" w:lineRule="auto"/>
                    <w:ind w:firstLine="0" w:firstLineChars="0"/>
                    <w:jc w:val="center"/>
                    <w:rPr>
                      <w:rFonts w:hint="eastAsia" w:ascii="Times New Roman" w:hAnsi="Times New Roman" w:eastAsia="宋体"/>
                      <w:b w:val="0"/>
                      <w:bCs w:val="0"/>
                      <w:color w:val="auto"/>
                      <w:kern w:val="2"/>
                      <w:sz w:val="21"/>
                      <w:szCs w:val="21"/>
                      <w:vertAlign w:val="baseline"/>
                      <w:lang w:val="en-US" w:eastAsia="zh-CN" w:bidi="ar-SA"/>
                    </w:rPr>
                  </w:pPr>
                  <w:r>
                    <w:rPr>
                      <w:rFonts w:hint="eastAsia"/>
                      <w:b w:val="0"/>
                      <w:bCs w:val="0"/>
                      <w:color w:val="auto"/>
                      <w:sz w:val="21"/>
                      <w:szCs w:val="21"/>
                      <w:vertAlign w:val="baseline"/>
                      <w:lang w:eastAsia="zh-CN"/>
                    </w:rPr>
                    <w:t>废气</w:t>
                  </w:r>
                </w:p>
              </w:tc>
              <w:tc>
                <w:tcPr>
                  <w:tcW w:w="1380" w:type="dxa"/>
                  <w:vAlign w:val="center"/>
                </w:tcPr>
                <w:p w14:paraId="38AA87FF">
                  <w:pPr>
                    <w:spacing w:line="240" w:lineRule="auto"/>
                    <w:ind w:firstLine="0" w:firstLineChars="0"/>
                    <w:jc w:val="center"/>
                    <w:rPr>
                      <w:rFonts w:hint="eastAsia" w:ascii="Times New Roman" w:hAnsi="Times New Roman" w:eastAsia="宋体"/>
                      <w:b w:val="0"/>
                      <w:bCs w:val="0"/>
                      <w:color w:val="auto"/>
                      <w:kern w:val="2"/>
                      <w:sz w:val="21"/>
                      <w:szCs w:val="21"/>
                      <w:vertAlign w:val="baseline"/>
                      <w:lang w:val="en-US" w:eastAsia="zh-CN" w:bidi="ar-SA"/>
                    </w:rPr>
                  </w:pPr>
                  <w:r>
                    <w:rPr>
                      <w:rFonts w:hint="eastAsia" w:ascii="Times New Roman" w:hAnsi="Times New Roman" w:eastAsia="宋体"/>
                      <w:b w:val="0"/>
                      <w:bCs w:val="0"/>
                      <w:color w:val="auto"/>
                      <w:kern w:val="2"/>
                      <w:sz w:val="21"/>
                      <w:szCs w:val="21"/>
                      <w:vertAlign w:val="baseline"/>
                      <w:lang w:val="en-US" w:eastAsia="zh-CN" w:bidi="ar-SA"/>
                    </w:rPr>
                    <w:t>配料</w:t>
                  </w:r>
                </w:p>
              </w:tc>
              <w:tc>
                <w:tcPr>
                  <w:tcW w:w="1575" w:type="dxa"/>
                  <w:vAlign w:val="center"/>
                </w:tcPr>
                <w:p w14:paraId="5C4F6CF4">
                  <w:pPr>
                    <w:spacing w:line="240" w:lineRule="auto"/>
                    <w:ind w:firstLine="0" w:firstLineChars="0"/>
                    <w:jc w:val="center"/>
                    <w:rPr>
                      <w:rFonts w:hint="eastAsia" w:ascii="Times New Roman" w:hAnsi="Times New Roman" w:eastAsia="宋体"/>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G1</w:t>
                  </w:r>
                </w:p>
              </w:tc>
              <w:tc>
                <w:tcPr>
                  <w:tcW w:w="1504" w:type="dxa"/>
                  <w:vAlign w:val="center"/>
                </w:tcPr>
                <w:p w14:paraId="01FC46A0">
                  <w:pPr>
                    <w:spacing w:line="240" w:lineRule="auto"/>
                    <w:ind w:firstLine="0" w:firstLineChars="0"/>
                    <w:jc w:val="center"/>
                    <w:rPr>
                      <w:rFonts w:hint="eastAsia" w:ascii="Times New Roman" w:hAnsi="Times New Roman" w:eastAsia="宋体"/>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颗粒物</w:t>
                  </w:r>
                </w:p>
              </w:tc>
              <w:tc>
                <w:tcPr>
                  <w:tcW w:w="3101" w:type="dxa"/>
                  <w:vAlign w:val="center"/>
                </w:tcPr>
                <w:p w14:paraId="566F791B">
                  <w:pPr>
                    <w:spacing w:line="240" w:lineRule="auto"/>
                    <w:ind w:firstLine="0" w:firstLineChars="0"/>
                    <w:jc w:val="center"/>
                    <w:rPr>
                      <w:rFonts w:hint="default" w:ascii="Times New Roman" w:hAnsi="Times New Roman" w:eastAsia="宋体"/>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经密闭配料室集风管收集，布袋除尘器+二级活性炭吸附装置处理后经15m高排气筒（DA001）排放</w:t>
                  </w:r>
                </w:p>
              </w:tc>
            </w:tr>
            <w:tr w14:paraId="013E7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14:paraId="561EFE63">
                  <w:pPr>
                    <w:spacing w:line="240" w:lineRule="auto"/>
                    <w:ind w:firstLine="0" w:firstLineChars="0"/>
                    <w:jc w:val="center"/>
                    <w:rPr>
                      <w:rFonts w:hint="eastAsia" w:ascii="Times New Roman" w:hAnsi="Times New Roman" w:eastAsia="宋体"/>
                      <w:b w:val="0"/>
                      <w:bCs w:val="0"/>
                      <w:color w:val="auto"/>
                      <w:kern w:val="2"/>
                      <w:sz w:val="21"/>
                      <w:szCs w:val="21"/>
                      <w:vertAlign w:val="baseline"/>
                      <w:lang w:val="en-US" w:eastAsia="zh-CN" w:bidi="ar-SA"/>
                    </w:rPr>
                  </w:pPr>
                </w:p>
              </w:tc>
              <w:tc>
                <w:tcPr>
                  <w:tcW w:w="1380" w:type="dxa"/>
                  <w:vAlign w:val="center"/>
                </w:tcPr>
                <w:p w14:paraId="2564DFAA">
                  <w:pPr>
                    <w:spacing w:line="240" w:lineRule="auto"/>
                    <w:ind w:firstLine="0" w:firstLineChars="0"/>
                    <w:jc w:val="center"/>
                    <w:rPr>
                      <w:rFonts w:hint="eastAsia" w:ascii="Times New Roman" w:hAnsi="Times New Roman" w:eastAsia="宋体"/>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投料</w:t>
                  </w:r>
                </w:p>
              </w:tc>
              <w:tc>
                <w:tcPr>
                  <w:tcW w:w="1575" w:type="dxa"/>
                  <w:vAlign w:val="center"/>
                </w:tcPr>
                <w:p w14:paraId="7E8BF376">
                  <w:pPr>
                    <w:spacing w:line="240" w:lineRule="auto"/>
                    <w:ind w:firstLine="0" w:firstLineChars="0"/>
                    <w:jc w:val="center"/>
                    <w:rPr>
                      <w:rFonts w:hint="eastAsia" w:ascii="Times New Roman" w:hAnsi="Times New Roman" w:eastAsia="宋体"/>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G2</w:t>
                  </w:r>
                </w:p>
              </w:tc>
              <w:tc>
                <w:tcPr>
                  <w:tcW w:w="1504" w:type="dxa"/>
                  <w:vAlign w:val="center"/>
                </w:tcPr>
                <w:p w14:paraId="6CB35E10">
                  <w:pPr>
                    <w:spacing w:line="240" w:lineRule="auto"/>
                    <w:ind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颗粒物</w:t>
                  </w:r>
                </w:p>
              </w:tc>
              <w:tc>
                <w:tcPr>
                  <w:tcW w:w="3101" w:type="dxa"/>
                  <w:vAlign w:val="center"/>
                </w:tcPr>
                <w:p w14:paraId="18BD71CE">
                  <w:pPr>
                    <w:spacing w:line="240" w:lineRule="auto"/>
                    <w:ind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经投料口上方集气罩收集，布袋除尘器+二级活性炭吸附装置处理后经15m高排气筒（DA001）排放</w:t>
                  </w:r>
                </w:p>
              </w:tc>
            </w:tr>
            <w:tr w14:paraId="2C797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14:paraId="2F5AC01C">
                  <w:pPr>
                    <w:spacing w:line="240" w:lineRule="auto"/>
                    <w:ind w:firstLine="0" w:firstLineChars="0"/>
                    <w:jc w:val="center"/>
                    <w:rPr>
                      <w:rFonts w:hint="eastAsia" w:ascii="Times New Roman" w:hAnsi="Times New Roman" w:eastAsia="宋体"/>
                      <w:b w:val="0"/>
                      <w:bCs w:val="0"/>
                      <w:color w:val="auto"/>
                      <w:kern w:val="2"/>
                      <w:sz w:val="21"/>
                      <w:szCs w:val="21"/>
                      <w:vertAlign w:val="baseline"/>
                      <w:lang w:val="en-US" w:eastAsia="zh-CN" w:bidi="ar-SA"/>
                    </w:rPr>
                  </w:pPr>
                </w:p>
              </w:tc>
              <w:tc>
                <w:tcPr>
                  <w:tcW w:w="1380" w:type="dxa"/>
                  <w:vAlign w:val="center"/>
                </w:tcPr>
                <w:p w14:paraId="7CEA0E37">
                  <w:pPr>
                    <w:spacing w:line="240" w:lineRule="auto"/>
                    <w:ind w:firstLine="0" w:firstLineChars="0"/>
                    <w:jc w:val="center"/>
                    <w:rPr>
                      <w:rFonts w:hint="eastAsia" w:ascii="Times New Roman" w:hAnsi="Times New Roman" w:eastAsia="宋体"/>
                      <w:b w:val="0"/>
                      <w:bCs w:val="0"/>
                      <w:color w:val="auto"/>
                      <w:kern w:val="2"/>
                      <w:sz w:val="21"/>
                      <w:szCs w:val="21"/>
                      <w:vertAlign w:val="baseline"/>
                      <w:lang w:val="en-US" w:eastAsia="zh-CN" w:bidi="ar-SA"/>
                    </w:rPr>
                  </w:pPr>
                  <w:r>
                    <w:rPr>
                      <w:rFonts w:hint="eastAsia" w:ascii="Times New Roman" w:hAnsi="Times New Roman" w:eastAsia="宋体"/>
                      <w:b w:val="0"/>
                      <w:bCs w:val="0"/>
                      <w:color w:val="auto"/>
                      <w:kern w:val="2"/>
                      <w:sz w:val="21"/>
                      <w:szCs w:val="21"/>
                      <w:vertAlign w:val="baseline"/>
                      <w:lang w:val="en-US" w:eastAsia="zh-CN" w:bidi="ar-SA"/>
                    </w:rPr>
                    <w:t>密炼</w:t>
                  </w:r>
                </w:p>
              </w:tc>
              <w:tc>
                <w:tcPr>
                  <w:tcW w:w="1575" w:type="dxa"/>
                  <w:vAlign w:val="center"/>
                </w:tcPr>
                <w:p w14:paraId="1E9E9915">
                  <w:pPr>
                    <w:spacing w:line="240" w:lineRule="auto"/>
                    <w:ind w:firstLine="0" w:firstLineChars="0"/>
                    <w:jc w:val="center"/>
                    <w:rPr>
                      <w:rFonts w:hint="eastAsia" w:ascii="Times New Roman" w:hAnsi="Times New Roman" w:eastAsia="宋体"/>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G3</w:t>
                  </w:r>
                </w:p>
              </w:tc>
              <w:tc>
                <w:tcPr>
                  <w:tcW w:w="1504" w:type="dxa"/>
                  <w:vAlign w:val="center"/>
                </w:tcPr>
                <w:p w14:paraId="73B9A9BF">
                  <w:pPr>
                    <w:spacing w:line="240" w:lineRule="auto"/>
                    <w:ind w:firstLine="0" w:firstLineChars="0"/>
                    <w:jc w:val="center"/>
                    <w:rPr>
                      <w:rFonts w:hint="default" w:ascii="Times New Roman" w:hAnsi="Times New Roman" w:eastAsia="宋体"/>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非甲烷总烃、臭气浓度、颗粒物</w:t>
                  </w:r>
                </w:p>
              </w:tc>
              <w:tc>
                <w:tcPr>
                  <w:tcW w:w="3101" w:type="dxa"/>
                  <w:vMerge w:val="restart"/>
                  <w:vAlign w:val="center"/>
                </w:tcPr>
                <w:p w14:paraId="112402FA">
                  <w:pPr>
                    <w:spacing w:line="240" w:lineRule="auto"/>
                    <w:ind w:firstLine="0" w:firstLineChars="0"/>
                    <w:jc w:val="center"/>
                    <w:rPr>
                      <w:rFonts w:hint="default" w:ascii="Times New Roman" w:hAnsi="Times New Roman" w:eastAsia="宋体"/>
                      <w:b w:val="0"/>
                      <w:bCs w:val="0"/>
                      <w:color w:val="auto"/>
                      <w:kern w:val="2"/>
                      <w:sz w:val="21"/>
                      <w:szCs w:val="21"/>
                      <w:vertAlign w:val="baseline"/>
                      <w:lang w:val="en-US" w:eastAsia="zh-CN" w:bidi="ar-SA"/>
                    </w:rPr>
                  </w:pPr>
                  <w:r>
                    <w:rPr>
                      <w:rFonts w:hint="eastAsia"/>
                      <w:b w:val="0"/>
                      <w:bCs w:val="0"/>
                      <w:color w:val="auto"/>
                      <w:sz w:val="21"/>
                      <w:szCs w:val="21"/>
                      <w:vertAlign w:val="baseline"/>
                      <w:lang w:eastAsia="zh-CN"/>
                    </w:rPr>
                    <w:t>经</w:t>
                  </w:r>
                  <w:r>
                    <w:rPr>
                      <w:rFonts w:hint="eastAsia"/>
                      <w:b w:val="0"/>
                      <w:bCs w:val="0"/>
                      <w:color w:val="auto"/>
                      <w:sz w:val="21"/>
                      <w:szCs w:val="21"/>
                      <w:vertAlign w:val="baseline"/>
                      <w:lang w:val="en-US" w:eastAsia="zh-CN"/>
                    </w:rPr>
                    <w:t>设备上方集气罩+软帘收集，布袋除尘器+二级活性炭吸附装置处理后经15m高排气筒（DA001）排放</w:t>
                  </w:r>
                </w:p>
              </w:tc>
            </w:tr>
            <w:tr w14:paraId="1C22B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14:paraId="46DB50F9">
                  <w:pPr>
                    <w:spacing w:line="240" w:lineRule="auto"/>
                    <w:ind w:firstLine="0" w:firstLineChars="0"/>
                    <w:jc w:val="center"/>
                    <w:rPr>
                      <w:rFonts w:hint="eastAsia" w:ascii="Times New Roman" w:hAnsi="Times New Roman" w:eastAsia="宋体"/>
                      <w:b w:val="0"/>
                      <w:bCs w:val="0"/>
                      <w:color w:val="auto"/>
                      <w:kern w:val="2"/>
                      <w:sz w:val="21"/>
                      <w:szCs w:val="21"/>
                      <w:vertAlign w:val="baseline"/>
                      <w:lang w:val="en-US" w:eastAsia="zh-CN" w:bidi="ar-SA"/>
                    </w:rPr>
                  </w:pPr>
                </w:p>
              </w:tc>
              <w:tc>
                <w:tcPr>
                  <w:tcW w:w="1380" w:type="dxa"/>
                  <w:vAlign w:val="center"/>
                </w:tcPr>
                <w:p w14:paraId="16B3D170">
                  <w:pPr>
                    <w:spacing w:line="240" w:lineRule="auto"/>
                    <w:ind w:firstLine="0" w:firstLineChars="0"/>
                    <w:jc w:val="center"/>
                    <w:rPr>
                      <w:rFonts w:hint="default" w:ascii="Times New Roman" w:hAnsi="Times New Roman" w:eastAsia="宋体"/>
                      <w:b w:val="0"/>
                      <w:bCs w:val="0"/>
                      <w:color w:val="auto"/>
                      <w:kern w:val="2"/>
                      <w:sz w:val="21"/>
                      <w:szCs w:val="21"/>
                      <w:vertAlign w:val="baseline"/>
                      <w:lang w:val="en-US" w:eastAsia="zh-CN" w:bidi="ar-SA"/>
                    </w:rPr>
                  </w:pPr>
                  <w:r>
                    <w:rPr>
                      <w:rFonts w:hint="eastAsia" w:ascii="Times New Roman" w:hAnsi="Times New Roman" w:eastAsia="宋体"/>
                      <w:b w:val="0"/>
                      <w:bCs w:val="0"/>
                      <w:color w:val="auto"/>
                      <w:kern w:val="2"/>
                      <w:sz w:val="21"/>
                      <w:szCs w:val="21"/>
                      <w:vertAlign w:val="baseline"/>
                      <w:lang w:val="en-US" w:eastAsia="zh-CN" w:bidi="ar-SA"/>
                    </w:rPr>
                    <w:t>开炼</w:t>
                  </w:r>
                </w:p>
              </w:tc>
              <w:tc>
                <w:tcPr>
                  <w:tcW w:w="1575" w:type="dxa"/>
                  <w:vAlign w:val="center"/>
                </w:tcPr>
                <w:p w14:paraId="055DFECB">
                  <w:pPr>
                    <w:spacing w:line="240" w:lineRule="auto"/>
                    <w:ind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G4</w:t>
                  </w:r>
                </w:p>
              </w:tc>
              <w:tc>
                <w:tcPr>
                  <w:tcW w:w="1504" w:type="dxa"/>
                  <w:vAlign w:val="center"/>
                </w:tcPr>
                <w:p w14:paraId="561A7C8C">
                  <w:pPr>
                    <w:spacing w:line="240" w:lineRule="auto"/>
                    <w:ind w:firstLine="0" w:firstLineChars="0"/>
                    <w:jc w:val="center"/>
                    <w:rPr>
                      <w:rFonts w:hint="eastAsia"/>
                      <w:b w:val="0"/>
                      <w:bCs w:val="0"/>
                      <w:color w:val="auto"/>
                      <w:sz w:val="21"/>
                      <w:szCs w:val="21"/>
                      <w:vertAlign w:val="baseline"/>
                      <w:lang w:eastAsia="zh-CN"/>
                    </w:rPr>
                  </w:pPr>
                  <w:r>
                    <w:rPr>
                      <w:rFonts w:hint="eastAsia"/>
                      <w:b w:val="0"/>
                      <w:bCs w:val="0"/>
                      <w:color w:val="auto"/>
                      <w:sz w:val="21"/>
                      <w:szCs w:val="21"/>
                      <w:vertAlign w:val="baseline"/>
                      <w:lang w:val="en-US" w:eastAsia="zh-CN"/>
                    </w:rPr>
                    <w:t>非甲烷总烃、臭气浓度</w:t>
                  </w:r>
                </w:p>
              </w:tc>
              <w:tc>
                <w:tcPr>
                  <w:tcW w:w="3101" w:type="dxa"/>
                  <w:vMerge w:val="continue"/>
                  <w:vAlign w:val="center"/>
                </w:tcPr>
                <w:p w14:paraId="6C89EE89">
                  <w:pPr>
                    <w:spacing w:line="240" w:lineRule="auto"/>
                    <w:ind w:firstLine="0" w:firstLineChars="0"/>
                    <w:jc w:val="center"/>
                    <w:rPr>
                      <w:rFonts w:hint="eastAsia"/>
                      <w:b w:val="0"/>
                      <w:bCs w:val="0"/>
                      <w:color w:val="auto"/>
                      <w:sz w:val="21"/>
                      <w:szCs w:val="21"/>
                      <w:vertAlign w:val="baseline"/>
                      <w:lang w:eastAsia="zh-CN"/>
                    </w:rPr>
                  </w:pPr>
                </w:p>
              </w:tc>
            </w:tr>
            <w:tr w14:paraId="01B4C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14:paraId="365D2780">
                  <w:pPr>
                    <w:spacing w:line="240" w:lineRule="auto"/>
                    <w:ind w:firstLine="0" w:firstLineChars="0"/>
                    <w:jc w:val="center"/>
                    <w:rPr>
                      <w:rFonts w:hint="eastAsia" w:ascii="Times New Roman" w:hAnsi="Times New Roman" w:eastAsia="宋体"/>
                      <w:b w:val="0"/>
                      <w:bCs w:val="0"/>
                      <w:color w:val="auto"/>
                      <w:kern w:val="2"/>
                      <w:sz w:val="21"/>
                      <w:szCs w:val="21"/>
                      <w:vertAlign w:val="baseline"/>
                      <w:lang w:val="en-US" w:eastAsia="zh-CN" w:bidi="ar-SA"/>
                    </w:rPr>
                  </w:pPr>
                </w:p>
              </w:tc>
              <w:tc>
                <w:tcPr>
                  <w:tcW w:w="1380" w:type="dxa"/>
                  <w:vAlign w:val="center"/>
                </w:tcPr>
                <w:p w14:paraId="6853D79C">
                  <w:pPr>
                    <w:spacing w:line="240" w:lineRule="auto"/>
                    <w:ind w:firstLine="0" w:firstLineChars="0"/>
                    <w:jc w:val="center"/>
                    <w:rPr>
                      <w:rFonts w:hint="default" w:ascii="Times New Roman" w:hAnsi="Times New Roman" w:eastAsia="宋体"/>
                      <w:b w:val="0"/>
                      <w:bCs w:val="0"/>
                      <w:color w:val="auto"/>
                      <w:kern w:val="2"/>
                      <w:sz w:val="21"/>
                      <w:szCs w:val="21"/>
                      <w:vertAlign w:val="baseline"/>
                      <w:lang w:val="en-US" w:eastAsia="zh-CN" w:bidi="ar-SA"/>
                    </w:rPr>
                  </w:pPr>
                  <w:r>
                    <w:rPr>
                      <w:rFonts w:hint="eastAsia" w:ascii="Times New Roman" w:hAnsi="Times New Roman" w:eastAsia="宋体"/>
                      <w:b w:val="0"/>
                      <w:bCs w:val="0"/>
                      <w:color w:val="auto"/>
                      <w:kern w:val="2"/>
                      <w:sz w:val="21"/>
                      <w:szCs w:val="21"/>
                      <w:vertAlign w:val="baseline"/>
                      <w:lang w:val="en-US" w:eastAsia="zh-CN" w:bidi="ar-SA"/>
                    </w:rPr>
                    <w:t>剪切</w:t>
                  </w:r>
                </w:p>
              </w:tc>
              <w:tc>
                <w:tcPr>
                  <w:tcW w:w="1575" w:type="dxa"/>
                  <w:vAlign w:val="center"/>
                </w:tcPr>
                <w:p w14:paraId="6D7C2688">
                  <w:pPr>
                    <w:spacing w:line="240" w:lineRule="auto"/>
                    <w:ind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G5</w:t>
                  </w:r>
                </w:p>
              </w:tc>
              <w:tc>
                <w:tcPr>
                  <w:tcW w:w="1504" w:type="dxa"/>
                  <w:vAlign w:val="center"/>
                </w:tcPr>
                <w:p w14:paraId="52E30BA3">
                  <w:pPr>
                    <w:spacing w:line="240" w:lineRule="auto"/>
                    <w:ind w:firstLine="0" w:firstLineChars="0"/>
                    <w:jc w:val="center"/>
                    <w:rPr>
                      <w:rFonts w:hint="eastAsia"/>
                      <w:b w:val="0"/>
                      <w:bCs w:val="0"/>
                      <w:color w:val="auto"/>
                      <w:sz w:val="21"/>
                      <w:szCs w:val="21"/>
                      <w:vertAlign w:val="baseline"/>
                      <w:lang w:eastAsia="zh-CN"/>
                    </w:rPr>
                  </w:pPr>
                  <w:r>
                    <w:rPr>
                      <w:rFonts w:hint="eastAsia"/>
                      <w:b w:val="0"/>
                      <w:bCs w:val="0"/>
                      <w:color w:val="auto"/>
                      <w:sz w:val="21"/>
                      <w:szCs w:val="21"/>
                      <w:vertAlign w:val="baseline"/>
                      <w:lang w:val="en-US" w:eastAsia="zh-CN"/>
                    </w:rPr>
                    <w:t>颗粒物</w:t>
                  </w:r>
                </w:p>
              </w:tc>
              <w:tc>
                <w:tcPr>
                  <w:tcW w:w="3101" w:type="dxa"/>
                  <w:vAlign w:val="center"/>
                </w:tcPr>
                <w:p w14:paraId="6E52E1C4">
                  <w:pPr>
                    <w:spacing w:line="240" w:lineRule="auto"/>
                    <w:ind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经设备上方集气罩收集，布袋除尘器处理后经15m高排气筒（DA002）排放</w:t>
                  </w:r>
                </w:p>
              </w:tc>
            </w:tr>
            <w:tr w14:paraId="6B23F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14:paraId="1B015E3A">
                  <w:pPr>
                    <w:spacing w:line="240" w:lineRule="auto"/>
                    <w:ind w:firstLine="0" w:firstLineChars="0"/>
                    <w:jc w:val="center"/>
                    <w:rPr>
                      <w:rFonts w:hint="eastAsia" w:ascii="Times New Roman" w:hAnsi="Times New Roman" w:eastAsia="宋体"/>
                      <w:b w:val="0"/>
                      <w:bCs w:val="0"/>
                      <w:color w:val="auto"/>
                      <w:kern w:val="2"/>
                      <w:sz w:val="21"/>
                      <w:szCs w:val="21"/>
                      <w:vertAlign w:val="baseline"/>
                      <w:lang w:val="en-US" w:eastAsia="zh-CN" w:bidi="ar-SA"/>
                    </w:rPr>
                  </w:pPr>
                </w:p>
              </w:tc>
              <w:tc>
                <w:tcPr>
                  <w:tcW w:w="1380" w:type="dxa"/>
                  <w:vAlign w:val="center"/>
                </w:tcPr>
                <w:p w14:paraId="09AE6790">
                  <w:pPr>
                    <w:spacing w:line="240" w:lineRule="auto"/>
                    <w:ind w:firstLine="0" w:firstLineChars="0"/>
                    <w:jc w:val="center"/>
                    <w:rPr>
                      <w:rFonts w:hint="default" w:ascii="Times New Roman" w:hAnsi="Times New Roman" w:eastAsia="宋体"/>
                      <w:b w:val="0"/>
                      <w:bCs w:val="0"/>
                      <w:color w:val="auto"/>
                      <w:kern w:val="2"/>
                      <w:sz w:val="21"/>
                      <w:szCs w:val="21"/>
                      <w:vertAlign w:val="baseline"/>
                      <w:lang w:val="en-US" w:eastAsia="zh-CN" w:bidi="ar-SA"/>
                    </w:rPr>
                  </w:pPr>
                  <w:r>
                    <w:rPr>
                      <w:rFonts w:hint="eastAsia" w:ascii="Times New Roman" w:hAnsi="Times New Roman" w:eastAsia="宋体"/>
                      <w:b w:val="0"/>
                      <w:bCs w:val="0"/>
                      <w:color w:val="auto"/>
                      <w:kern w:val="2"/>
                      <w:sz w:val="21"/>
                      <w:szCs w:val="21"/>
                      <w:vertAlign w:val="baseline"/>
                      <w:lang w:val="en-US" w:eastAsia="zh-CN" w:bidi="ar-SA"/>
                    </w:rPr>
                    <w:t>喷砂</w:t>
                  </w:r>
                </w:p>
              </w:tc>
              <w:tc>
                <w:tcPr>
                  <w:tcW w:w="1575" w:type="dxa"/>
                  <w:shd w:val="clear" w:color="auto" w:fill="auto"/>
                  <w:vAlign w:val="center"/>
                </w:tcPr>
                <w:p w14:paraId="41236E12">
                  <w:pPr>
                    <w:spacing w:line="240" w:lineRule="auto"/>
                    <w:ind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G6</w:t>
                  </w:r>
                </w:p>
              </w:tc>
              <w:tc>
                <w:tcPr>
                  <w:tcW w:w="1504" w:type="dxa"/>
                  <w:shd w:val="clear" w:color="auto" w:fill="auto"/>
                  <w:vAlign w:val="center"/>
                </w:tcPr>
                <w:p w14:paraId="064A2D5F">
                  <w:pPr>
                    <w:spacing w:line="240" w:lineRule="auto"/>
                    <w:ind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颗粒物</w:t>
                  </w:r>
                </w:p>
              </w:tc>
              <w:tc>
                <w:tcPr>
                  <w:tcW w:w="3101" w:type="dxa"/>
                  <w:vAlign w:val="center"/>
                </w:tcPr>
                <w:p w14:paraId="48DA52FA">
                  <w:pPr>
                    <w:spacing w:line="240" w:lineRule="auto"/>
                    <w:ind w:firstLine="0" w:firstLineChars="0"/>
                    <w:jc w:val="center"/>
                    <w:rPr>
                      <w:rFonts w:hint="eastAsia"/>
                      <w:b w:val="0"/>
                      <w:bCs w:val="0"/>
                      <w:color w:val="auto"/>
                      <w:sz w:val="21"/>
                      <w:szCs w:val="21"/>
                      <w:vertAlign w:val="baseline"/>
                      <w:lang w:eastAsia="zh-CN"/>
                    </w:rPr>
                  </w:pPr>
                  <w:r>
                    <w:rPr>
                      <w:rFonts w:hint="eastAsia"/>
                      <w:b w:val="0"/>
                      <w:bCs w:val="0"/>
                      <w:color w:val="auto"/>
                      <w:sz w:val="21"/>
                      <w:szCs w:val="21"/>
                      <w:vertAlign w:val="baseline"/>
                      <w:lang w:val="en-US" w:eastAsia="zh-CN"/>
                    </w:rPr>
                    <w:t>经密闭设备内部集风管收集，布袋除尘器处理后经15m高排气筒（DA002）排放</w:t>
                  </w:r>
                </w:p>
              </w:tc>
            </w:tr>
            <w:tr w14:paraId="517E8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14:paraId="68124DD2">
                  <w:pPr>
                    <w:spacing w:line="240" w:lineRule="auto"/>
                    <w:ind w:firstLine="0" w:firstLineChars="0"/>
                    <w:jc w:val="center"/>
                    <w:rPr>
                      <w:rFonts w:hint="eastAsia" w:ascii="Times New Roman" w:hAnsi="Times New Roman" w:eastAsia="宋体"/>
                      <w:b w:val="0"/>
                      <w:bCs w:val="0"/>
                      <w:color w:val="auto"/>
                      <w:kern w:val="2"/>
                      <w:sz w:val="21"/>
                      <w:szCs w:val="21"/>
                      <w:vertAlign w:val="baseline"/>
                      <w:lang w:val="en-US" w:eastAsia="zh-CN" w:bidi="ar-SA"/>
                    </w:rPr>
                  </w:pPr>
                </w:p>
              </w:tc>
              <w:tc>
                <w:tcPr>
                  <w:tcW w:w="1380" w:type="dxa"/>
                  <w:vAlign w:val="center"/>
                </w:tcPr>
                <w:p w14:paraId="0D85A6DF">
                  <w:pPr>
                    <w:spacing w:line="240" w:lineRule="auto"/>
                    <w:ind w:firstLine="0" w:firstLineChars="0"/>
                    <w:jc w:val="center"/>
                    <w:rPr>
                      <w:rFonts w:hint="default" w:ascii="Times New Roman" w:hAnsi="Times New Roman" w:eastAsia="宋体"/>
                      <w:b w:val="0"/>
                      <w:bCs w:val="0"/>
                      <w:color w:val="auto"/>
                      <w:kern w:val="2"/>
                      <w:sz w:val="21"/>
                      <w:szCs w:val="21"/>
                      <w:vertAlign w:val="baseline"/>
                      <w:lang w:val="en-US" w:eastAsia="zh-CN" w:bidi="ar-SA"/>
                    </w:rPr>
                  </w:pPr>
                  <w:r>
                    <w:rPr>
                      <w:rFonts w:hint="eastAsia" w:ascii="Times New Roman" w:hAnsi="Times New Roman" w:eastAsia="宋体"/>
                      <w:b w:val="0"/>
                      <w:bCs w:val="0"/>
                      <w:color w:val="auto"/>
                      <w:kern w:val="2"/>
                      <w:sz w:val="21"/>
                      <w:szCs w:val="21"/>
                      <w:vertAlign w:val="baseline"/>
                      <w:lang w:val="en-US" w:eastAsia="zh-CN" w:bidi="ar-SA"/>
                    </w:rPr>
                    <w:t>涂胶</w:t>
                  </w:r>
                </w:p>
              </w:tc>
              <w:tc>
                <w:tcPr>
                  <w:tcW w:w="1575" w:type="dxa"/>
                  <w:vAlign w:val="center"/>
                </w:tcPr>
                <w:p w14:paraId="3025E0C0">
                  <w:pPr>
                    <w:spacing w:line="240" w:lineRule="auto"/>
                    <w:ind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G7</w:t>
                  </w:r>
                </w:p>
              </w:tc>
              <w:tc>
                <w:tcPr>
                  <w:tcW w:w="1504" w:type="dxa"/>
                  <w:vAlign w:val="center"/>
                </w:tcPr>
                <w:p w14:paraId="49B0BEDF">
                  <w:pPr>
                    <w:spacing w:line="240" w:lineRule="auto"/>
                    <w:ind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非甲烷总烃、二甲苯</w:t>
                  </w:r>
                </w:p>
              </w:tc>
              <w:tc>
                <w:tcPr>
                  <w:tcW w:w="3101" w:type="dxa"/>
                  <w:vAlign w:val="center"/>
                </w:tcPr>
                <w:p w14:paraId="0D3B50AB">
                  <w:pPr>
                    <w:spacing w:line="240" w:lineRule="auto"/>
                    <w:ind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经密闭</w:t>
                  </w:r>
                  <w:r>
                    <w:rPr>
                      <w:rFonts w:hint="eastAsia" w:ascii="Times New Roman" w:hAnsi="Times New Roman" w:eastAsia="宋体"/>
                      <w:b w:val="0"/>
                      <w:bCs w:val="0"/>
                      <w:color w:val="auto"/>
                      <w:kern w:val="2"/>
                      <w:sz w:val="21"/>
                      <w:szCs w:val="21"/>
                      <w:vertAlign w:val="baseline"/>
                      <w:lang w:val="en-US" w:eastAsia="zh-CN" w:bidi="ar-SA"/>
                    </w:rPr>
                    <w:t>涂胶间</w:t>
                  </w:r>
                  <w:r>
                    <w:rPr>
                      <w:rFonts w:hint="eastAsia"/>
                      <w:b w:val="0"/>
                      <w:bCs w:val="0"/>
                      <w:color w:val="auto"/>
                      <w:sz w:val="21"/>
                      <w:szCs w:val="21"/>
                      <w:vertAlign w:val="baseline"/>
                      <w:lang w:val="en-US" w:eastAsia="zh-CN"/>
                    </w:rPr>
                    <w:t>集风管收集，二级活性炭吸附装置处理后经15m高排气筒（DA003）排放</w:t>
                  </w:r>
                </w:p>
              </w:tc>
            </w:tr>
            <w:tr w14:paraId="169C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14:paraId="0B627AC5">
                  <w:pPr>
                    <w:spacing w:line="240" w:lineRule="auto"/>
                    <w:ind w:firstLine="0" w:firstLineChars="0"/>
                    <w:jc w:val="center"/>
                    <w:rPr>
                      <w:rFonts w:hint="eastAsia" w:ascii="Times New Roman" w:hAnsi="Times New Roman" w:eastAsia="宋体"/>
                      <w:b w:val="0"/>
                      <w:bCs w:val="0"/>
                      <w:color w:val="auto"/>
                      <w:kern w:val="2"/>
                      <w:sz w:val="21"/>
                      <w:szCs w:val="21"/>
                      <w:vertAlign w:val="baseline"/>
                      <w:lang w:val="en-US" w:eastAsia="zh-CN" w:bidi="ar-SA"/>
                    </w:rPr>
                  </w:pPr>
                </w:p>
              </w:tc>
              <w:tc>
                <w:tcPr>
                  <w:tcW w:w="1380" w:type="dxa"/>
                  <w:vAlign w:val="center"/>
                </w:tcPr>
                <w:p w14:paraId="26FC88D1">
                  <w:pPr>
                    <w:spacing w:line="240" w:lineRule="auto"/>
                    <w:ind w:firstLine="0" w:firstLineChars="0"/>
                    <w:jc w:val="center"/>
                    <w:rPr>
                      <w:rFonts w:hint="default" w:ascii="Times New Roman" w:hAnsi="Times New Roman" w:eastAsia="宋体"/>
                      <w:b w:val="0"/>
                      <w:bCs w:val="0"/>
                      <w:color w:val="auto"/>
                      <w:kern w:val="2"/>
                      <w:sz w:val="21"/>
                      <w:szCs w:val="21"/>
                      <w:vertAlign w:val="baseline"/>
                      <w:lang w:val="en-US" w:eastAsia="zh-CN" w:bidi="ar-SA"/>
                    </w:rPr>
                  </w:pPr>
                  <w:r>
                    <w:rPr>
                      <w:rFonts w:hint="eastAsia" w:ascii="Times New Roman" w:hAnsi="Times New Roman" w:eastAsia="宋体"/>
                      <w:b w:val="0"/>
                      <w:bCs w:val="0"/>
                      <w:color w:val="auto"/>
                      <w:kern w:val="2"/>
                      <w:sz w:val="21"/>
                      <w:szCs w:val="21"/>
                      <w:vertAlign w:val="baseline"/>
                      <w:lang w:val="en-US" w:eastAsia="zh-CN" w:bidi="ar-SA"/>
                    </w:rPr>
                    <w:t>硫化</w:t>
                  </w:r>
                </w:p>
              </w:tc>
              <w:tc>
                <w:tcPr>
                  <w:tcW w:w="1575" w:type="dxa"/>
                  <w:vAlign w:val="center"/>
                </w:tcPr>
                <w:p w14:paraId="70C0B8FF">
                  <w:pPr>
                    <w:spacing w:line="240" w:lineRule="auto"/>
                    <w:ind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G8</w:t>
                  </w:r>
                </w:p>
              </w:tc>
              <w:tc>
                <w:tcPr>
                  <w:tcW w:w="1504" w:type="dxa"/>
                  <w:vAlign w:val="center"/>
                </w:tcPr>
                <w:p w14:paraId="62AA5999">
                  <w:pPr>
                    <w:spacing w:line="240" w:lineRule="auto"/>
                    <w:ind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非甲烷总烃、硫化氢、臭气浓度</w:t>
                  </w:r>
                </w:p>
              </w:tc>
              <w:tc>
                <w:tcPr>
                  <w:tcW w:w="3101" w:type="dxa"/>
                  <w:vAlign w:val="center"/>
                </w:tcPr>
                <w:p w14:paraId="7E54C182">
                  <w:pPr>
                    <w:spacing w:line="240" w:lineRule="auto"/>
                    <w:ind w:firstLine="0" w:firstLineChars="0"/>
                    <w:jc w:val="center"/>
                    <w:rPr>
                      <w:rFonts w:hint="eastAsia"/>
                      <w:b w:val="0"/>
                      <w:bCs w:val="0"/>
                      <w:color w:val="auto"/>
                      <w:sz w:val="21"/>
                      <w:szCs w:val="21"/>
                      <w:vertAlign w:val="baseline"/>
                      <w:lang w:eastAsia="zh-CN"/>
                    </w:rPr>
                  </w:pPr>
                  <w:r>
                    <w:rPr>
                      <w:rFonts w:hint="eastAsia"/>
                      <w:b w:val="0"/>
                      <w:bCs w:val="0"/>
                      <w:color w:val="auto"/>
                      <w:sz w:val="21"/>
                      <w:szCs w:val="21"/>
                      <w:vertAlign w:val="baseline"/>
                      <w:lang w:eastAsia="zh-CN"/>
                    </w:rPr>
                    <w:t>经</w:t>
                  </w:r>
                  <w:r>
                    <w:rPr>
                      <w:rFonts w:hint="eastAsia"/>
                      <w:b w:val="0"/>
                      <w:bCs w:val="0"/>
                      <w:color w:val="auto"/>
                      <w:sz w:val="21"/>
                      <w:szCs w:val="21"/>
                      <w:vertAlign w:val="baseline"/>
                      <w:lang w:val="en-US" w:eastAsia="zh-CN"/>
                    </w:rPr>
                    <w:t>设备上方集气罩+软帘收集，二级活性炭吸附装置处理后经15m高排气筒（DA003）排放</w:t>
                  </w:r>
                </w:p>
              </w:tc>
            </w:tr>
            <w:tr w14:paraId="0EA0F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14:paraId="6F5D6CF3">
                  <w:pPr>
                    <w:spacing w:line="240" w:lineRule="auto"/>
                    <w:ind w:firstLine="0" w:firstLineChars="0"/>
                    <w:jc w:val="center"/>
                    <w:rPr>
                      <w:rFonts w:hint="eastAsia" w:ascii="Times New Roman" w:hAnsi="Times New Roman" w:eastAsia="宋体"/>
                      <w:b w:val="0"/>
                      <w:bCs w:val="0"/>
                      <w:color w:val="auto"/>
                      <w:kern w:val="2"/>
                      <w:sz w:val="21"/>
                      <w:szCs w:val="21"/>
                      <w:vertAlign w:val="baseline"/>
                      <w:lang w:val="en-US" w:eastAsia="zh-CN" w:bidi="ar-SA"/>
                    </w:rPr>
                  </w:pPr>
                  <w:r>
                    <w:rPr>
                      <w:rFonts w:hint="eastAsia"/>
                      <w:b w:val="0"/>
                      <w:bCs w:val="0"/>
                      <w:color w:val="auto"/>
                      <w:sz w:val="21"/>
                      <w:szCs w:val="21"/>
                      <w:vertAlign w:val="baseline"/>
                      <w:lang w:eastAsia="zh-CN"/>
                    </w:rPr>
                    <w:t>废水</w:t>
                  </w:r>
                </w:p>
              </w:tc>
              <w:tc>
                <w:tcPr>
                  <w:tcW w:w="1380" w:type="dxa"/>
                  <w:vAlign w:val="center"/>
                </w:tcPr>
                <w:p w14:paraId="7C91EEB5">
                  <w:pPr>
                    <w:spacing w:line="240" w:lineRule="auto"/>
                    <w:ind w:firstLine="0" w:firstLineChars="0"/>
                    <w:jc w:val="center"/>
                    <w:rPr>
                      <w:rFonts w:hint="default" w:ascii="Times New Roman" w:hAnsi="Times New Roman" w:eastAsia="宋体"/>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冷却循环废水、保洁废水</w:t>
                  </w:r>
                </w:p>
              </w:tc>
              <w:tc>
                <w:tcPr>
                  <w:tcW w:w="1575" w:type="dxa"/>
                  <w:vAlign w:val="center"/>
                </w:tcPr>
                <w:p w14:paraId="4A80CDE1">
                  <w:pPr>
                    <w:spacing w:line="240" w:lineRule="auto"/>
                    <w:ind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W1</w:t>
                  </w:r>
                </w:p>
              </w:tc>
              <w:tc>
                <w:tcPr>
                  <w:tcW w:w="1504" w:type="dxa"/>
                  <w:vAlign w:val="center"/>
                </w:tcPr>
                <w:p w14:paraId="7E694980">
                  <w:pPr>
                    <w:spacing w:line="240" w:lineRule="auto"/>
                    <w:ind w:firstLine="0" w:firstLineChars="0"/>
                    <w:jc w:val="center"/>
                    <w:rPr>
                      <w:rFonts w:hint="default"/>
                      <w:color w:val="auto"/>
                      <w:lang w:val="en-US" w:eastAsia="zh-CN"/>
                    </w:rPr>
                  </w:pPr>
                  <w:r>
                    <w:rPr>
                      <w:rFonts w:hint="eastAsia"/>
                      <w:b w:val="0"/>
                      <w:bCs w:val="0"/>
                      <w:color w:val="auto"/>
                      <w:sz w:val="21"/>
                      <w:szCs w:val="21"/>
                      <w:vertAlign w:val="baseline"/>
                    </w:rPr>
                    <w:t>pH、COD、BOD</w:t>
                  </w:r>
                  <w:r>
                    <w:rPr>
                      <w:rFonts w:hint="eastAsia"/>
                      <w:b w:val="0"/>
                      <w:bCs w:val="0"/>
                      <w:color w:val="auto"/>
                      <w:sz w:val="21"/>
                      <w:szCs w:val="21"/>
                      <w:vertAlign w:val="subscript"/>
                      <w:lang w:val="en-US" w:eastAsia="zh-CN"/>
                    </w:rPr>
                    <w:t>5</w:t>
                  </w:r>
                  <w:r>
                    <w:rPr>
                      <w:rFonts w:hint="eastAsia"/>
                      <w:b w:val="0"/>
                      <w:bCs w:val="0"/>
                      <w:color w:val="auto"/>
                      <w:sz w:val="21"/>
                      <w:szCs w:val="21"/>
                      <w:vertAlign w:val="baseline"/>
                    </w:rPr>
                    <w:t>、SS、氨氮</w:t>
                  </w:r>
                </w:p>
              </w:tc>
              <w:tc>
                <w:tcPr>
                  <w:tcW w:w="3101" w:type="dxa"/>
                  <w:vAlign w:val="center"/>
                </w:tcPr>
                <w:p w14:paraId="7F2F9986">
                  <w:pPr>
                    <w:spacing w:line="240" w:lineRule="auto"/>
                    <w:ind w:firstLine="0" w:firstLineChars="0"/>
                    <w:jc w:val="center"/>
                    <w:rPr>
                      <w:rFonts w:hint="eastAsia" w:ascii="Times New Roman" w:hAnsi="Times New Roman" w:eastAsia="宋体"/>
                      <w:b w:val="0"/>
                      <w:bCs w:val="0"/>
                      <w:color w:val="auto"/>
                      <w:kern w:val="2"/>
                      <w:sz w:val="21"/>
                      <w:szCs w:val="21"/>
                      <w:vertAlign w:val="baseline"/>
                      <w:lang w:val="en-US" w:eastAsia="zh-CN" w:bidi="ar-SA"/>
                    </w:rPr>
                  </w:pPr>
                  <w:r>
                    <w:rPr>
                      <w:rFonts w:hint="eastAsia"/>
                      <w:b w:val="0"/>
                      <w:bCs w:val="0"/>
                      <w:color w:val="auto"/>
                      <w:kern w:val="2"/>
                      <w:sz w:val="21"/>
                      <w:szCs w:val="21"/>
                      <w:vertAlign w:val="baseline"/>
                      <w:lang w:val="en-US" w:eastAsia="zh-CN" w:bidi="ar-SA"/>
                    </w:rPr>
                    <w:t>进入总排口</w:t>
                  </w:r>
                </w:p>
              </w:tc>
            </w:tr>
            <w:tr w14:paraId="7F90A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restart"/>
                  <w:vAlign w:val="center"/>
                </w:tcPr>
                <w:p w14:paraId="701AA70A">
                  <w:pPr>
                    <w:spacing w:line="240" w:lineRule="auto"/>
                    <w:ind w:firstLine="0" w:firstLineChars="0"/>
                    <w:jc w:val="center"/>
                    <w:rPr>
                      <w:rFonts w:hint="eastAsia" w:ascii="Times New Roman" w:hAnsi="Times New Roman" w:eastAsia="宋体"/>
                      <w:b w:val="0"/>
                      <w:bCs w:val="0"/>
                      <w:color w:val="auto"/>
                      <w:kern w:val="2"/>
                      <w:sz w:val="21"/>
                      <w:szCs w:val="21"/>
                      <w:vertAlign w:val="baseline"/>
                      <w:lang w:val="en-US" w:eastAsia="zh-CN" w:bidi="ar-SA"/>
                    </w:rPr>
                  </w:pPr>
                  <w:r>
                    <w:rPr>
                      <w:rFonts w:hint="eastAsia"/>
                      <w:b w:val="0"/>
                      <w:bCs w:val="0"/>
                      <w:color w:val="auto"/>
                      <w:sz w:val="21"/>
                      <w:szCs w:val="21"/>
                      <w:vertAlign w:val="baseline"/>
                      <w:lang w:eastAsia="zh-CN"/>
                    </w:rPr>
                    <w:t>固废</w:t>
                  </w:r>
                </w:p>
              </w:tc>
              <w:tc>
                <w:tcPr>
                  <w:tcW w:w="1380" w:type="dxa"/>
                  <w:vAlign w:val="center"/>
                </w:tcPr>
                <w:p w14:paraId="5EF221C0">
                  <w:pPr>
                    <w:spacing w:line="240" w:lineRule="auto"/>
                    <w:ind w:firstLine="0" w:firstLineChars="0"/>
                    <w:jc w:val="center"/>
                    <w:rPr>
                      <w:rFonts w:hint="default" w:ascii="Times New Roman" w:hAnsi="Times New Roman" w:eastAsia="宋体"/>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切胶、裁胶</w:t>
                  </w:r>
                </w:p>
              </w:tc>
              <w:tc>
                <w:tcPr>
                  <w:tcW w:w="1575" w:type="dxa"/>
                  <w:vAlign w:val="center"/>
                </w:tcPr>
                <w:p w14:paraId="28AB1C95">
                  <w:pPr>
                    <w:spacing w:line="240" w:lineRule="auto"/>
                    <w:ind w:firstLine="0" w:firstLineChars="0"/>
                    <w:jc w:val="center"/>
                    <w:rPr>
                      <w:rFonts w:hint="eastAsia" w:ascii="Times New Roman" w:hAnsi="Times New Roman" w:eastAsia="宋体"/>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S1</w:t>
                  </w:r>
                </w:p>
              </w:tc>
              <w:tc>
                <w:tcPr>
                  <w:tcW w:w="1504" w:type="dxa"/>
                  <w:vAlign w:val="center"/>
                </w:tcPr>
                <w:p w14:paraId="32E609F8">
                  <w:pPr>
                    <w:spacing w:line="240" w:lineRule="auto"/>
                    <w:ind w:firstLine="0" w:firstLineChars="0"/>
                    <w:jc w:val="center"/>
                    <w:rPr>
                      <w:rFonts w:hint="eastAsia" w:ascii="Times New Roman" w:hAnsi="Times New Roman" w:eastAsia="宋体"/>
                      <w:b w:val="0"/>
                      <w:bCs w:val="0"/>
                      <w:color w:val="auto"/>
                      <w:kern w:val="2"/>
                      <w:sz w:val="21"/>
                      <w:szCs w:val="21"/>
                      <w:vertAlign w:val="baseline"/>
                      <w:lang w:val="en-US" w:eastAsia="zh-CN" w:bidi="ar-SA"/>
                    </w:rPr>
                  </w:pPr>
                  <w:r>
                    <w:rPr>
                      <w:rFonts w:hint="eastAsia" w:ascii="Times New Roman" w:hAnsi="Times New Roman" w:eastAsia="宋体"/>
                      <w:b w:val="0"/>
                      <w:bCs w:val="0"/>
                      <w:color w:val="auto"/>
                      <w:kern w:val="2"/>
                      <w:sz w:val="21"/>
                      <w:szCs w:val="21"/>
                      <w:vertAlign w:val="baseline"/>
                      <w:lang w:val="en-US" w:eastAsia="zh-CN" w:bidi="ar-SA"/>
                    </w:rPr>
                    <w:t>橡胶边角料</w:t>
                  </w:r>
                </w:p>
              </w:tc>
              <w:tc>
                <w:tcPr>
                  <w:tcW w:w="3101" w:type="dxa"/>
                  <w:vAlign w:val="center"/>
                </w:tcPr>
                <w:p w14:paraId="6B02C4D7">
                  <w:pPr>
                    <w:spacing w:line="240" w:lineRule="auto"/>
                    <w:ind w:firstLine="0" w:firstLineChars="0"/>
                    <w:jc w:val="center"/>
                    <w:rPr>
                      <w:rFonts w:hint="default" w:ascii="Times New Roman" w:hAnsi="Times New Roman" w:eastAsia="宋体"/>
                      <w:b w:val="0"/>
                      <w:bCs w:val="0"/>
                      <w:color w:val="auto"/>
                      <w:kern w:val="2"/>
                      <w:sz w:val="21"/>
                      <w:szCs w:val="21"/>
                      <w:vertAlign w:val="baseline"/>
                      <w:lang w:val="en-US" w:eastAsia="zh-CN" w:bidi="ar-SA"/>
                    </w:rPr>
                  </w:pPr>
                  <w:r>
                    <w:rPr>
                      <w:rFonts w:hint="eastAsia" w:ascii="Times New Roman" w:hAnsi="Times New Roman" w:eastAsia="宋体"/>
                      <w:b w:val="0"/>
                      <w:bCs w:val="0"/>
                      <w:color w:val="auto"/>
                      <w:kern w:val="2"/>
                      <w:sz w:val="21"/>
                      <w:szCs w:val="21"/>
                      <w:vertAlign w:val="baseline"/>
                      <w:lang w:val="en-US" w:eastAsia="zh-CN" w:bidi="ar-SA"/>
                    </w:rPr>
                    <w:t>收集后回用密炼</w:t>
                  </w:r>
                </w:p>
              </w:tc>
            </w:tr>
            <w:tr w14:paraId="1B5F6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14:paraId="6A5BBF10">
                  <w:pPr>
                    <w:spacing w:line="240" w:lineRule="auto"/>
                    <w:ind w:firstLine="0" w:firstLineChars="0"/>
                    <w:jc w:val="center"/>
                    <w:rPr>
                      <w:rFonts w:hint="eastAsia" w:ascii="Times New Roman" w:hAnsi="Times New Roman" w:eastAsia="宋体"/>
                      <w:b w:val="0"/>
                      <w:bCs w:val="0"/>
                      <w:color w:val="auto"/>
                      <w:kern w:val="2"/>
                      <w:sz w:val="21"/>
                      <w:szCs w:val="21"/>
                      <w:vertAlign w:val="baseline"/>
                      <w:lang w:val="en-US" w:eastAsia="zh-CN" w:bidi="ar-SA"/>
                    </w:rPr>
                  </w:pPr>
                </w:p>
              </w:tc>
              <w:tc>
                <w:tcPr>
                  <w:tcW w:w="1380" w:type="dxa"/>
                  <w:vAlign w:val="center"/>
                </w:tcPr>
                <w:p w14:paraId="185E9E26">
                  <w:pPr>
                    <w:spacing w:line="240" w:lineRule="auto"/>
                    <w:ind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剪切</w:t>
                  </w:r>
                </w:p>
              </w:tc>
              <w:tc>
                <w:tcPr>
                  <w:tcW w:w="1575" w:type="dxa"/>
                  <w:vAlign w:val="center"/>
                </w:tcPr>
                <w:p w14:paraId="762062C7">
                  <w:pPr>
                    <w:spacing w:line="240" w:lineRule="auto"/>
                    <w:ind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S2</w:t>
                  </w:r>
                </w:p>
              </w:tc>
              <w:tc>
                <w:tcPr>
                  <w:tcW w:w="1504" w:type="dxa"/>
                  <w:vAlign w:val="center"/>
                </w:tcPr>
                <w:p w14:paraId="54C98B1F">
                  <w:pPr>
                    <w:spacing w:line="240" w:lineRule="auto"/>
                    <w:ind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废边角料</w:t>
                  </w:r>
                </w:p>
              </w:tc>
              <w:tc>
                <w:tcPr>
                  <w:tcW w:w="3101" w:type="dxa"/>
                  <w:vMerge w:val="restart"/>
                  <w:vAlign w:val="center"/>
                </w:tcPr>
                <w:p w14:paraId="48018247">
                  <w:pPr>
                    <w:spacing w:line="240" w:lineRule="auto"/>
                    <w:ind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物资回收单位回收利用</w:t>
                  </w:r>
                </w:p>
              </w:tc>
            </w:tr>
            <w:tr w14:paraId="353CB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14:paraId="37FA4478">
                  <w:pPr>
                    <w:spacing w:line="240" w:lineRule="auto"/>
                    <w:ind w:firstLine="0" w:firstLineChars="0"/>
                    <w:jc w:val="center"/>
                    <w:rPr>
                      <w:rFonts w:hint="eastAsia" w:ascii="Times New Roman" w:hAnsi="Times New Roman" w:eastAsia="宋体"/>
                      <w:b w:val="0"/>
                      <w:bCs w:val="0"/>
                      <w:color w:val="auto"/>
                      <w:kern w:val="2"/>
                      <w:sz w:val="21"/>
                      <w:szCs w:val="21"/>
                      <w:vertAlign w:val="baseline"/>
                      <w:lang w:val="en-US" w:eastAsia="zh-CN" w:bidi="ar-SA"/>
                    </w:rPr>
                  </w:pPr>
                </w:p>
              </w:tc>
              <w:tc>
                <w:tcPr>
                  <w:tcW w:w="1380" w:type="dxa"/>
                  <w:vAlign w:val="center"/>
                </w:tcPr>
                <w:p w14:paraId="04746165">
                  <w:pPr>
                    <w:spacing w:line="240" w:lineRule="auto"/>
                    <w:ind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机加工</w:t>
                  </w:r>
                </w:p>
              </w:tc>
              <w:tc>
                <w:tcPr>
                  <w:tcW w:w="1575" w:type="dxa"/>
                  <w:vAlign w:val="center"/>
                </w:tcPr>
                <w:p w14:paraId="7CEA0635">
                  <w:pPr>
                    <w:spacing w:line="240" w:lineRule="auto"/>
                    <w:ind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S3</w:t>
                  </w:r>
                </w:p>
              </w:tc>
              <w:tc>
                <w:tcPr>
                  <w:tcW w:w="1504" w:type="dxa"/>
                  <w:vAlign w:val="center"/>
                </w:tcPr>
                <w:p w14:paraId="569ABCD5">
                  <w:pPr>
                    <w:spacing w:line="240" w:lineRule="auto"/>
                    <w:ind w:firstLine="0" w:firstLineChars="0"/>
                    <w:jc w:val="center"/>
                    <w:rPr>
                      <w:rFonts w:hint="eastAsia"/>
                      <w:b w:val="0"/>
                      <w:bCs w:val="0"/>
                      <w:color w:val="auto"/>
                      <w:sz w:val="21"/>
                      <w:szCs w:val="21"/>
                      <w:vertAlign w:val="baseline"/>
                      <w:lang w:eastAsia="zh-CN"/>
                    </w:rPr>
                  </w:pPr>
                  <w:r>
                    <w:rPr>
                      <w:rFonts w:hint="eastAsia"/>
                      <w:b w:val="0"/>
                      <w:bCs w:val="0"/>
                      <w:color w:val="auto"/>
                      <w:sz w:val="21"/>
                      <w:szCs w:val="21"/>
                      <w:vertAlign w:val="baseline"/>
                      <w:lang w:val="en-US" w:eastAsia="zh-CN"/>
                    </w:rPr>
                    <w:t>废铁屑</w:t>
                  </w:r>
                </w:p>
              </w:tc>
              <w:tc>
                <w:tcPr>
                  <w:tcW w:w="3101" w:type="dxa"/>
                  <w:vMerge w:val="continue"/>
                  <w:vAlign w:val="center"/>
                </w:tcPr>
                <w:p w14:paraId="5AE11577">
                  <w:pPr>
                    <w:spacing w:line="240" w:lineRule="auto"/>
                    <w:ind w:firstLine="0" w:firstLineChars="0"/>
                    <w:jc w:val="center"/>
                    <w:rPr>
                      <w:rFonts w:hint="eastAsia"/>
                      <w:b w:val="0"/>
                      <w:bCs w:val="0"/>
                      <w:color w:val="auto"/>
                      <w:sz w:val="21"/>
                      <w:szCs w:val="21"/>
                      <w:vertAlign w:val="baseline"/>
                      <w:lang w:eastAsia="zh-CN"/>
                    </w:rPr>
                  </w:pPr>
                </w:p>
              </w:tc>
            </w:tr>
            <w:tr w14:paraId="6DE6A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14:paraId="3C7D142D">
                  <w:pPr>
                    <w:spacing w:line="240" w:lineRule="auto"/>
                    <w:ind w:firstLine="0" w:firstLineChars="0"/>
                    <w:jc w:val="center"/>
                    <w:rPr>
                      <w:rFonts w:hint="eastAsia" w:ascii="Times New Roman" w:hAnsi="Times New Roman" w:eastAsia="宋体"/>
                      <w:b w:val="0"/>
                      <w:bCs w:val="0"/>
                      <w:color w:val="auto"/>
                      <w:kern w:val="2"/>
                      <w:sz w:val="21"/>
                      <w:szCs w:val="21"/>
                      <w:vertAlign w:val="baseline"/>
                      <w:lang w:val="en-US" w:eastAsia="zh-CN" w:bidi="ar-SA"/>
                    </w:rPr>
                  </w:pPr>
                </w:p>
              </w:tc>
              <w:tc>
                <w:tcPr>
                  <w:tcW w:w="1380" w:type="dxa"/>
                  <w:vAlign w:val="center"/>
                </w:tcPr>
                <w:p w14:paraId="3F99CADF">
                  <w:pPr>
                    <w:spacing w:line="240" w:lineRule="auto"/>
                    <w:ind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抛丸</w:t>
                  </w:r>
                </w:p>
              </w:tc>
              <w:tc>
                <w:tcPr>
                  <w:tcW w:w="1575" w:type="dxa"/>
                  <w:vAlign w:val="center"/>
                </w:tcPr>
                <w:p w14:paraId="785B11B8">
                  <w:pPr>
                    <w:spacing w:line="240" w:lineRule="auto"/>
                    <w:ind w:firstLine="0" w:firstLineChars="0"/>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S4</w:t>
                  </w:r>
                </w:p>
              </w:tc>
              <w:tc>
                <w:tcPr>
                  <w:tcW w:w="1504" w:type="dxa"/>
                  <w:vAlign w:val="center"/>
                </w:tcPr>
                <w:p w14:paraId="1187CF08">
                  <w:pPr>
                    <w:spacing w:line="240" w:lineRule="auto"/>
                    <w:ind w:firstLine="0" w:firstLineChars="0"/>
                    <w:jc w:val="center"/>
                    <w:rPr>
                      <w:rFonts w:hint="eastAsia"/>
                      <w:b w:val="0"/>
                      <w:bCs w:val="0"/>
                      <w:color w:val="auto"/>
                      <w:sz w:val="21"/>
                      <w:szCs w:val="21"/>
                      <w:vertAlign w:val="baseline"/>
                      <w:lang w:eastAsia="zh-CN"/>
                    </w:rPr>
                  </w:pPr>
                  <w:r>
                    <w:rPr>
                      <w:rFonts w:hint="eastAsia"/>
                      <w:b w:val="0"/>
                      <w:bCs w:val="0"/>
                      <w:color w:val="auto"/>
                      <w:sz w:val="21"/>
                      <w:szCs w:val="21"/>
                      <w:vertAlign w:val="baseline"/>
                      <w:lang w:val="en-US" w:eastAsia="zh-CN"/>
                    </w:rPr>
                    <w:t>废钢丸</w:t>
                  </w:r>
                </w:p>
              </w:tc>
              <w:tc>
                <w:tcPr>
                  <w:tcW w:w="3101" w:type="dxa"/>
                  <w:vMerge w:val="continue"/>
                  <w:vAlign w:val="center"/>
                </w:tcPr>
                <w:p w14:paraId="1652AEEB">
                  <w:pPr>
                    <w:spacing w:line="240" w:lineRule="auto"/>
                    <w:ind w:firstLine="0" w:firstLineChars="0"/>
                    <w:jc w:val="center"/>
                    <w:rPr>
                      <w:rFonts w:hint="eastAsia"/>
                      <w:b w:val="0"/>
                      <w:bCs w:val="0"/>
                      <w:color w:val="auto"/>
                      <w:sz w:val="21"/>
                      <w:szCs w:val="21"/>
                      <w:vertAlign w:val="baseline"/>
                      <w:lang w:eastAsia="zh-CN"/>
                    </w:rPr>
                  </w:pPr>
                </w:p>
              </w:tc>
            </w:tr>
            <w:tr w14:paraId="06F13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14:paraId="002B186E">
                  <w:pPr>
                    <w:spacing w:line="240" w:lineRule="auto"/>
                    <w:ind w:firstLine="0" w:firstLineChars="0"/>
                    <w:jc w:val="center"/>
                    <w:rPr>
                      <w:rFonts w:hint="eastAsia" w:ascii="Times New Roman" w:hAnsi="Times New Roman" w:eastAsia="宋体"/>
                      <w:b w:val="0"/>
                      <w:bCs w:val="0"/>
                      <w:color w:val="auto"/>
                      <w:kern w:val="2"/>
                      <w:sz w:val="21"/>
                      <w:szCs w:val="21"/>
                      <w:vertAlign w:val="baseline"/>
                      <w:lang w:val="en-US" w:eastAsia="zh-CN" w:bidi="ar-SA"/>
                    </w:rPr>
                  </w:pPr>
                </w:p>
              </w:tc>
              <w:tc>
                <w:tcPr>
                  <w:tcW w:w="1380" w:type="dxa"/>
                  <w:vAlign w:val="center"/>
                </w:tcPr>
                <w:p w14:paraId="0191B0A5">
                  <w:pPr>
                    <w:spacing w:line="240" w:lineRule="auto"/>
                    <w:ind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检验</w:t>
                  </w:r>
                </w:p>
              </w:tc>
              <w:tc>
                <w:tcPr>
                  <w:tcW w:w="1575" w:type="dxa"/>
                  <w:vAlign w:val="center"/>
                </w:tcPr>
                <w:p w14:paraId="00C872DB">
                  <w:pPr>
                    <w:spacing w:line="240" w:lineRule="auto"/>
                    <w:ind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S5</w:t>
                  </w:r>
                </w:p>
              </w:tc>
              <w:tc>
                <w:tcPr>
                  <w:tcW w:w="1504" w:type="dxa"/>
                  <w:vAlign w:val="center"/>
                </w:tcPr>
                <w:p w14:paraId="5CE1D4D8">
                  <w:pPr>
                    <w:spacing w:line="240" w:lineRule="auto"/>
                    <w:ind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不合格品</w:t>
                  </w:r>
                </w:p>
              </w:tc>
              <w:tc>
                <w:tcPr>
                  <w:tcW w:w="3101" w:type="dxa"/>
                  <w:vAlign w:val="center"/>
                </w:tcPr>
                <w:p w14:paraId="2C68ED51">
                  <w:pPr>
                    <w:spacing w:line="240" w:lineRule="auto"/>
                    <w:ind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降级出售</w:t>
                  </w:r>
                </w:p>
              </w:tc>
            </w:tr>
          </w:tbl>
          <w:p w14:paraId="46B783BB">
            <w:pPr>
              <w:bidi w:val="0"/>
              <w:rPr>
                <w:color w:val="auto"/>
                <w:vertAlign w:val="baseline"/>
              </w:rPr>
            </w:pPr>
          </w:p>
        </w:tc>
      </w:tr>
      <w:tr w14:paraId="5A15B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trPr>
        <w:tc>
          <w:tcPr>
            <w:tcW w:w="506" w:type="dxa"/>
            <w:shd w:val="clear" w:color="auto" w:fill="auto"/>
            <w:vAlign w:val="center"/>
          </w:tcPr>
          <w:p w14:paraId="41008BC3">
            <w:pPr>
              <w:pStyle w:val="20"/>
              <w:adjustRightInd w:val="0"/>
              <w:snapToGrid w:val="0"/>
              <w:spacing w:before="0" w:beforeAutospacing="0" w:after="0" w:afterAutospacing="0" w:line="240" w:lineRule="auto"/>
              <w:ind w:firstLine="0" w:firstLineChars="0"/>
              <w:jc w:val="center"/>
              <w:rPr>
                <w:rFonts w:ascii="宋体" w:hAnsi="宋体" w:eastAsia="宋体" w:cs="宋体"/>
                <w:color w:val="auto"/>
                <w:kern w:val="0"/>
                <w:sz w:val="24"/>
                <w:szCs w:val="24"/>
                <w:lang w:val="en-US" w:eastAsia="zh-CN" w:bidi="ar-SA"/>
              </w:rPr>
            </w:pPr>
            <w:r>
              <w:rPr>
                <w:rFonts w:hint="eastAsia" w:cs="宋体"/>
                <w:bCs/>
                <w:color w:val="auto"/>
                <w:kern w:val="2"/>
                <w:szCs w:val="24"/>
              </w:rPr>
              <w:t>与项目有关的原有环境污染问题</w:t>
            </w:r>
          </w:p>
        </w:tc>
        <w:tc>
          <w:tcPr>
            <w:tcW w:w="8553" w:type="dxa"/>
            <w:shd w:val="clear" w:color="auto" w:fill="auto"/>
            <w:vAlign w:val="center"/>
          </w:tcPr>
          <w:p w14:paraId="17B6C8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color w:val="auto"/>
                <w:kern w:val="0"/>
                <w:sz w:val="24"/>
                <w:szCs w:val="24"/>
                <w:lang w:val="en-US" w:eastAsia="zh-CN" w:bidi="ar-SA"/>
              </w:rPr>
            </w:pPr>
            <w:r>
              <w:rPr>
                <w:color w:val="auto"/>
                <w:sz w:val="24"/>
              </w:rPr>
              <w:t>本项目为新建项目，现有场地为</w:t>
            </w:r>
            <w:r>
              <w:rPr>
                <w:rFonts w:hint="eastAsia"/>
                <w:color w:val="auto"/>
                <w:sz w:val="24"/>
                <w:lang w:val="en-US" w:eastAsia="zh-CN"/>
              </w:rPr>
              <w:t>空置的标准化厂房</w:t>
            </w:r>
            <w:r>
              <w:rPr>
                <w:color w:val="auto"/>
                <w:sz w:val="24"/>
              </w:rPr>
              <w:t>，不存在原有环境污染问题。</w:t>
            </w:r>
          </w:p>
        </w:tc>
      </w:tr>
    </w:tbl>
    <w:p w14:paraId="6051A370">
      <w:pPr>
        <w:bidi w:val="0"/>
        <w:rPr>
          <w:color w:val="auto"/>
        </w:rPr>
        <w:sectPr>
          <w:pgSz w:w="11905" w:h="16838"/>
          <w:pgMar w:top="1701" w:right="1531" w:bottom="1701" w:left="1531" w:header="851" w:footer="850" w:gutter="0"/>
          <w:pgNumType w:fmt="decimal"/>
          <w:cols w:space="0" w:num="1"/>
          <w:rtlGutter w:val="0"/>
          <w:docGrid w:type="linesAndChars" w:linePitch="327" w:charSpace="0"/>
        </w:sectPr>
      </w:pPr>
    </w:p>
    <w:p w14:paraId="69C1E775">
      <w:pPr>
        <w:pStyle w:val="20"/>
        <w:adjustRightInd w:val="0"/>
        <w:snapToGrid w:val="0"/>
        <w:spacing w:before="0" w:beforeAutospacing="0" w:after="0" w:afterAutospacing="0" w:line="14" w:lineRule="auto"/>
        <w:ind w:firstLine="600"/>
        <w:jc w:val="center"/>
        <w:outlineLvl w:val="0"/>
        <w:rPr>
          <w:rFonts w:hint="eastAsia" w:ascii="黑体" w:hAnsi="黑体" w:eastAsia="黑体"/>
          <w:snapToGrid w:val="0"/>
          <w:color w:val="auto"/>
          <w:sz w:val="30"/>
          <w:szCs w:val="30"/>
        </w:rPr>
      </w:pPr>
    </w:p>
    <w:p w14:paraId="56609DF5">
      <w:pPr>
        <w:pStyle w:val="20"/>
        <w:ind w:firstLine="600"/>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三、区域环境质量现状、环境保护目标及评价标准</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1"/>
        <w:gridCol w:w="8469"/>
      </w:tblGrid>
      <w:tr w14:paraId="0E2B02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521" w:type="dxa"/>
            <w:noWrap w:val="0"/>
            <w:vAlign w:val="center"/>
          </w:tcPr>
          <w:p w14:paraId="627E7057">
            <w:pPr>
              <w:adjustRightInd w:val="0"/>
              <w:snapToGrid w:val="0"/>
              <w:ind w:firstLine="0" w:firstLineChars="0"/>
              <w:jc w:val="center"/>
              <w:rPr>
                <w:color w:val="auto"/>
                <w:kern w:val="0"/>
                <w:szCs w:val="21"/>
              </w:rPr>
            </w:pPr>
            <w:r>
              <w:rPr>
                <w:color w:val="auto"/>
                <w:kern w:val="0"/>
                <w:szCs w:val="21"/>
              </w:rPr>
              <w:t>区域</w:t>
            </w:r>
          </w:p>
          <w:p w14:paraId="7BCDF8C3">
            <w:pPr>
              <w:adjustRightInd w:val="0"/>
              <w:snapToGrid w:val="0"/>
              <w:ind w:firstLine="0" w:firstLineChars="0"/>
              <w:jc w:val="center"/>
              <w:rPr>
                <w:color w:val="auto"/>
                <w:kern w:val="0"/>
                <w:szCs w:val="21"/>
              </w:rPr>
            </w:pPr>
            <w:r>
              <w:rPr>
                <w:color w:val="auto"/>
                <w:kern w:val="0"/>
                <w:szCs w:val="21"/>
              </w:rPr>
              <w:t>环境</w:t>
            </w:r>
          </w:p>
          <w:p w14:paraId="0E40DAB9">
            <w:pPr>
              <w:adjustRightInd w:val="0"/>
              <w:snapToGrid w:val="0"/>
              <w:ind w:firstLine="0" w:firstLineChars="0"/>
              <w:jc w:val="center"/>
              <w:rPr>
                <w:color w:val="auto"/>
                <w:kern w:val="0"/>
                <w:szCs w:val="21"/>
              </w:rPr>
            </w:pPr>
            <w:r>
              <w:rPr>
                <w:color w:val="auto"/>
                <w:kern w:val="0"/>
                <w:szCs w:val="21"/>
              </w:rPr>
              <w:t>质量</w:t>
            </w:r>
          </w:p>
          <w:p w14:paraId="30ACA893">
            <w:pPr>
              <w:adjustRightInd w:val="0"/>
              <w:snapToGrid w:val="0"/>
              <w:ind w:firstLine="0" w:firstLineChars="0"/>
              <w:jc w:val="center"/>
              <w:rPr>
                <w:color w:val="auto"/>
                <w:kern w:val="0"/>
                <w:szCs w:val="21"/>
              </w:rPr>
            </w:pPr>
            <w:r>
              <w:rPr>
                <w:color w:val="auto"/>
                <w:kern w:val="0"/>
                <w:szCs w:val="21"/>
              </w:rPr>
              <w:t>现状</w:t>
            </w:r>
          </w:p>
        </w:tc>
        <w:tc>
          <w:tcPr>
            <w:tcW w:w="8469" w:type="dxa"/>
            <w:noWrap w:val="0"/>
            <w:vAlign w:val="top"/>
          </w:tcPr>
          <w:p w14:paraId="358F7EFF">
            <w:pPr>
              <w:numPr>
                <w:ilvl w:val="0"/>
                <w:numId w:val="3"/>
              </w:numPr>
              <w:ind w:firstLine="0" w:firstLineChars="0"/>
              <w:rPr>
                <w:rFonts w:hint="eastAsia"/>
                <w:b/>
                <w:bCs/>
                <w:color w:val="auto"/>
                <w:kern w:val="0"/>
                <w:szCs w:val="21"/>
              </w:rPr>
            </w:pPr>
            <w:r>
              <w:rPr>
                <w:rFonts w:hint="eastAsia"/>
                <w:b/>
                <w:bCs/>
                <w:color w:val="auto"/>
                <w:kern w:val="0"/>
                <w:szCs w:val="21"/>
              </w:rPr>
              <w:t>空气环境质量现状</w:t>
            </w:r>
          </w:p>
          <w:p w14:paraId="13F6C8F3">
            <w:pPr>
              <w:numPr>
                <w:ilvl w:val="0"/>
                <w:numId w:val="4"/>
              </w:numPr>
              <w:ind w:firstLine="480"/>
              <w:rPr>
                <w:rFonts w:hint="eastAsia"/>
                <w:color w:val="auto"/>
                <w:kern w:val="0"/>
                <w:szCs w:val="21"/>
              </w:rPr>
            </w:pPr>
            <w:r>
              <w:rPr>
                <w:rFonts w:hint="eastAsia"/>
                <w:color w:val="auto"/>
                <w:kern w:val="0"/>
                <w:szCs w:val="21"/>
              </w:rPr>
              <w:t>项目所在区域达标判断</w:t>
            </w:r>
          </w:p>
          <w:p w14:paraId="534B3D35">
            <w:pPr>
              <w:widowControl/>
              <w:adjustRightInd w:val="0"/>
              <w:snapToGrid w:val="0"/>
              <w:spacing w:line="440" w:lineRule="exact"/>
              <w:ind w:firstLine="480" w:firstLineChars="200"/>
              <w:rPr>
                <w:color w:val="auto"/>
                <w:kern w:val="0"/>
                <w:sz w:val="24"/>
              </w:rPr>
            </w:pPr>
            <w:r>
              <w:rPr>
                <w:color w:val="auto"/>
                <w:sz w:val="24"/>
              </w:rPr>
              <w:t>根据淮北市生态环境局发布的《淮北市2024年度生态环境状况公报》，2024年，淮北市城市环境空气二氧化硫、二氧化氮、可吸入颗粒物、细颗粒物年均浓度分别为</w:t>
            </w:r>
            <w:r>
              <w:rPr>
                <w:rFonts w:hint="eastAsia"/>
                <w:color w:val="auto"/>
                <w:sz w:val="24"/>
                <w:lang w:val="en-US" w:eastAsia="zh-CN"/>
              </w:rPr>
              <w:t>6</w:t>
            </w:r>
            <w:r>
              <w:rPr>
                <w:color w:val="auto"/>
                <w:sz w:val="24"/>
              </w:rPr>
              <w:t>微克/立方米、</w:t>
            </w:r>
            <w:r>
              <w:rPr>
                <w:rFonts w:hint="eastAsia"/>
                <w:color w:val="auto"/>
                <w:sz w:val="24"/>
                <w:lang w:val="en-US" w:eastAsia="zh-CN"/>
              </w:rPr>
              <w:t>19</w:t>
            </w:r>
            <w:r>
              <w:rPr>
                <w:color w:val="auto"/>
                <w:sz w:val="24"/>
              </w:rPr>
              <w:t>微克/立方米、70微克/立方米、4</w:t>
            </w:r>
            <w:r>
              <w:rPr>
                <w:rFonts w:hint="eastAsia"/>
                <w:color w:val="auto"/>
                <w:sz w:val="24"/>
                <w:lang w:val="en-US" w:eastAsia="zh-CN"/>
              </w:rPr>
              <w:t>3</w:t>
            </w:r>
            <w:r>
              <w:rPr>
                <w:color w:val="auto"/>
                <w:sz w:val="24"/>
              </w:rPr>
              <w:t>微克/立方米，一氧化碳日均值第95百分位浓度为1.0毫克/立方米、臭氧日最大8小时平均值第90百分位浓度为1</w:t>
            </w:r>
            <w:r>
              <w:rPr>
                <w:rFonts w:hint="eastAsia"/>
                <w:color w:val="auto"/>
                <w:sz w:val="24"/>
                <w:lang w:val="en-US" w:eastAsia="zh-CN"/>
              </w:rPr>
              <w:t>75</w:t>
            </w:r>
            <w:r>
              <w:rPr>
                <w:color w:val="auto"/>
                <w:sz w:val="24"/>
              </w:rPr>
              <w:t>微克/立方米。</w:t>
            </w:r>
          </w:p>
          <w:p w14:paraId="0BEE897C">
            <w:pPr>
              <w:widowControl/>
              <w:numPr>
                <w:ilvl w:val="0"/>
                <w:numId w:val="0"/>
              </w:numPr>
              <w:ind w:left="420" w:leftChars="0" w:hanging="420" w:firstLineChars="0"/>
              <w:jc w:val="center"/>
              <w:rPr>
                <w:b/>
                <w:color w:val="auto"/>
                <w:szCs w:val="21"/>
              </w:rPr>
            </w:pPr>
            <w:r>
              <w:rPr>
                <w:rFonts w:hint="default" w:ascii="Times New Roman" w:hAnsi="Times New Roman" w:eastAsia="宋体" w:cs="Times New Roman"/>
                <w:b/>
                <w:bCs/>
                <w:color w:val="auto"/>
                <w:kern w:val="2"/>
                <w:sz w:val="24"/>
                <w:szCs w:val="24"/>
                <w:lang w:val="en-US" w:eastAsia="zh-CN" w:bidi="ar-SA"/>
              </w:rPr>
              <w:t>表</w:t>
            </w:r>
            <w:r>
              <w:rPr>
                <w:rFonts w:hint="eastAsia" w:cs="Times New Roman"/>
                <w:b/>
                <w:bCs/>
                <w:color w:val="auto"/>
                <w:kern w:val="2"/>
                <w:sz w:val="24"/>
                <w:szCs w:val="24"/>
                <w:lang w:val="en-US" w:eastAsia="zh-CN" w:bidi="ar-SA"/>
              </w:rPr>
              <w:t xml:space="preserve">3-1 </w:t>
            </w:r>
            <w:r>
              <w:rPr>
                <w:b/>
                <w:color w:val="auto"/>
                <w:sz w:val="24"/>
                <w:szCs w:val="24"/>
              </w:rPr>
              <w:t>区域空气质量现状评价表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2699"/>
              <w:gridCol w:w="1307"/>
              <w:gridCol w:w="1201"/>
              <w:gridCol w:w="1106"/>
              <w:gridCol w:w="1106"/>
            </w:tblGrid>
            <w:tr w14:paraId="6A0BB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vAlign w:val="center"/>
                </w:tcPr>
                <w:p w14:paraId="55309EDD">
                  <w:pPr>
                    <w:pStyle w:val="46"/>
                    <w:spacing w:before="24" w:after="24" w:line="240" w:lineRule="auto"/>
                    <w:rPr>
                      <w:rFonts w:ascii="Times New Roman"/>
                      <w:b/>
                      <w:snapToGrid w:val="0"/>
                      <w:color w:val="auto"/>
                      <w:szCs w:val="21"/>
                    </w:rPr>
                  </w:pPr>
                  <w:r>
                    <w:rPr>
                      <w:rFonts w:ascii="Times New Roman"/>
                      <w:b/>
                      <w:snapToGrid w:val="0"/>
                      <w:color w:val="auto"/>
                      <w:szCs w:val="21"/>
                    </w:rPr>
                    <w:t>污染物</w:t>
                  </w:r>
                </w:p>
              </w:tc>
              <w:tc>
                <w:tcPr>
                  <w:tcW w:w="1637" w:type="pct"/>
                  <w:vAlign w:val="center"/>
                </w:tcPr>
                <w:p w14:paraId="2165D48D">
                  <w:pPr>
                    <w:pStyle w:val="46"/>
                    <w:spacing w:before="24" w:after="24" w:line="240" w:lineRule="auto"/>
                    <w:rPr>
                      <w:rFonts w:ascii="Times New Roman"/>
                      <w:b/>
                      <w:snapToGrid w:val="0"/>
                      <w:color w:val="auto"/>
                      <w:szCs w:val="21"/>
                    </w:rPr>
                  </w:pPr>
                  <w:r>
                    <w:rPr>
                      <w:rFonts w:ascii="Times New Roman"/>
                      <w:b/>
                      <w:snapToGrid w:val="0"/>
                      <w:color w:val="auto"/>
                      <w:szCs w:val="21"/>
                    </w:rPr>
                    <w:t>年评价指标</w:t>
                  </w:r>
                </w:p>
              </w:tc>
              <w:tc>
                <w:tcPr>
                  <w:tcW w:w="792" w:type="pct"/>
                  <w:vAlign w:val="center"/>
                </w:tcPr>
                <w:p w14:paraId="079B2D03">
                  <w:pPr>
                    <w:pStyle w:val="46"/>
                    <w:spacing w:before="24" w:after="24" w:line="240" w:lineRule="auto"/>
                    <w:rPr>
                      <w:rFonts w:ascii="Times New Roman"/>
                      <w:b/>
                      <w:snapToGrid w:val="0"/>
                      <w:color w:val="auto"/>
                      <w:szCs w:val="21"/>
                    </w:rPr>
                  </w:pPr>
                  <w:r>
                    <w:rPr>
                      <w:rFonts w:ascii="Times New Roman"/>
                      <w:b/>
                      <w:snapToGrid w:val="0"/>
                      <w:color w:val="auto"/>
                      <w:szCs w:val="21"/>
                    </w:rPr>
                    <w:t>现状浓度/（μg/m³）</w:t>
                  </w:r>
                </w:p>
              </w:tc>
              <w:tc>
                <w:tcPr>
                  <w:tcW w:w="728" w:type="pct"/>
                  <w:vAlign w:val="center"/>
                </w:tcPr>
                <w:p w14:paraId="0C5B1EC8">
                  <w:pPr>
                    <w:pStyle w:val="46"/>
                    <w:spacing w:before="24" w:after="24" w:line="240" w:lineRule="auto"/>
                    <w:rPr>
                      <w:rFonts w:ascii="Times New Roman"/>
                      <w:b/>
                      <w:snapToGrid w:val="0"/>
                      <w:color w:val="auto"/>
                      <w:szCs w:val="21"/>
                    </w:rPr>
                  </w:pPr>
                  <w:r>
                    <w:rPr>
                      <w:rFonts w:ascii="Times New Roman"/>
                      <w:b/>
                      <w:snapToGrid w:val="0"/>
                      <w:color w:val="auto"/>
                      <w:szCs w:val="21"/>
                    </w:rPr>
                    <w:t>标准值（μg/m³）</w:t>
                  </w:r>
                </w:p>
              </w:tc>
              <w:tc>
                <w:tcPr>
                  <w:tcW w:w="670" w:type="pct"/>
                  <w:vAlign w:val="center"/>
                </w:tcPr>
                <w:p w14:paraId="5C966429">
                  <w:pPr>
                    <w:pStyle w:val="46"/>
                    <w:spacing w:before="24" w:after="24" w:line="240" w:lineRule="auto"/>
                    <w:jc w:val="center"/>
                    <w:rPr>
                      <w:rFonts w:ascii="Times New Roman"/>
                      <w:b/>
                      <w:snapToGrid w:val="0"/>
                      <w:color w:val="auto"/>
                      <w:szCs w:val="21"/>
                    </w:rPr>
                  </w:pPr>
                  <w:r>
                    <w:rPr>
                      <w:rFonts w:ascii="Times New Roman"/>
                      <w:b/>
                      <w:snapToGrid w:val="0"/>
                      <w:color w:val="auto"/>
                      <w:szCs w:val="21"/>
                    </w:rPr>
                    <w:t>占标率</w:t>
                  </w:r>
                </w:p>
              </w:tc>
              <w:tc>
                <w:tcPr>
                  <w:tcW w:w="670" w:type="pct"/>
                  <w:vAlign w:val="center"/>
                </w:tcPr>
                <w:p w14:paraId="72C69750">
                  <w:pPr>
                    <w:pStyle w:val="46"/>
                    <w:spacing w:before="24" w:after="24" w:line="240" w:lineRule="auto"/>
                    <w:rPr>
                      <w:rFonts w:ascii="Times New Roman"/>
                      <w:b/>
                      <w:snapToGrid w:val="0"/>
                      <w:color w:val="auto"/>
                      <w:szCs w:val="21"/>
                    </w:rPr>
                  </w:pPr>
                  <w:r>
                    <w:rPr>
                      <w:rFonts w:ascii="Times New Roman"/>
                      <w:b/>
                      <w:snapToGrid w:val="0"/>
                      <w:color w:val="auto"/>
                      <w:szCs w:val="21"/>
                    </w:rPr>
                    <w:t>达标情况</w:t>
                  </w:r>
                </w:p>
              </w:tc>
            </w:tr>
            <w:tr w14:paraId="1053F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vAlign w:val="center"/>
                </w:tcPr>
                <w:p w14:paraId="2421533F">
                  <w:pPr>
                    <w:pStyle w:val="46"/>
                    <w:spacing w:before="24" w:after="24" w:line="240" w:lineRule="auto"/>
                    <w:rPr>
                      <w:rFonts w:ascii="Times New Roman"/>
                      <w:snapToGrid w:val="0"/>
                      <w:color w:val="auto"/>
                      <w:szCs w:val="21"/>
                    </w:rPr>
                  </w:pPr>
                  <w:r>
                    <w:rPr>
                      <w:rFonts w:ascii="Times New Roman"/>
                      <w:snapToGrid w:val="0"/>
                      <w:color w:val="auto"/>
                      <w:szCs w:val="21"/>
                    </w:rPr>
                    <w:t>SO</w:t>
                  </w:r>
                  <w:r>
                    <w:rPr>
                      <w:rFonts w:ascii="Times New Roman"/>
                      <w:snapToGrid w:val="0"/>
                      <w:color w:val="auto"/>
                      <w:szCs w:val="21"/>
                      <w:vertAlign w:val="subscript"/>
                    </w:rPr>
                    <w:t>2</w:t>
                  </w:r>
                </w:p>
              </w:tc>
              <w:tc>
                <w:tcPr>
                  <w:tcW w:w="1637" w:type="pct"/>
                  <w:vAlign w:val="center"/>
                </w:tcPr>
                <w:p w14:paraId="0C4D9068">
                  <w:pPr>
                    <w:pStyle w:val="46"/>
                    <w:spacing w:before="24" w:after="24" w:line="240" w:lineRule="auto"/>
                    <w:rPr>
                      <w:rFonts w:ascii="Times New Roman"/>
                      <w:snapToGrid w:val="0"/>
                      <w:color w:val="auto"/>
                      <w:szCs w:val="21"/>
                    </w:rPr>
                  </w:pPr>
                  <w:r>
                    <w:rPr>
                      <w:rFonts w:ascii="Times New Roman"/>
                      <w:snapToGrid w:val="0"/>
                      <w:color w:val="auto"/>
                      <w:szCs w:val="21"/>
                    </w:rPr>
                    <w:t>年平均浓度</w:t>
                  </w:r>
                </w:p>
              </w:tc>
              <w:tc>
                <w:tcPr>
                  <w:tcW w:w="792" w:type="pct"/>
                  <w:vAlign w:val="center"/>
                </w:tcPr>
                <w:p w14:paraId="16F860A7">
                  <w:pPr>
                    <w:pStyle w:val="46"/>
                    <w:spacing w:before="24" w:after="24" w:line="240" w:lineRule="auto"/>
                    <w:rPr>
                      <w:rFonts w:hint="eastAsia" w:ascii="Times New Roman" w:eastAsia="宋体"/>
                      <w:snapToGrid w:val="0"/>
                      <w:color w:val="auto"/>
                      <w:szCs w:val="21"/>
                      <w:lang w:eastAsia="zh-CN"/>
                    </w:rPr>
                  </w:pPr>
                  <w:r>
                    <w:rPr>
                      <w:rFonts w:hint="eastAsia" w:ascii="Times New Roman"/>
                      <w:snapToGrid w:val="0"/>
                      <w:color w:val="auto"/>
                      <w:szCs w:val="21"/>
                      <w:lang w:val="en-US" w:eastAsia="zh-CN"/>
                    </w:rPr>
                    <w:t>6</w:t>
                  </w:r>
                </w:p>
              </w:tc>
              <w:tc>
                <w:tcPr>
                  <w:tcW w:w="728" w:type="pct"/>
                  <w:vAlign w:val="center"/>
                </w:tcPr>
                <w:p w14:paraId="0A2DBE30">
                  <w:pPr>
                    <w:pStyle w:val="46"/>
                    <w:spacing w:before="24" w:after="24" w:line="240" w:lineRule="auto"/>
                    <w:rPr>
                      <w:rFonts w:ascii="Times New Roman"/>
                      <w:snapToGrid w:val="0"/>
                      <w:color w:val="auto"/>
                      <w:szCs w:val="21"/>
                    </w:rPr>
                  </w:pPr>
                  <w:r>
                    <w:rPr>
                      <w:rFonts w:ascii="Times New Roman"/>
                      <w:snapToGrid w:val="0"/>
                      <w:color w:val="auto"/>
                      <w:szCs w:val="21"/>
                    </w:rPr>
                    <w:t>60</w:t>
                  </w:r>
                </w:p>
              </w:tc>
              <w:tc>
                <w:tcPr>
                  <w:tcW w:w="670" w:type="pct"/>
                  <w:vAlign w:val="center"/>
                </w:tcPr>
                <w:p w14:paraId="3FDB37E3">
                  <w:pPr>
                    <w:keepNext w:val="0"/>
                    <w:keepLines w:val="0"/>
                    <w:widowControl/>
                    <w:suppressLineNumbers w:val="0"/>
                    <w:jc w:val="center"/>
                    <w:textAlignment w:val="center"/>
                    <w:rPr>
                      <w:rFonts w:hint="default" w:ascii="Times New Roman" w:hAnsi="Times New Roman" w:cs="Times New Roman"/>
                      <w:snapToGrid w:val="0"/>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670" w:type="pct"/>
                  <w:vAlign w:val="center"/>
                </w:tcPr>
                <w:p w14:paraId="1FBD7BF5">
                  <w:pPr>
                    <w:pStyle w:val="46"/>
                    <w:spacing w:before="24" w:after="24" w:line="240" w:lineRule="auto"/>
                    <w:rPr>
                      <w:rFonts w:ascii="Times New Roman"/>
                      <w:snapToGrid w:val="0"/>
                      <w:color w:val="auto"/>
                      <w:szCs w:val="21"/>
                    </w:rPr>
                  </w:pPr>
                  <w:r>
                    <w:rPr>
                      <w:rFonts w:ascii="Times New Roman"/>
                      <w:snapToGrid w:val="0"/>
                      <w:color w:val="auto"/>
                      <w:szCs w:val="21"/>
                    </w:rPr>
                    <w:t>达标</w:t>
                  </w:r>
                </w:p>
              </w:tc>
            </w:tr>
            <w:tr w14:paraId="0DAC4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vAlign w:val="center"/>
                </w:tcPr>
                <w:p w14:paraId="7FCDBCAE">
                  <w:pPr>
                    <w:pStyle w:val="46"/>
                    <w:spacing w:before="24" w:after="24" w:line="240" w:lineRule="auto"/>
                    <w:rPr>
                      <w:rFonts w:ascii="Times New Roman"/>
                      <w:snapToGrid w:val="0"/>
                      <w:color w:val="auto"/>
                      <w:szCs w:val="21"/>
                    </w:rPr>
                  </w:pPr>
                  <w:r>
                    <w:rPr>
                      <w:rFonts w:ascii="Times New Roman"/>
                      <w:snapToGrid w:val="0"/>
                      <w:color w:val="auto"/>
                      <w:szCs w:val="21"/>
                    </w:rPr>
                    <w:t>NO</w:t>
                  </w:r>
                  <w:r>
                    <w:rPr>
                      <w:rFonts w:ascii="Times New Roman"/>
                      <w:snapToGrid w:val="0"/>
                      <w:color w:val="auto"/>
                      <w:szCs w:val="21"/>
                      <w:vertAlign w:val="subscript"/>
                    </w:rPr>
                    <w:t>2</w:t>
                  </w:r>
                </w:p>
              </w:tc>
              <w:tc>
                <w:tcPr>
                  <w:tcW w:w="1637" w:type="pct"/>
                  <w:vAlign w:val="center"/>
                </w:tcPr>
                <w:p w14:paraId="0ACB8710">
                  <w:pPr>
                    <w:pStyle w:val="46"/>
                    <w:spacing w:before="24" w:after="24" w:line="240" w:lineRule="auto"/>
                    <w:rPr>
                      <w:rFonts w:ascii="Times New Roman"/>
                      <w:snapToGrid w:val="0"/>
                      <w:color w:val="auto"/>
                      <w:szCs w:val="21"/>
                    </w:rPr>
                  </w:pPr>
                  <w:r>
                    <w:rPr>
                      <w:rFonts w:ascii="Times New Roman"/>
                      <w:snapToGrid w:val="0"/>
                      <w:color w:val="auto"/>
                      <w:szCs w:val="21"/>
                    </w:rPr>
                    <w:t>年平均浓度</w:t>
                  </w:r>
                </w:p>
              </w:tc>
              <w:tc>
                <w:tcPr>
                  <w:tcW w:w="792" w:type="pct"/>
                  <w:vAlign w:val="center"/>
                </w:tcPr>
                <w:p w14:paraId="70FE04D3">
                  <w:pPr>
                    <w:pStyle w:val="46"/>
                    <w:spacing w:before="24" w:after="24" w:line="240" w:lineRule="auto"/>
                    <w:rPr>
                      <w:rFonts w:hint="default" w:ascii="Times New Roman" w:eastAsia="宋体"/>
                      <w:snapToGrid w:val="0"/>
                      <w:color w:val="auto"/>
                      <w:szCs w:val="21"/>
                      <w:lang w:val="en-US" w:eastAsia="zh-CN"/>
                    </w:rPr>
                  </w:pPr>
                  <w:r>
                    <w:rPr>
                      <w:rFonts w:hint="eastAsia" w:ascii="Times New Roman"/>
                      <w:snapToGrid w:val="0"/>
                      <w:color w:val="auto"/>
                      <w:szCs w:val="21"/>
                      <w:lang w:val="en-US" w:eastAsia="zh-CN"/>
                    </w:rPr>
                    <w:t>19</w:t>
                  </w:r>
                </w:p>
              </w:tc>
              <w:tc>
                <w:tcPr>
                  <w:tcW w:w="728" w:type="pct"/>
                  <w:vAlign w:val="center"/>
                </w:tcPr>
                <w:p w14:paraId="14FA1103">
                  <w:pPr>
                    <w:pStyle w:val="46"/>
                    <w:spacing w:before="24" w:after="24" w:line="240" w:lineRule="auto"/>
                    <w:rPr>
                      <w:rFonts w:ascii="Times New Roman"/>
                      <w:snapToGrid w:val="0"/>
                      <w:color w:val="auto"/>
                      <w:szCs w:val="21"/>
                    </w:rPr>
                  </w:pPr>
                  <w:r>
                    <w:rPr>
                      <w:rFonts w:ascii="Times New Roman"/>
                      <w:snapToGrid w:val="0"/>
                      <w:color w:val="auto"/>
                      <w:szCs w:val="21"/>
                    </w:rPr>
                    <w:t>40</w:t>
                  </w:r>
                </w:p>
              </w:tc>
              <w:tc>
                <w:tcPr>
                  <w:tcW w:w="670" w:type="pct"/>
                  <w:vAlign w:val="center"/>
                </w:tcPr>
                <w:p w14:paraId="6E070446">
                  <w:pPr>
                    <w:keepNext w:val="0"/>
                    <w:keepLines w:val="0"/>
                    <w:widowControl/>
                    <w:suppressLineNumbers w:val="0"/>
                    <w:jc w:val="center"/>
                    <w:textAlignment w:val="center"/>
                    <w:rPr>
                      <w:rFonts w:hint="default" w:ascii="Times New Roman" w:hAnsi="Times New Roman" w:cs="Times New Roman"/>
                      <w:snapToGrid w:val="0"/>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47.5%</w:t>
                  </w:r>
                </w:p>
              </w:tc>
              <w:tc>
                <w:tcPr>
                  <w:tcW w:w="670" w:type="pct"/>
                  <w:vAlign w:val="center"/>
                </w:tcPr>
                <w:p w14:paraId="1459D1D3">
                  <w:pPr>
                    <w:pStyle w:val="46"/>
                    <w:spacing w:before="24" w:after="24" w:line="240" w:lineRule="auto"/>
                    <w:rPr>
                      <w:rFonts w:ascii="Times New Roman"/>
                      <w:snapToGrid w:val="0"/>
                      <w:color w:val="auto"/>
                      <w:szCs w:val="21"/>
                    </w:rPr>
                  </w:pPr>
                  <w:r>
                    <w:rPr>
                      <w:rFonts w:ascii="Times New Roman"/>
                      <w:snapToGrid w:val="0"/>
                      <w:color w:val="auto"/>
                      <w:szCs w:val="21"/>
                    </w:rPr>
                    <w:t>达标</w:t>
                  </w:r>
                </w:p>
              </w:tc>
            </w:tr>
            <w:tr w14:paraId="6CD7D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vAlign w:val="center"/>
                </w:tcPr>
                <w:p w14:paraId="7E3FA890">
                  <w:pPr>
                    <w:pStyle w:val="46"/>
                    <w:spacing w:before="24" w:after="24" w:line="240" w:lineRule="auto"/>
                    <w:rPr>
                      <w:rFonts w:ascii="Times New Roman"/>
                      <w:snapToGrid w:val="0"/>
                      <w:color w:val="auto"/>
                      <w:szCs w:val="21"/>
                    </w:rPr>
                  </w:pPr>
                  <w:r>
                    <w:rPr>
                      <w:rFonts w:ascii="Times New Roman"/>
                      <w:snapToGrid w:val="0"/>
                      <w:color w:val="auto"/>
                      <w:szCs w:val="21"/>
                    </w:rPr>
                    <w:t>PM</w:t>
                  </w:r>
                  <w:r>
                    <w:rPr>
                      <w:rFonts w:ascii="Times New Roman"/>
                      <w:snapToGrid w:val="0"/>
                      <w:color w:val="auto"/>
                      <w:szCs w:val="21"/>
                      <w:vertAlign w:val="subscript"/>
                    </w:rPr>
                    <w:t>10</w:t>
                  </w:r>
                </w:p>
              </w:tc>
              <w:tc>
                <w:tcPr>
                  <w:tcW w:w="1637" w:type="pct"/>
                  <w:vAlign w:val="center"/>
                </w:tcPr>
                <w:p w14:paraId="743FAF64">
                  <w:pPr>
                    <w:pStyle w:val="46"/>
                    <w:spacing w:before="24" w:after="24" w:line="240" w:lineRule="auto"/>
                    <w:rPr>
                      <w:rFonts w:ascii="Times New Roman"/>
                      <w:snapToGrid w:val="0"/>
                      <w:color w:val="auto"/>
                      <w:szCs w:val="21"/>
                    </w:rPr>
                  </w:pPr>
                  <w:r>
                    <w:rPr>
                      <w:rFonts w:ascii="Times New Roman"/>
                      <w:snapToGrid w:val="0"/>
                      <w:color w:val="auto"/>
                      <w:szCs w:val="21"/>
                    </w:rPr>
                    <w:t>年平均浓度</w:t>
                  </w:r>
                </w:p>
              </w:tc>
              <w:tc>
                <w:tcPr>
                  <w:tcW w:w="792" w:type="pct"/>
                  <w:vAlign w:val="center"/>
                </w:tcPr>
                <w:p w14:paraId="5DE54E30">
                  <w:pPr>
                    <w:pStyle w:val="46"/>
                    <w:spacing w:before="24" w:after="24" w:line="240" w:lineRule="auto"/>
                    <w:rPr>
                      <w:rFonts w:ascii="Times New Roman"/>
                      <w:snapToGrid w:val="0"/>
                      <w:color w:val="auto"/>
                      <w:szCs w:val="21"/>
                    </w:rPr>
                  </w:pPr>
                  <w:r>
                    <w:rPr>
                      <w:rFonts w:ascii="Times New Roman"/>
                      <w:snapToGrid w:val="0"/>
                      <w:color w:val="auto"/>
                      <w:szCs w:val="21"/>
                    </w:rPr>
                    <w:t>70</w:t>
                  </w:r>
                </w:p>
              </w:tc>
              <w:tc>
                <w:tcPr>
                  <w:tcW w:w="728" w:type="pct"/>
                  <w:vAlign w:val="center"/>
                </w:tcPr>
                <w:p w14:paraId="52FFE063">
                  <w:pPr>
                    <w:pStyle w:val="46"/>
                    <w:spacing w:before="24" w:after="24" w:line="240" w:lineRule="auto"/>
                    <w:rPr>
                      <w:rFonts w:ascii="Times New Roman"/>
                      <w:snapToGrid w:val="0"/>
                      <w:color w:val="auto"/>
                      <w:szCs w:val="21"/>
                    </w:rPr>
                  </w:pPr>
                  <w:r>
                    <w:rPr>
                      <w:rFonts w:ascii="Times New Roman"/>
                      <w:snapToGrid w:val="0"/>
                      <w:color w:val="auto"/>
                      <w:szCs w:val="21"/>
                    </w:rPr>
                    <w:t>70</w:t>
                  </w:r>
                </w:p>
              </w:tc>
              <w:tc>
                <w:tcPr>
                  <w:tcW w:w="670" w:type="pct"/>
                  <w:vAlign w:val="center"/>
                </w:tcPr>
                <w:p w14:paraId="0835F135">
                  <w:pPr>
                    <w:keepNext w:val="0"/>
                    <w:keepLines w:val="0"/>
                    <w:widowControl/>
                    <w:suppressLineNumbers w:val="0"/>
                    <w:jc w:val="center"/>
                    <w:textAlignment w:val="center"/>
                    <w:rPr>
                      <w:rFonts w:hint="default" w:ascii="Times New Roman" w:hAnsi="Times New Roman" w:cs="Times New Roman"/>
                      <w:snapToGrid w:val="0"/>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670" w:type="pct"/>
                  <w:vAlign w:val="center"/>
                </w:tcPr>
                <w:p w14:paraId="7FCF0127">
                  <w:pPr>
                    <w:pStyle w:val="46"/>
                    <w:spacing w:before="24" w:after="24" w:line="240" w:lineRule="auto"/>
                    <w:rPr>
                      <w:rFonts w:ascii="Times New Roman"/>
                      <w:snapToGrid w:val="0"/>
                      <w:color w:val="auto"/>
                      <w:szCs w:val="21"/>
                    </w:rPr>
                  </w:pPr>
                  <w:r>
                    <w:rPr>
                      <w:rFonts w:ascii="Times New Roman"/>
                      <w:snapToGrid w:val="0"/>
                      <w:color w:val="auto"/>
                      <w:szCs w:val="21"/>
                    </w:rPr>
                    <w:t>达标</w:t>
                  </w:r>
                </w:p>
              </w:tc>
            </w:tr>
            <w:tr w14:paraId="60CFD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vAlign w:val="center"/>
                </w:tcPr>
                <w:p w14:paraId="3756A6B7">
                  <w:pPr>
                    <w:pStyle w:val="46"/>
                    <w:spacing w:before="24" w:after="24" w:line="240" w:lineRule="auto"/>
                    <w:rPr>
                      <w:rFonts w:ascii="Times New Roman"/>
                      <w:snapToGrid w:val="0"/>
                      <w:color w:val="auto"/>
                      <w:szCs w:val="21"/>
                    </w:rPr>
                  </w:pPr>
                  <w:r>
                    <w:rPr>
                      <w:rFonts w:ascii="Times New Roman"/>
                      <w:snapToGrid w:val="0"/>
                      <w:color w:val="auto"/>
                      <w:szCs w:val="21"/>
                    </w:rPr>
                    <w:t>PM</w:t>
                  </w:r>
                  <w:r>
                    <w:rPr>
                      <w:rFonts w:ascii="Times New Roman"/>
                      <w:snapToGrid w:val="0"/>
                      <w:color w:val="auto"/>
                      <w:szCs w:val="21"/>
                      <w:vertAlign w:val="subscript"/>
                    </w:rPr>
                    <w:t>2.5</w:t>
                  </w:r>
                </w:p>
              </w:tc>
              <w:tc>
                <w:tcPr>
                  <w:tcW w:w="1637" w:type="pct"/>
                  <w:vAlign w:val="center"/>
                </w:tcPr>
                <w:p w14:paraId="7FB8F7CE">
                  <w:pPr>
                    <w:pStyle w:val="46"/>
                    <w:spacing w:before="24" w:after="24" w:line="240" w:lineRule="auto"/>
                    <w:rPr>
                      <w:rFonts w:ascii="Times New Roman"/>
                      <w:snapToGrid w:val="0"/>
                      <w:color w:val="auto"/>
                      <w:szCs w:val="21"/>
                    </w:rPr>
                  </w:pPr>
                  <w:r>
                    <w:rPr>
                      <w:rFonts w:ascii="Times New Roman"/>
                      <w:snapToGrid w:val="0"/>
                      <w:color w:val="auto"/>
                      <w:szCs w:val="21"/>
                    </w:rPr>
                    <w:t>年平均浓度</w:t>
                  </w:r>
                </w:p>
              </w:tc>
              <w:tc>
                <w:tcPr>
                  <w:tcW w:w="792" w:type="pct"/>
                  <w:vAlign w:val="center"/>
                </w:tcPr>
                <w:p w14:paraId="3CC42299">
                  <w:pPr>
                    <w:pStyle w:val="46"/>
                    <w:spacing w:before="24" w:after="24" w:line="240" w:lineRule="auto"/>
                    <w:rPr>
                      <w:rFonts w:hint="default" w:ascii="Times New Roman" w:eastAsia="宋体"/>
                      <w:snapToGrid w:val="0"/>
                      <w:color w:val="auto"/>
                      <w:szCs w:val="21"/>
                      <w:lang w:val="en-US" w:eastAsia="zh-CN"/>
                    </w:rPr>
                  </w:pPr>
                  <w:r>
                    <w:rPr>
                      <w:rFonts w:hint="eastAsia" w:ascii="Times New Roman"/>
                      <w:snapToGrid w:val="0"/>
                      <w:color w:val="auto"/>
                      <w:szCs w:val="21"/>
                      <w:lang w:val="en-US" w:eastAsia="zh-CN"/>
                    </w:rPr>
                    <w:t>43</w:t>
                  </w:r>
                </w:p>
              </w:tc>
              <w:tc>
                <w:tcPr>
                  <w:tcW w:w="728" w:type="pct"/>
                  <w:vAlign w:val="center"/>
                </w:tcPr>
                <w:p w14:paraId="5F81B208">
                  <w:pPr>
                    <w:pStyle w:val="46"/>
                    <w:spacing w:before="24" w:after="24" w:line="240" w:lineRule="auto"/>
                    <w:rPr>
                      <w:rFonts w:ascii="Times New Roman"/>
                      <w:snapToGrid w:val="0"/>
                      <w:color w:val="auto"/>
                      <w:szCs w:val="21"/>
                    </w:rPr>
                  </w:pPr>
                  <w:r>
                    <w:rPr>
                      <w:rFonts w:ascii="Times New Roman"/>
                      <w:snapToGrid w:val="0"/>
                      <w:color w:val="auto"/>
                      <w:szCs w:val="21"/>
                    </w:rPr>
                    <w:t>35</w:t>
                  </w:r>
                </w:p>
              </w:tc>
              <w:tc>
                <w:tcPr>
                  <w:tcW w:w="670" w:type="pct"/>
                  <w:vAlign w:val="center"/>
                </w:tcPr>
                <w:p w14:paraId="0E1EAB54">
                  <w:pPr>
                    <w:keepNext w:val="0"/>
                    <w:keepLines w:val="0"/>
                    <w:widowControl/>
                    <w:suppressLineNumbers w:val="0"/>
                    <w:jc w:val="center"/>
                    <w:textAlignment w:val="center"/>
                    <w:rPr>
                      <w:rFonts w:hint="default" w:ascii="Times New Roman" w:hAnsi="Times New Roman" w:cs="Times New Roman"/>
                      <w:snapToGrid w:val="0"/>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122.9%</w:t>
                  </w:r>
                </w:p>
              </w:tc>
              <w:tc>
                <w:tcPr>
                  <w:tcW w:w="670" w:type="pct"/>
                  <w:vAlign w:val="center"/>
                </w:tcPr>
                <w:p w14:paraId="31C353E2">
                  <w:pPr>
                    <w:pStyle w:val="46"/>
                    <w:spacing w:before="24" w:after="24" w:line="240" w:lineRule="auto"/>
                    <w:rPr>
                      <w:rFonts w:ascii="Times New Roman"/>
                      <w:snapToGrid w:val="0"/>
                      <w:color w:val="auto"/>
                      <w:szCs w:val="21"/>
                    </w:rPr>
                  </w:pPr>
                  <w:r>
                    <w:rPr>
                      <w:rFonts w:ascii="Times New Roman"/>
                      <w:snapToGrid w:val="0"/>
                      <w:color w:val="auto"/>
                      <w:szCs w:val="21"/>
                    </w:rPr>
                    <w:t>不达标</w:t>
                  </w:r>
                </w:p>
              </w:tc>
            </w:tr>
            <w:tr w14:paraId="26D4A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vAlign w:val="center"/>
                </w:tcPr>
                <w:p w14:paraId="2BF7AEAF">
                  <w:pPr>
                    <w:pStyle w:val="46"/>
                    <w:spacing w:before="24" w:after="24" w:line="240" w:lineRule="auto"/>
                    <w:rPr>
                      <w:rFonts w:ascii="Times New Roman"/>
                      <w:snapToGrid w:val="0"/>
                      <w:color w:val="auto"/>
                      <w:szCs w:val="21"/>
                    </w:rPr>
                  </w:pPr>
                  <w:r>
                    <w:rPr>
                      <w:rFonts w:ascii="Times New Roman"/>
                      <w:snapToGrid w:val="0"/>
                      <w:color w:val="auto"/>
                      <w:szCs w:val="21"/>
                    </w:rPr>
                    <w:t>CO</w:t>
                  </w:r>
                </w:p>
              </w:tc>
              <w:tc>
                <w:tcPr>
                  <w:tcW w:w="1637" w:type="pct"/>
                  <w:vAlign w:val="center"/>
                </w:tcPr>
                <w:p w14:paraId="2F1EA5FA">
                  <w:pPr>
                    <w:pStyle w:val="46"/>
                    <w:spacing w:before="24" w:after="24" w:line="240" w:lineRule="auto"/>
                    <w:rPr>
                      <w:rFonts w:ascii="Times New Roman"/>
                      <w:snapToGrid w:val="0"/>
                      <w:color w:val="auto"/>
                      <w:szCs w:val="21"/>
                    </w:rPr>
                  </w:pPr>
                  <w:r>
                    <w:rPr>
                      <w:rFonts w:ascii="Times New Roman"/>
                      <w:snapToGrid w:val="0"/>
                      <w:color w:val="auto"/>
                      <w:szCs w:val="21"/>
                    </w:rPr>
                    <w:t>24h平均浓度第95百分位数</w:t>
                  </w:r>
                </w:p>
              </w:tc>
              <w:tc>
                <w:tcPr>
                  <w:tcW w:w="792" w:type="pct"/>
                  <w:vAlign w:val="center"/>
                </w:tcPr>
                <w:p w14:paraId="06E44976">
                  <w:pPr>
                    <w:pStyle w:val="46"/>
                    <w:spacing w:before="24" w:after="24" w:line="240" w:lineRule="auto"/>
                    <w:rPr>
                      <w:rFonts w:ascii="Times New Roman"/>
                      <w:snapToGrid w:val="0"/>
                      <w:color w:val="auto"/>
                      <w:szCs w:val="21"/>
                    </w:rPr>
                  </w:pPr>
                  <w:r>
                    <w:rPr>
                      <w:rFonts w:ascii="Times New Roman"/>
                      <w:snapToGrid w:val="0"/>
                      <w:color w:val="auto"/>
                      <w:szCs w:val="21"/>
                    </w:rPr>
                    <w:t>1.0mg/m³</w:t>
                  </w:r>
                </w:p>
              </w:tc>
              <w:tc>
                <w:tcPr>
                  <w:tcW w:w="728" w:type="pct"/>
                  <w:vAlign w:val="center"/>
                </w:tcPr>
                <w:p w14:paraId="6B038B03">
                  <w:pPr>
                    <w:pStyle w:val="46"/>
                    <w:spacing w:before="24" w:after="24" w:line="240" w:lineRule="auto"/>
                    <w:rPr>
                      <w:rFonts w:ascii="Times New Roman"/>
                      <w:snapToGrid w:val="0"/>
                      <w:color w:val="auto"/>
                      <w:szCs w:val="21"/>
                    </w:rPr>
                  </w:pPr>
                  <w:r>
                    <w:rPr>
                      <w:rFonts w:ascii="Times New Roman"/>
                      <w:snapToGrid w:val="0"/>
                      <w:color w:val="auto"/>
                      <w:szCs w:val="21"/>
                    </w:rPr>
                    <w:t>4 mg/m³</w:t>
                  </w:r>
                </w:p>
              </w:tc>
              <w:tc>
                <w:tcPr>
                  <w:tcW w:w="670" w:type="pct"/>
                  <w:vAlign w:val="center"/>
                </w:tcPr>
                <w:p w14:paraId="188DE36F">
                  <w:pPr>
                    <w:keepNext w:val="0"/>
                    <w:keepLines w:val="0"/>
                    <w:widowControl/>
                    <w:suppressLineNumbers w:val="0"/>
                    <w:jc w:val="center"/>
                    <w:textAlignment w:val="center"/>
                    <w:rPr>
                      <w:rFonts w:hint="default" w:ascii="Times New Roman" w:hAnsi="Times New Roman" w:cs="Times New Roman"/>
                      <w:snapToGrid w:val="0"/>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25%</w:t>
                  </w:r>
                </w:p>
              </w:tc>
              <w:tc>
                <w:tcPr>
                  <w:tcW w:w="670" w:type="pct"/>
                  <w:vAlign w:val="center"/>
                </w:tcPr>
                <w:p w14:paraId="252B5E52">
                  <w:pPr>
                    <w:pStyle w:val="46"/>
                    <w:spacing w:before="24" w:after="24" w:line="240" w:lineRule="auto"/>
                    <w:rPr>
                      <w:rFonts w:ascii="Times New Roman"/>
                      <w:snapToGrid w:val="0"/>
                      <w:color w:val="auto"/>
                      <w:szCs w:val="21"/>
                    </w:rPr>
                  </w:pPr>
                  <w:r>
                    <w:rPr>
                      <w:rFonts w:ascii="Times New Roman"/>
                      <w:snapToGrid w:val="0"/>
                      <w:color w:val="auto"/>
                      <w:szCs w:val="21"/>
                    </w:rPr>
                    <w:t>达标</w:t>
                  </w:r>
                </w:p>
              </w:tc>
            </w:tr>
            <w:tr w14:paraId="6641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9" w:type="pct"/>
                  <w:vAlign w:val="center"/>
                </w:tcPr>
                <w:p w14:paraId="05ACF36B">
                  <w:pPr>
                    <w:pStyle w:val="46"/>
                    <w:spacing w:before="24" w:after="24" w:line="240" w:lineRule="auto"/>
                    <w:rPr>
                      <w:rFonts w:ascii="Times New Roman"/>
                      <w:snapToGrid w:val="0"/>
                      <w:color w:val="auto"/>
                      <w:szCs w:val="21"/>
                    </w:rPr>
                  </w:pPr>
                  <w:r>
                    <w:rPr>
                      <w:rFonts w:ascii="Times New Roman"/>
                      <w:snapToGrid w:val="0"/>
                      <w:color w:val="auto"/>
                      <w:szCs w:val="21"/>
                    </w:rPr>
                    <w:t>O</w:t>
                  </w:r>
                  <w:r>
                    <w:rPr>
                      <w:rFonts w:ascii="Times New Roman"/>
                      <w:snapToGrid w:val="0"/>
                      <w:color w:val="auto"/>
                      <w:szCs w:val="21"/>
                      <w:vertAlign w:val="subscript"/>
                    </w:rPr>
                    <w:t>3</w:t>
                  </w:r>
                </w:p>
              </w:tc>
              <w:tc>
                <w:tcPr>
                  <w:tcW w:w="1637" w:type="pct"/>
                  <w:vAlign w:val="center"/>
                </w:tcPr>
                <w:p w14:paraId="50D6341A">
                  <w:pPr>
                    <w:pStyle w:val="46"/>
                    <w:spacing w:before="24" w:after="24" w:line="240" w:lineRule="auto"/>
                    <w:rPr>
                      <w:rFonts w:ascii="Times New Roman"/>
                      <w:snapToGrid w:val="0"/>
                      <w:color w:val="auto"/>
                      <w:szCs w:val="21"/>
                    </w:rPr>
                  </w:pPr>
                  <w:r>
                    <w:rPr>
                      <w:rFonts w:ascii="Times New Roman"/>
                      <w:snapToGrid w:val="0"/>
                      <w:color w:val="auto"/>
                      <w:szCs w:val="21"/>
                    </w:rPr>
                    <w:t>最大8h平均浓度第90百分位数</w:t>
                  </w:r>
                </w:p>
              </w:tc>
              <w:tc>
                <w:tcPr>
                  <w:tcW w:w="792" w:type="pct"/>
                  <w:vAlign w:val="center"/>
                </w:tcPr>
                <w:p w14:paraId="33365FE1">
                  <w:pPr>
                    <w:pStyle w:val="46"/>
                    <w:spacing w:before="24" w:after="24" w:line="240" w:lineRule="auto"/>
                    <w:rPr>
                      <w:rFonts w:hint="default" w:ascii="Times New Roman" w:eastAsia="宋体"/>
                      <w:snapToGrid w:val="0"/>
                      <w:color w:val="auto"/>
                      <w:szCs w:val="21"/>
                      <w:lang w:val="en-US" w:eastAsia="zh-CN"/>
                    </w:rPr>
                  </w:pPr>
                  <w:r>
                    <w:rPr>
                      <w:rFonts w:ascii="Times New Roman"/>
                      <w:snapToGrid w:val="0"/>
                      <w:color w:val="auto"/>
                      <w:szCs w:val="21"/>
                    </w:rPr>
                    <w:t>1</w:t>
                  </w:r>
                  <w:r>
                    <w:rPr>
                      <w:rFonts w:hint="eastAsia" w:ascii="Times New Roman"/>
                      <w:snapToGrid w:val="0"/>
                      <w:color w:val="auto"/>
                      <w:szCs w:val="21"/>
                      <w:lang w:val="en-US" w:eastAsia="zh-CN"/>
                    </w:rPr>
                    <w:t>75</w:t>
                  </w:r>
                </w:p>
              </w:tc>
              <w:tc>
                <w:tcPr>
                  <w:tcW w:w="728" w:type="pct"/>
                  <w:vAlign w:val="center"/>
                </w:tcPr>
                <w:p w14:paraId="5F8DE309">
                  <w:pPr>
                    <w:pStyle w:val="46"/>
                    <w:spacing w:before="24" w:after="24" w:line="240" w:lineRule="auto"/>
                    <w:rPr>
                      <w:rFonts w:ascii="Times New Roman"/>
                      <w:snapToGrid w:val="0"/>
                      <w:color w:val="auto"/>
                      <w:szCs w:val="21"/>
                    </w:rPr>
                  </w:pPr>
                  <w:r>
                    <w:rPr>
                      <w:rFonts w:ascii="Times New Roman"/>
                      <w:snapToGrid w:val="0"/>
                      <w:color w:val="auto"/>
                      <w:szCs w:val="21"/>
                    </w:rPr>
                    <w:t>160</w:t>
                  </w:r>
                </w:p>
              </w:tc>
              <w:tc>
                <w:tcPr>
                  <w:tcW w:w="670" w:type="pct"/>
                  <w:shd w:val="clear" w:color="auto" w:fill="auto"/>
                  <w:vAlign w:val="center"/>
                </w:tcPr>
                <w:p w14:paraId="47F5D1C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109.4%</w:t>
                  </w:r>
                </w:p>
              </w:tc>
              <w:tc>
                <w:tcPr>
                  <w:tcW w:w="670" w:type="pct"/>
                  <w:vAlign w:val="center"/>
                </w:tcPr>
                <w:p w14:paraId="56A28FE8">
                  <w:pPr>
                    <w:pStyle w:val="46"/>
                    <w:spacing w:before="24" w:after="24" w:line="240" w:lineRule="auto"/>
                    <w:rPr>
                      <w:rFonts w:ascii="Times New Roman"/>
                      <w:snapToGrid w:val="0"/>
                      <w:color w:val="auto"/>
                      <w:szCs w:val="21"/>
                    </w:rPr>
                  </w:pPr>
                  <w:r>
                    <w:rPr>
                      <w:rFonts w:ascii="Times New Roman"/>
                      <w:snapToGrid w:val="0"/>
                      <w:color w:val="auto"/>
                      <w:szCs w:val="21"/>
                    </w:rPr>
                    <w:t>不达标</w:t>
                  </w:r>
                </w:p>
              </w:tc>
            </w:tr>
          </w:tbl>
          <w:p w14:paraId="54156B88">
            <w:pPr>
              <w:ind w:firstLine="480"/>
              <w:rPr>
                <w:color w:val="auto"/>
              </w:rPr>
            </w:pPr>
            <w:r>
              <w:rPr>
                <w:rFonts w:cs="宋体"/>
                <w:color w:val="auto"/>
                <w:kern w:val="0"/>
                <w:sz w:val="24"/>
                <w:szCs w:val="32"/>
              </w:rPr>
              <w:t>由</w:t>
            </w:r>
            <w:r>
              <w:rPr>
                <w:rFonts w:hint="eastAsia" w:cs="宋体"/>
                <w:color w:val="auto"/>
                <w:kern w:val="0"/>
                <w:sz w:val="24"/>
                <w:szCs w:val="32"/>
              </w:rPr>
              <w:t>上表</w:t>
            </w:r>
            <w:r>
              <w:rPr>
                <w:rFonts w:cs="宋体"/>
                <w:color w:val="auto"/>
                <w:kern w:val="0"/>
                <w:sz w:val="24"/>
                <w:szCs w:val="32"/>
              </w:rPr>
              <w:t>可知，SO</w:t>
            </w:r>
            <w:r>
              <w:rPr>
                <w:rFonts w:cs="宋体"/>
                <w:color w:val="auto"/>
                <w:kern w:val="0"/>
                <w:sz w:val="24"/>
                <w:szCs w:val="32"/>
                <w:vertAlign w:val="subscript"/>
              </w:rPr>
              <w:t>2</w:t>
            </w:r>
            <w:r>
              <w:rPr>
                <w:rFonts w:cs="宋体"/>
                <w:color w:val="auto"/>
                <w:kern w:val="0"/>
                <w:sz w:val="24"/>
                <w:szCs w:val="32"/>
              </w:rPr>
              <w:t>、NO</w:t>
            </w:r>
            <w:r>
              <w:rPr>
                <w:rFonts w:cs="宋体"/>
                <w:color w:val="auto"/>
                <w:kern w:val="0"/>
                <w:sz w:val="24"/>
                <w:szCs w:val="32"/>
                <w:vertAlign w:val="subscript"/>
              </w:rPr>
              <w:t>2</w:t>
            </w:r>
            <w:r>
              <w:rPr>
                <w:rFonts w:cs="宋体"/>
                <w:color w:val="auto"/>
                <w:kern w:val="0"/>
                <w:sz w:val="24"/>
                <w:szCs w:val="32"/>
              </w:rPr>
              <w:t>、CO、PM</w:t>
            </w:r>
            <w:r>
              <w:rPr>
                <w:rFonts w:cs="宋体"/>
                <w:color w:val="auto"/>
                <w:kern w:val="0"/>
                <w:sz w:val="24"/>
                <w:szCs w:val="32"/>
                <w:vertAlign w:val="subscript"/>
              </w:rPr>
              <w:t>10</w:t>
            </w:r>
            <w:r>
              <w:rPr>
                <w:rFonts w:cs="宋体"/>
                <w:color w:val="auto"/>
                <w:kern w:val="0"/>
                <w:sz w:val="24"/>
                <w:szCs w:val="32"/>
              </w:rPr>
              <w:t>评价指标均能满足《环境空气质量标准》（GB3095-2012）及其修改单二级标准；PM</w:t>
            </w:r>
            <w:r>
              <w:rPr>
                <w:rFonts w:cs="宋体"/>
                <w:color w:val="auto"/>
                <w:kern w:val="0"/>
                <w:sz w:val="24"/>
                <w:szCs w:val="32"/>
                <w:vertAlign w:val="subscript"/>
              </w:rPr>
              <w:t>2.5</w:t>
            </w:r>
            <w:r>
              <w:rPr>
                <w:rFonts w:cs="宋体"/>
                <w:color w:val="auto"/>
                <w:kern w:val="0"/>
                <w:sz w:val="24"/>
                <w:szCs w:val="32"/>
              </w:rPr>
              <w:t>、O</w:t>
            </w:r>
            <w:r>
              <w:rPr>
                <w:rFonts w:cs="宋体"/>
                <w:color w:val="auto"/>
                <w:kern w:val="0"/>
                <w:sz w:val="24"/>
                <w:szCs w:val="32"/>
                <w:vertAlign w:val="subscript"/>
              </w:rPr>
              <w:t>3</w:t>
            </w:r>
            <w:r>
              <w:rPr>
                <w:rFonts w:cs="宋体"/>
                <w:color w:val="auto"/>
                <w:kern w:val="0"/>
                <w:sz w:val="24"/>
                <w:szCs w:val="32"/>
              </w:rPr>
              <w:t>评价指标</w:t>
            </w:r>
            <w:r>
              <w:rPr>
                <w:rFonts w:hint="eastAsia" w:cs="宋体"/>
                <w:color w:val="auto"/>
                <w:kern w:val="0"/>
                <w:sz w:val="24"/>
                <w:szCs w:val="32"/>
              </w:rPr>
              <w:t>均</w:t>
            </w:r>
            <w:r>
              <w:rPr>
                <w:rFonts w:cs="宋体"/>
                <w:color w:val="auto"/>
                <w:kern w:val="0"/>
                <w:sz w:val="24"/>
                <w:szCs w:val="32"/>
              </w:rPr>
              <w:t>不能满足《环境空气质量标准》（GB3095-2012）二级标准限值要求，因此，淮北市</w:t>
            </w:r>
            <w:r>
              <w:rPr>
                <w:rFonts w:hint="eastAsia" w:cs="宋体"/>
                <w:color w:val="auto"/>
                <w:kern w:val="0"/>
                <w:sz w:val="24"/>
                <w:szCs w:val="32"/>
              </w:rPr>
              <w:t>2024年</w:t>
            </w:r>
            <w:r>
              <w:rPr>
                <w:rFonts w:cs="宋体"/>
                <w:color w:val="auto"/>
                <w:kern w:val="0"/>
                <w:sz w:val="24"/>
                <w:szCs w:val="32"/>
              </w:rPr>
              <w:t>属于环境空气不达标区域。</w:t>
            </w:r>
          </w:p>
          <w:p w14:paraId="38AF9077">
            <w:pPr>
              <w:numPr>
                <w:ilvl w:val="0"/>
                <w:numId w:val="4"/>
              </w:numPr>
              <w:ind w:firstLine="480"/>
              <w:rPr>
                <w:rFonts w:hint="eastAsia"/>
                <w:color w:val="auto"/>
              </w:rPr>
            </w:pPr>
            <w:r>
              <w:rPr>
                <w:rFonts w:hint="eastAsia"/>
                <w:color w:val="auto"/>
              </w:rPr>
              <w:t>特征污染物质量现状</w:t>
            </w:r>
          </w:p>
          <w:p w14:paraId="1D8F8C2A">
            <w:pPr>
              <w:ind w:firstLine="480"/>
              <w:rPr>
                <w:rFonts w:hint="eastAsia" w:hAnsi="宋体"/>
                <w:color w:val="auto"/>
                <w:szCs w:val="20"/>
              </w:rPr>
            </w:pPr>
            <w:r>
              <w:rPr>
                <w:color w:val="auto"/>
                <w:sz w:val="24"/>
              </w:rPr>
              <w:t>本项目区域环境空气</w:t>
            </w:r>
            <w:r>
              <w:rPr>
                <w:rFonts w:hint="eastAsia"/>
                <w:color w:val="auto"/>
                <w:sz w:val="24"/>
              </w:rPr>
              <w:t>TSP</w:t>
            </w:r>
            <w:r>
              <w:rPr>
                <w:color w:val="auto"/>
                <w:sz w:val="24"/>
              </w:rPr>
              <w:t>质量现状引用</w:t>
            </w:r>
            <w:r>
              <w:rPr>
                <w:rFonts w:hint="eastAsia"/>
                <w:color w:val="auto"/>
                <w:sz w:val="24"/>
              </w:rPr>
              <w:t>《安徽淮北高新技术产业开发区环境影响区域评估报告》中现状监测数据，监测日期为2023年12月19日至12月25日，连续监测3天。</w:t>
            </w:r>
            <w:r>
              <w:rPr>
                <w:rFonts w:hint="eastAsia"/>
                <w:color w:val="auto"/>
                <w:sz w:val="24"/>
                <w:lang w:val="en-US" w:eastAsia="zh-CN"/>
              </w:rPr>
              <w:t>监测点石台村</w:t>
            </w:r>
            <w:r>
              <w:rPr>
                <w:rFonts w:hint="eastAsia"/>
                <w:color w:val="auto"/>
                <w:sz w:val="24"/>
              </w:rPr>
              <w:t>直线距离</w:t>
            </w:r>
            <w:r>
              <w:rPr>
                <w:rFonts w:hint="eastAsia"/>
                <w:color w:val="auto"/>
                <w:sz w:val="24"/>
                <w:lang w:val="en-US" w:eastAsia="zh-CN"/>
              </w:rPr>
              <w:t>本项目厂界</w:t>
            </w:r>
            <w:r>
              <w:rPr>
                <w:rFonts w:hint="eastAsia"/>
                <w:color w:val="auto"/>
                <w:sz w:val="24"/>
              </w:rPr>
              <w:t>为</w:t>
            </w:r>
            <w:r>
              <w:rPr>
                <w:rFonts w:hint="eastAsia"/>
                <w:color w:val="auto"/>
                <w:sz w:val="24"/>
                <w:lang w:val="en-US" w:eastAsia="zh-CN"/>
              </w:rPr>
              <w:t>32</w:t>
            </w:r>
            <w:r>
              <w:rPr>
                <w:rFonts w:hint="eastAsia"/>
                <w:color w:val="auto"/>
                <w:sz w:val="24"/>
              </w:rPr>
              <w:t>0</w:t>
            </w:r>
            <w:r>
              <w:rPr>
                <w:rFonts w:hint="eastAsia"/>
                <w:color w:val="auto"/>
                <w:sz w:val="24"/>
                <w:lang w:val="en-US" w:eastAsia="zh-CN"/>
              </w:rPr>
              <w:t>0</w:t>
            </w:r>
            <w:r>
              <w:rPr>
                <w:rFonts w:hint="eastAsia"/>
                <w:color w:val="auto"/>
                <w:sz w:val="24"/>
              </w:rPr>
              <w:t>m，</w:t>
            </w:r>
            <w:r>
              <w:rPr>
                <w:color w:val="auto"/>
                <w:sz w:val="24"/>
              </w:rPr>
              <w:t>因此引用该项目监测数据具有可行性</w:t>
            </w:r>
            <w:r>
              <w:rPr>
                <w:rFonts w:hint="eastAsia" w:hAnsi="宋体"/>
                <w:color w:val="auto"/>
                <w:szCs w:val="20"/>
              </w:rPr>
              <w:t>。具体监测点位及监测结果如下。</w:t>
            </w:r>
          </w:p>
          <w:p w14:paraId="5434B797">
            <w:pPr>
              <w:ind w:firstLine="0" w:firstLineChars="0"/>
              <w:jc w:val="both"/>
              <w:rPr>
                <w:rFonts w:hint="eastAsia"/>
                <w:b/>
                <w:bCs/>
                <w:color w:val="auto"/>
                <w:kern w:val="0"/>
                <w:szCs w:val="21"/>
                <w:lang w:eastAsia="zh-CN"/>
              </w:rPr>
            </w:pPr>
            <w:r>
              <w:drawing>
                <wp:inline distT="0" distB="0" distL="114300" distR="114300">
                  <wp:extent cx="5238750" cy="3608070"/>
                  <wp:effectExtent l="0" t="0" r="0" b="1143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19"/>
                          <a:stretch>
                            <a:fillRect/>
                          </a:stretch>
                        </pic:blipFill>
                        <pic:spPr>
                          <a:xfrm>
                            <a:off x="0" y="0"/>
                            <a:ext cx="5238750" cy="3608070"/>
                          </a:xfrm>
                          <a:prstGeom prst="rect">
                            <a:avLst/>
                          </a:prstGeom>
                          <a:noFill/>
                          <a:ln>
                            <a:noFill/>
                          </a:ln>
                        </pic:spPr>
                      </pic:pic>
                    </a:graphicData>
                  </a:graphic>
                </wp:inline>
              </w:drawing>
            </w:r>
          </w:p>
          <w:p w14:paraId="72C2A077">
            <w:pPr>
              <w:ind w:firstLine="0" w:firstLineChars="0"/>
              <w:jc w:val="center"/>
              <w:rPr>
                <w:rFonts w:hint="default" w:eastAsia="宋体"/>
                <w:b/>
                <w:bCs/>
                <w:color w:val="auto"/>
                <w:kern w:val="0"/>
                <w:szCs w:val="21"/>
                <w:lang w:val="en-US" w:eastAsia="zh-CN"/>
              </w:rPr>
            </w:pPr>
            <w:r>
              <w:rPr>
                <w:rFonts w:hint="eastAsia"/>
                <w:b/>
                <w:bCs/>
                <w:color w:val="auto"/>
                <w:kern w:val="0"/>
                <w:szCs w:val="21"/>
                <w:lang w:eastAsia="zh-CN"/>
              </w:rPr>
              <w:t>图</w:t>
            </w:r>
            <w:r>
              <w:rPr>
                <w:rFonts w:hint="eastAsia"/>
                <w:b/>
                <w:bCs/>
                <w:color w:val="auto"/>
                <w:kern w:val="0"/>
                <w:szCs w:val="21"/>
                <w:lang w:val="en-US" w:eastAsia="zh-CN"/>
              </w:rPr>
              <w:t>3-1 环境空气特征因子现状监测点位图</w:t>
            </w:r>
          </w:p>
          <w:p w14:paraId="742A6C83">
            <w:pPr>
              <w:widowControl/>
              <w:numPr>
                <w:ilvl w:val="0"/>
                <w:numId w:val="0"/>
              </w:numPr>
              <w:ind w:left="420" w:leftChars="0" w:hanging="420" w:firstLineChars="0"/>
              <w:jc w:val="center"/>
              <w:rPr>
                <w:b/>
                <w:color w:val="auto"/>
                <w:kern w:val="0"/>
                <w:szCs w:val="21"/>
              </w:rPr>
            </w:pPr>
            <w:r>
              <w:rPr>
                <w:rFonts w:hint="eastAsia"/>
                <w:b/>
                <w:bCs/>
                <w:color w:val="auto"/>
                <w:kern w:val="0"/>
                <w:szCs w:val="21"/>
              </w:rPr>
              <w:t>表</w:t>
            </w:r>
            <w:r>
              <w:rPr>
                <w:rFonts w:hint="eastAsia"/>
                <w:b/>
                <w:bCs/>
                <w:color w:val="auto"/>
                <w:kern w:val="0"/>
                <w:szCs w:val="21"/>
                <w:lang w:val="en-US" w:eastAsia="zh-CN"/>
              </w:rPr>
              <w:t>3-2</w:t>
            </w:r>
            <w:r>
              <w:rPr>
                <w:rFonts w:hint="eastAsia" w:hAnsi="宋体"/>
                <w:b/>
                <w:bCs/>
                <w:color w:val="auto"/>
                <w:szCs w:val="20"/>
              </w:rPr>
              <w:t xml:space="preserve">  </w:t>
            </w:r>
            <w:r>
              <w:rPr>
                <w:rFonts w:hint="eastAsia"/>
                <w:b/>
                <w:color w:val="auto"/>
                <w:kern w:val="0"/>
                <w:szCs w:val="21"/>
              </w:rPr>
              <w:t>TSP质量现状监测结果</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1654"/>
              <w:gridCol w:w="5460"/>
            </w:tblGrid>
            <w:tr w14:paraId="37A4F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1685" w:type="pct"/>
                  <w:gridSpan w:val="2"/>
                  <w:vMerge w:val="restart"/>
                  <w:vAlign w:val="center"/>
                </w:tcPr>
                <w:p w14:paraId="079EC569">
                  <w:pPr>
                    <w:spacing w:line="240" w:lineRule="auto"/>
                    <w:jc w:val="center"/>
                    <w:rPr>
                      <w:b/>
                      <w:bCs/>
                      <w:color w:val="auto"/>
                      <w:sz w:val="21"/>
                      <w:szCs w:val="18"/>
                    </w:rPr>
                  </w:pPr>
                  <w:r>
                    <w:rPr>
                      <w:rFonts w:hint="eastAsia"/>
                      <w:b/>
                      <w:bCs/>
                      <w:color w:val="auto"/>
                      <w:sz w:val="21"/>
                      <w:szCs w:val="18"/>
                    </w:rPr>
                    <w:t>检测</w:t>
                  </w:r>
                </w:p>
              </w:tc>
              <w:tc>
                <w:tcPr>
                  <w:tcW w:w="3314" w:type="pct"/>
                  <w:vAlign w:val="center"/>
                </w:tcPr>
                <w:p w14:paraId="3DEE65A4">
                  <w:pPr>
                    <w:spacing w:line="240" w:lineRule="auto"/>
                    <w:jc w:val="center"/>
                    <w:rPr>
                      <w:b/>
                      <w:bCs/>
                      <w:color w:val="auto"/>
                      <w:sz w:val="21"/>
                      <w:szCs w:val="18"/>
                    </w:rPr>
                  </w:pPr>
                  <w:r>
                    <w:rPr>
                      <w:rFonts w:hint="eastAsia"/>
                      <w:b/>
                      <w:bCs/>
                      <w:color w:val="auto"/>
                      <w:sz w:val="21"/>
                      <w:szCs w:val="18"/>
                    </w:rPr>
                    <w:t>24小时平均浓度（μg/m³）</w:t>
                  </w:r>
                </w:p>
              </w:tc>
            </w:tr>
            <w:tr w14:paraId="582D9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1685" w:type="pct"/>
                  <w:gridSpan w:val="2"/>
                  <w:vMerge w:val="continue"/>
                  <w:vAlign w:val="center"/>
                </w:tcPr>
                <w:p w14:paraId="73AD5B28">
                  <w:pPr>
                    <w:spacing w:line="240" w:lineRule="auto"/>
                    <w:jc w:val="center"/>
                    <w:rPr>
                      <w:b/>
                      <w:bCs/>
                      <w:color w:val="auto"/>
                      <w:sz w:val="21"/>
                      <w:szCs w:val="18"/>
                    </w:rPr>
                  </w:pPr>
                </w:p>
              </w:tc>
              <w:tc>
                <w:tcPr>
                  <w:tcW w:w="3314" w:type="pct"/>
                  <w:vAlign w:val="center"/>
                </w:tcPr>
                <w:p w14:paraId="0F6905F6">
                  <w:pPr>
                    <w:spacing w:line="240" w:lineRule="auto"/>
                    <w:jc w:val="center"/>
                    <w:rPr>
                      <w:b/>
                      <w:bCs/>
                      <w:color w:val="auto"/>
                      <w:sz w:val="21"/>
                      <w:szCs w:val="18"/>
                    </w:rPr>
                  </w:pPr>
                  <w:r>
                    <w:rPr>
                      <w:rFonts w:hint="eastAsia"/>
                      <w:b/>
                      <w:bCs/>
                      <w:color w:val="auto"/>
                      <w:sz w:val="21"/>
                      <w:szCs w:val="18"/>
                    </w:rPr>
                    <w:t>总悬浮颗粒物（TSP）</w:t>
                  </w:r>
                </w:p>
              </w:tc>
            </w:tr>
            <w:tr w14:paraId="045D2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blHeader/>
              </w:trPr>
              <w:tc>
                <w:tcPr>
                  <w:tcW w:w="681" w:type="pct"/>
                  <w:vAlign w:val="center"/>
                </w:tcPr>
                <w:p w14:paraId="4A777B8C">
                  <w:pPr>
                    <w:spacing w:line="240" w:lineRule="auto"/>
                    <w:jc w:val="center"/>
                    <w:rPr>
                      <w:color w:val="auto"/>
                      <w:sz w:val="21"/>
                      <w:szCs w:val="18"/>
                    </w:rPr>
                  </w:pPr>
                  <w:r>
                    <w:rPr>
                      <w:rFonts w:hint="eastAsia"/>
                      <w:color w:val="auto"/>
                      <w:sz w:val="21"/>
                      <w:szCs w:val="18"/>
                    </w:rPr>
                    <w:t>编号</w:t>
                  </w:r>
                </w:p>
              </w:tc>
              <w:tc>
                <w:tcPr>
                  <w:tcW w:w="1004" w:type="pct"/>
                  <w:vAlign w:val="center"/>
                </w:tcPr>
                <w:p w14:paraId="1EEDADB3">
                  <w:pPr>
                    <w:spacing w:line="240" w:lineRule="auto"/>
                    <w:jc w:val="center"/>
                    <w:rPr>
                      <w:color w:val="auto"/>
                      <w:sz w:val="21"/>
                      <w:szCs w:val="18"/>
                    </w:rPr>
                  </w:pPr>
                  <w:r>
                    <w:rPr>
                      <w:rFonts w:hint="eastAsia"/>
                      <w:color w:val="auto"/>
                      <w:sz w:val="21"/>
                      <w:szCs w:val="18"/>
                    </w:rPr>
                    <w:t>点位</w:t>
                  </w:r>
                </w:p>
              </w:tc>
              <w:tc>
                <w:tcPr>
                  <w:tcW w:w="3314" w:type="pct"/>
                  <w:vAlign w:val="center"/>
                </w:tcPr>
                <w:p w14:paraId="7B506EE6">
                  <w:pPr>
                    <w:spacing w:line="240" w:lineRule="auto"/>
                    <w:jc w:val="center"/>
                    <w:rPr>
                      <w:color w:val="auto"/>
                      <w:sz w:val="21"/>
                      <w:szCs w:val="18"/>
                    </w:rPr>
                  </w:pPr>
                  <w:r>
                    <w:rPr>
                      <w:rFonts w:hint="eastAsia"/>
                      <w:color w:val="auto"/>
                      <w:sz w:val="21"/>
                      <w:szCs w:val="18"/>
                    </w:rPr>
                    <w:t>浓度范围</w:t>
                  </w:r>
                </w:p>
              </w:tc>
            </w:tr>
            <w:tr w14:paraId="17BED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81" w:type="pct"/>
                  <w:vAlign w:val="center"/>
                </w:tcPr>
                <w:p w14:paraId="7D5D305F">
                  <w:pPr>
                    <w:spacing w:line="240" w:lineRule="auto"/>
                    <w:jc w:val="center"/>
                    <w:rPr>
                      <w:rFonts w:hint="eastAsia" w:eastAsia="宋体"/>
                      <w:color w:val="auto"/>
                      <w:sz w:val="21"/>
                      <w:szCs w:val="18"/>
                      <w:lang w:eastAsia="zh-CN"/>
                    </w:rPr>
                  </w:pPr>
                  <w:r>
                    <w:rPr>
                      <w:color w:val="auto"/>
                      <w:sz w:val="21"/>
                      <w:szCs w:val="18"/>
                    </w:rPr>
                    <w:t>G</w:t>
                  </w:r>
                  <w:r>
                    <w:rPr>
                      <w:rFonts w:hint="eastAsia"/>
                      <w:color w:val="auto"/>
                      <w:sz w:val="21"/>
                      <w:szCs w:val="18"/>
                      <w:lang w:val="en-US" w:eastAsia="zh-CN"/>
                    </w:rPr>
                    <w:t>1</w:t>
                  </w:r>
                </w:p>
              </w:tc>
              <w:tc>
                <w:tcPr>
                  <w:tcW w:w="1004" w:type="pct"/>
                  <w:vAlign w:val="center"/>
                </w:tcPr>
                <w:p w14:paraId="5144D957">
                  <w:pPr>
                    <w:spacing w:line="240" w:lineRule="auto"/>
                    <w:jc w:val="center"/>
                    <w:rPr>
                      <w:color w:val="auto"/>
                      <w:sz w:val="21"/>
                      <w:szCs w:val="18"/>
                    </w:rPr>
                  </w:pPr>
                  <w:r>
                    <w:rPr>
                      <w:rFonts w:hint="eastAsia"/>
                      <w:color w:val="auto"/>
                      <w:sz w:val="21"/>
                      <w:szCs w:val="18"/>
                      <w:lang w:val="en-US" w:eastAsia="zh-CN"/>
                    </w:rPr>
                    <w:t>石台</w:t>
                  </w:r>
                  <w:r>
                    <w:rPr>
                      <w:rFonts w:hint="eastAsia"/>
                      <w:color w:val="auto"/>
                      <w:sz w:val="21"/>
                      <w:szCs w:val="18"/>
                    </w:rPr>
                    <w:t>村</w:t>
                  </w:r>
                </w:p>
              </w:tc>
              <w:tc>
                <w:tcPr>
                  <w:tcW w:w="3314" w:type="pct"/>
                  <w:vAlign w:val="center"/>
                </w:tcPr>
                <w:p w14:paraId="36ABE4E5">
                  <w:pPr>
                    <w:spacing w:line="240" w:lineRule="auto"/>
                    <w:jc w:val="center"/>
                    <w:rPr>
                      <w:rFonts w:hint="default" w:eastAsia="宋体"/>
                      <w:color w:val="auto"/>
                      <w:sz w:val="21"/>
                      <w:szCs w:val="18"/>
                      <w:lang w:val="en-US" w:eastAsia="zh-CN"/>
                    </w:rPr>
                  </w:pPr>
                  <w:r>
                    <w:rPr>
                      <w:rFonts w:hint="eastAsia"/>
                      <w:color w:val="auto"/>
                      <w:sz w:val="21"/>
                      <w:szCs w:val="18"/>
                    </w:rPr>
                    <w:t>1</w:t>
                  </w:r>
                  <w:r>
                    <w:rPr>
                      <w:rFonts w:hint="eastAsia"/>
                      <w:color w:val="auto"/>
                      <w:sz w:val="21"/>
                      <w:szCs w:val="18"/>
                      <w:lang w:val="en-US" w:eastAsia="zh-CN"/>
                    </w:rPr>
                    <w:t>50</w:t>
                  </w:r>
                  <w:r>
                    <w:rPr>
                      <w:color w:val="auto"/>
                      <w:sz w:val="21"/>
                      <w:szCs w:val="18"/>
                    </w:rPr>
                    <w:t>~</w:t>
                  </w:r>
                  <w:r>
                    <w:rPr>
                      <w:rFonts w:hint="eastAsia"/>
                      <w:color w:val="auto"/>
                      <w:sz w:val="21"/>
                      <w:szCs w:val="18"/>
                    </w:rPr>
                    <w:t>1</w:t>
                  </w:r>
                  <w:r>
                    <w:rPr>
                      <w:rFonts w:hint="eastAsia"/>
                      <w:color w:val="auto"/>
                      <w:sz w:val="21"/>
                      <w:szCs w:val="18"/>
                      <w:lang w:val="en-US" w:eastAsia="zh-CN"/>
                    </w:rPr>
                    <w:t>69</w:t>
                  </w:r>
                </w:p>
              </w:tc>
            </w:tr>
            <w:tr w14:paraId="7A47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85" w:type="pct"/>
                  <w:gridSpan w:val="2"/>
                  <w:vAlign w:val="center"/>
                </w:tcPr>
                <w:p w14:paraId="44FE64BC">
                  <w:pPr>
                    <w:spacing w:line="240" w:lineRule="auto"/>
                    <w:jc w:val="center"/>
                    <w:rPr>
                      <w:color w:val="auto"/>
                      <w:sz w:val="21"/>
                      <w:szCs w:val="18"/>
                    </w:rPr>
                  </w:pPr>
                  <w:r>
                    <w:rPr>
                      <w:rFonts w:hint="eastAsia"/>
                      <w:color w:val="auto"/>
                      <w:sz w:val="21"/>
                      <w:szCs w:val="18"/>
                    </w:rPr>
                    <w:t>标准限值</w:t>
                  </w:r>
                </w:p>
              </w:tc>
              <w:tc>
                <w:tcPr>
                  <w:tcW w:w="3314" w:type="pct"/>
                  <w:vAlign w:val="center"/>
                </w:tcPr>
                <w:p w14:paraId="1E2E69AD">
                  <w:pPr>
                    <w:spacing w:line="240" w:lineRule="auto"/>
                    <w:jc w:val="center"/>
                    <w:rPr>
                      <w:color w:val="auto"/>
                      <w:sz w:val="21"/>
                      <w:szCs w:val="18"/>
                    </w:rPr>
                  </w:pPr>
                  <w:r>
                    <w:rPr>
                      <w:rFonts w:hint="eastAsia"/>
                      <w:color w:val="auto"/>
                      <w:sz w:val="21"/>
                      <w:szCs w:val="18"/>
                    </w:rPr>
                    <w:t>300</w:t>
                  </w:r>
                </w:p>
              </w:tc>
            </w:tr>
          </w:tbl>
          <w:p w14:paraId="3921D1E1">
            <w:pPr>
              <w:ind w:firstLine="480"/>
              <w:rPr>
                <w:rFonts w:hint="eastAsia"/>
                <w:color w:val="auto"/>
              </w:rPr>
            </w:pPr>
            <w:r>
              <w:rPr>
                <w:rFonts w:hint="eastAsia"/>
                <w:color w:val="auto"/>
              </w:rPr>
              <w:t>根据以上引用监测结果，监测期间项目所在区域环境空气TSP的24小时平均浓度满足《环境空气质量标准》（GB3095-20</w:t>
            </w:r>
            <w:r>
              <w:rPr>
                <w:rFonts w:hint="eastAsia"/>
                <w:color w:val="auto"/>
                <w:lang w:val="en-US" w:eastAsia="zh-CN"/>
              </w:rPr>
              <w:t>26</w:t>
            </w:r>
            <w:r>
              <w:rPr>
                <w:rFonts w:hint="eastAsia"/>
                <w:color w:val="auto"/>
              </w:rPr>
              <w:t>）中的二级标准要求。</w:t>
            </w:r>
          </w:p>
          <w:p w14:paraId="6717B114">
            <w:pPr>
              <w:numPr>
                <w:ilvl w:val="0"/>
                <w:numId w:val="3"/>
              </w:numPr>
              <w:ind w:firstLine="0" w:firstLineChars="0"/>
              <w:rPr>
                <w:rFonts w:hint="eastAsia"/>
                <w:b/>
                <w:bCs/>
                <w:color w:val="auto"/>
              </w:rPr>
            </w:pPr>
            <w:r>
              <w:rPr>
                <w:rFonts w:hint="eastAsia"/>
                <w:b/>
                <w:bCs/>
                <w:color w:val="auto"/>
              </w:rPr>
              <w:t>水环境质量现状</w:t>
            </w:r>
          </w:p>
          <w:p w14:paraId="59914778">
            <w:pPr>
              <w:ind w:firstLine="480"/>
              <w:rPr>
                <w:rFonts w:hint="eastAsia"/>
                <w:color w:val="auto"/>
              </w:rPr>
            </w:pPr>
            <w:r>
              <w:rPr>
                <w:rFonts w:hint="eastAsia"/>
                <w:color w:val="auto"/>
              </w:rPr>
              <w:t>区域地表水龙河环境质量状况引用《淮北高新技术产业开发区2023年度环境监测检测报告》中龙河的监测数据，该报告中监测时间为2023年</w:t>
            </w:r>
            <w:r>
              <w:rPr>
                <w:rFonts w:hint="eastAsia"/>
                <w:color w:val="auto"/>
                <w:lang w:val="en-US" w:eastAsia="zh-CN"/>
              </w:rPr>
              <w:t>12</w:t>
            </w:r>
            <w:r>
              <w:rPr>
                <w:rFonts w:hint="eastAsia"/>
                <w:color w:val="auto"/>
              </w:rPr>
              <w:t>月1</w:t>
            </w:r>
            <w:r>
              <w:rPr>
                <w:rFonts w:hint="eastAsia"/>
                <w:color w:val="auto"/>
                <w:lang w:val="en-US" w:eastAsia="zh-CN"/>
              </w:rPr>
              <w:t>1</w:t>
            </w:r>
            <w:r>
              <w:rPr>
                <w:rFonts w:hint="eastAsia"/>
                <w:color w:val="auto"/>
              </w:rPr>
              <w:t>日～</w:t>
            </w:r>
            <w:r>
              <w:rPr>
                <w:rFonts w:hint="eastAsia"/>
                <w:color w:val="auto"/>
                <w:lang w:val="en-US" w:eastAsia="zh-CN"/>
              </w:rPr>
              <w:t>13</w:t>
            </w:r>
            <w:r>
              <w:rPr>
                <w:rFonts w:hint="eastAsia"/>
                <w:color w:val="auto"/>
              </w:rPr>
              <w:t>日。地表水监测断面设置情况见下表。</w:t>
            </w:r>
          </w:p>
          <w:p w14:paraId="3BD4BBBF">
            <w:pPr>
              <w:jc w:val="center"/>
              <w:rPr>
                <w:rFonts w:hint="eastAsia"/>
                <w:b/>
                <w:bCs/>
                <w:color w:val="auto"/>
              </w:rPr>
            </w:pPr>
            <w:r>
              <w:rPr>
                <w:rFonts w:hint="eastAsia"/>
                <w:b/>
                <w:bCs/>
                <w:color w:val="auto"/>
                <w:lang w:val="en-US" w:eastAsia="zh-CN"/>
              </w:rPr>
              <w:t>表3-3</w:t>
            </w:r>
            <w:r>
              <w:rPr>
                <w:rFonts w:hint="eastAsia"/>
                <w:b/>
                <w:bCs/>
                <w:color w:val="auto"/>
              </w:rPr>
              <w:t>地表水监测断面设置情况一览表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238"/>
              <w:gridCol w:w="3598"/>
              <w:gridCol w:w="2665"/>
            </w:tblGrid>
            <w:tr w14:paraId="61F17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tcBorders>
                    <w:tl2br w:val="nil"/>
                    <w:tr2bl w:val="nil"/>
                  </w:tcBorders>
                  <w:vAlign w:val="center"/>
                </w:tcPr>
                <w:p w14:paraId="791DECC5">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b/>
                      <w:bCs/>
                      <w:color w:val="auto"/>
                      <w:sz w:val="21"/>
                      <w:szCs w:val="21"/>
                    </w:rPr>
                  </w:pPr>
                  <w:r>
                    <w:rPr>
                      <w:rFonts w:hint="eastAsia"/>
                      <w:b/>
                      <w:bCs/>
                      <w:color w:val="auto"/>
                      <w:sz w:val="21"/>
                      <w:szCs w:val="21"/>
                    </w:rPr>
                    <w:t>河流</w:t>
                  </w:r>
                </w:p>
              </w:tc>
              <w:tc>
                <w:tcPr>
                  <w:tcW w:w="1238" w:type="dxa"/>
                  <w:tcBorders>
                    <w:tl2br w:val="nil"/>
                    <w:tr2bl w:val="nil"/>
                  </w:tcBorders>
                  <w:vAlign w:val="center"/>
                </w:tcPr>
                <w:p w14:paraId="3E12A69B">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b/>
                      <w:bCs/>
                      <w:color w:val="auto"/>
                      <w:sz w:val="21"/>
                      <w:szCs w:val="21"/>
                    </w:rPr>
                  </w:pPr>
                  <w:r>
                    <w:rPr>
                      <w:rFonts w:hint="eastAsia"/>
                      <w:b/>
                      <w:bCs/>
                      <w:color w:val="auto"/>
                      <w:sz w:val="21"/>
                      <w:szCs w:val="21"/>
                    </w:rPr>
                    <w:t>断面编号</w:t>
                  </w:r>
                </w:p>
              </w:tc>
              <w:tc>
                <w:tcPr>
                  <w:tcW w:w="3598" w:type="dxa"/>
                  <w:tcBorders>
                    <w:tl2br w:val="nil"/>
                    <w:tr2bl w:val="nil"/>
                  </w:tcBorders>
                  <w:vAlign w:val="center"/>
                </w:tcPr>
                <w:p w14:paraId="145AE84B">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b/>
                      <w:bCs/>
                      <w:color w:val="auto"/>
                      <w:sz w:val="21"/>
                      <w:szCs w:val="21"/>
                    </w:rPr>
                  </w:pPr>
                  <w:r>
                    <w:rPr>
                      <w:rFonts w:hint="eastAsia"/>
                      <w:b/>
                      <w:bCs/>
                      <w:color w:val="auto"/>
                      <w:sz w:val="21"/>
                      <w:szCs w:val="21"/>
                    </w:rPr>
                    <w:t>断面位置</w:t>
                  </w:r>
                </w:p>
              </w:tc>
              <w:tc>
                <w:tcPr>
                  <w:tcW w:w="2665" w:type="dxa"/>
                  <w:tcBorders>
                    <w:tl2br w:val="nil"/>
                    <w:tr2bl w:val="nil"/>
                  </w:tcBorders>
                  <w:vAlign w:val="center"/>
                </w:tcPr>
                <w:p w14:paraId="31F000D0">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b/>
                      <w:bCs/>
                      <w:color w:val="auto"/>
                      <w:sz w:val="21"/>
                      <w:szCs w:val="21"/>
                    </w:rPr>
                  </w:pPr>
                  <w:r>
                    <w:rPr>
                      <w:rFonts w:hint="eastAsia"/>
                      <w:b/>
                      <w:bCs/>
                      <w:color w:val="auto"/>
                      <w:sz w:val="21"/>
                      <w:szCs w:val="21"/>
                    </w:rPr>
                    <w:t>监测因子</w:t>
                  </w:r>
                </w:p>
              </w:tc>
            </w:tr>
            <w:tr w14:paraId="2C136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vMerge w:val="restart"/>
                  <w:tcBorders>
                    <w:tl2br w:val="nil"/>
                    <w:tr2bl w:val="nil"/>
                  </w:tcBorders>
                  <w:vAlign w:val="center"/>
                </w:tcPr>
                <w:p w14:paraId="5053C46B">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z w:val="21"/>
                      <w:szCs w:val="21"/>
                    </w:rPr>
                  </w:pPr>
                  <w:r>
                    <w:rPr>
                      <w:rFonts w:hint="eastAsia"/>
                      <w:color w:val="auto"/>
                      <w:sz w:val="21"/>
                      <w:szCs w:val="21"/>
                    </w:rPr>
                    <w:t>龙河</w:t>
                  </w:r>
                </w:p>
              </w:tc>
              <w:tc>
                <w:tcPr>
                  <w:tcW w:w="1238" w:type="dxa"/>
                  <w:tcBorders>
                    <w:tl2br w:val="nil"/>
                    <w:tr2bl w:val="nil"/>
                  </w:tcBorders>
                  <w:vAlign w:val="center"/>
                </w:tcPr>
                <w:p w14:paraId="4282A42F">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z w:val="21"/>
                      <w:szCs w:val="21"/>
                    </w:rPr>
                  </w:pPr>
                  <w:r>
                    <w:rPr>
                      <w:rFonts w:hint="eastAsia"/>
                      <w:color w:val="auto"/>
                      <w:sz w:val="21"/>
                      <w:szCs w:val="21"/>
                    </w:rPr>
                    <w:t>W1</w:t>
                  </w:r>
                </w:p>
              </w:tc>
              <w:tc>
                <w:tcPr>
                  <w:tcW w:w="3598" w:type="dxa"/>
                  <w:tcBorders>
                    <w:tl2br w:val="nil"/>
                    <w:tr2bl w:val="nil"/>
                  </w:tcBorders>
                  <w:vAlign w:val="center"/>
                </w:tcPr>
                <w:p w14:paraId="5895EB29">
                  <w:pPr>
                    <w:pStyle w:val="7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龙湖工业园污水处理厂排污口上游500m</w:t>
                  </w:r>
                </w:p>
              </w:tc>
              <w:tc>
                <w:tcPr>
                  <w:tcW w:w="2665" w:type="dxa"/>
                  <w:vMerge w:val="restart"/>
                  <w:tcBorders>
                    <w:tl2br w:val="nil"/>
                    <w:tr2bl w:val="nil"/>
                  </w:tcBorders>
                  <w:vAlign w:val="center"/>
                </w:tcPr>
                <w:p w14:paraId="05F7398D">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z w:val="21"/>
                      <w:szCs w:val="21"/>
                    </w:rPr>
                  </w:pPr>
                  <w:r>
                    <w:rPr>
                      <w:rFonts w:hint="eastAsia"/>
                      <w:color w:val="auto"/>
                      <w:sz w:val="21"/>
                      <w:szCs w:val="21"/>
                    </w:rPr>
                    <w:t>pH</w:t>
                  </w:r>
                  <w:r>
                    <w:rPr>
                      <w:rFonts w:hint="eastAsia"/>
                      <w:color w:val="auto"/>
                      <w:sz w:val="21"/>
                      <w:szCs w:val="21"/>
                      <w:lang w:eastAsia="zh-CN"/>
                    </w:rPr>
                    <w:t>、</w:t>
                  </w:r>
                  <w:r>
                    <w:rPr>
                      <w:rFonts w:hint="eastAsia"/>
                      <w:color w:val="auto"/>
                      <w:sz w:val="21"/>
                      <w:szCs w:val="21"/>
                    </w:rPr>
                    <w:t>溶解氧</w:t>
                  </w:r>
                  <w:r>
                    <w:rPr>
                      <w:rFonts w:hint="eastAsia"/>
                      <w:color w:val="auto"/>
                      <w:sz w:val="21"/>
                      <w:szCs w:val="21"/>
                      <w:lang w:eastAsia="zh-CN"/>
                    </w:rPr>
                    <w:t>、</w:t>
                  </w:r>
                  <w:r>
                    <w:rPr>
                      <w:rFonts w:hint="eastAsia"/>
                      <w:color w:val="auto"/>
                      <w:sz w:val="21"/>
                      <w:szCs w:val="21"/>
                    </w:rPr>
                    <w:t>高锰酸钾指数</w:t>
                  </w:r>
                  <w:r>
                    <w:rPr>
                      <w:rFonts w:hint="eastAsia"/>
                      <w:color w:val="auto"/>
                      <w:sz w:val="21"/>
                      <w:szCs w:val="21"/>
                      <w:lang w:eastAsia="zh-CN"/>
                    </w:rPr>
                    <w:t>、</w:t>
                  </w:r>
                  <w:r>
                    <w:rPr>
                      <w:rFonts w:hint="eastAsia"/>
                      <w:color w:val="auto"/>
                      <w:sz w:val="21"/>
                      <w:szCs w:val="21"/>
                    </w:rPr>
                    <w:t>化学需氧量</w:t>
                  </w:r>
                  <w:r>
                    <w:rPr>
                      <w:rFonts w:hint="eastAsia"/>
                      <w:color w:val="auto"/>
                      <w:sz w:val="21"/>
                      <w:szCs w:val="21"/>
                      <w:lang w:eastAsia="zh-CN"/>
                    </w:rPr>
                    <w:t>、</w:t>
                  </w:r>
                  <w:r>
                    <w:rPr>
                      <w:rFonts w:hint="eastAsia"/>
                      <w:color w:val="auto"/>
                      <w:sz w:val="21"/>
                      <w:szCs w:val="21"/>
                    </w:rPr>
                    <w:t>五日生化需氧量</w:t>
                  </w:r>
                  <w:r>
                    <w:rPr>
                      <w:rFonts w:hint="eastAsia"/>
                      <w:color w:val="auto"/>
                      <w:sz w:val="21"/>
                      <w:szCs w:val="21"/>
                      <w:lang w:eastAsia="zh-CN"/>
                    </w:rPr>
                    <w:t>、</w:t>
                  </w:r>
                  <w:r>
                    <w:rPr>
                      <w:rFonts w:hint="eastAsia"/>
                      <w:color w:val="auto"/>
                      <w:sz w:val="21"/>
                      <w:szCs w:val="21"/>
                    </w:rPr>
                    <w:t>氨氮</w:t>
                  </w:r>
                  <w:r>
                    <w:rPr>
                      <w:rFonts w:hint="eastAsia"/>
                      <w:color w:val="auto"/>
                      <w:sz w:val="21"/>
                      <w:szCs w:val="21"/>
                      <w:lang w:eastAsia="zh-CN"/>
                    </w:rPr>
                    <w:t>、</w:t>
                  </w:r>
                  <w:r>
                    <w:rPr>
                      <w:rFonts w:hint="eastAsia"/>
                      <w:color w:val="auto"/>
                      <w:sz w:val="21"/>
                      <w:szCs w:val="21"/>
                    </w:rPr>
                    <w:t>总磷</w:t>
                  </w:r>
                  <w:r>
                    <w:rPr>
                      <w:rFonts w:hint="eastAsia"/>
                      <w:color w:val="auto"/>
                      <w:sz w:val="21"/>
                      <w:szCs w:val="21"/>
                      <w:lang w:eastAsia="zh-CN"/>
                    </w:rPr>
                    <w:t>、</w:t>
                  </w:r>
                  <w:r>
                    <w:rPr>
                      <w:rFonts w:hint="eastAsia"/>
                      <w:color w:val="auto"/>
                      <w:sz w:val="21"/>
                      <w:szCs w:val="21"/>
                    </w:rPr>
                    <w:t>氟化物</w:t>
                  </w:r>
                  <w:r>
                    <w:rPr>
                      <w:rFonts w:hint="eastAsia"/>
                      <w:color w:val="auto"/>
                      <w:sz w:val="21"/>
                      <w:szCs w:val="21"/>
                      <w:lang w:eastAsia="zh-CN"/>
                    </w:rPr>
                    <w:t>、</w:t>
                  </w:r>
                  <w:r>
                    <w:rPr>
                      <w:rFonts w:hint="eastAsia"/>
                      <w:color w:val="auto"/>
                      <w:sz w:val="21"/>
                      <w:szCs w:val="21"/>
                    </w:rPr>
                    <w:t>六价铬</w:t>
                  </w:r>
                  <w:r>
                    <w:rPr>
                      <w:rFonts w:hint="eastAsia"/>
                      <w:color w:val="auto"/>
                      <w:sz w:val="21"/>
                      <w:szCs w:val="21"/>
                      <w:lang w:eastAsia="zh-CN"/>
                    </w:rPr>
                    <w:t>、</w:t>
                  </w:r>
                  <w:r>
                    <w:rPr>
                      <w:rFonts w:hint="eastAsia"/>
                      <w:color w:val="auto"/>
                      <w:sz w:val="21"/>
                      <w:szCs w:val="21"/>
                    </w:rPr>
                    <w:t>氰化物</w:t>
                  </w:r>
                </w:p>
              </w:tc>
            </w:tr>
            <w:tr w14:paraId="3AC99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vMerge w:val="continue"/>
                  <w:tcBorders>
                    <w:tl2br w:val="nil"/>
                    <w:tr2bl w:val="nil"/>
                  </w:tcBorders>
                  <w:vAlign w:val="center"/>
                </w:tcPr>
                <w:p w14:paraId="6BB8BF05">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z w:val="21"/>
                      <w:szCs w:val="21"/>
                    </w:rPr>
                  </w:pPr>
                </w:p>
              </w:tc>
              <w:tc>
                <w:tcPr>
                  <w:tcW w:w="1238" w:type="dxa"/>
                  <w:tcBorders>
                    <w:tl2br w:val="nil"/>
                    <w:tr2bl w:val="nil"/>
                  </w:tcBorders>
                  <w:vAlign w:val="center"/>
                </w:tcPr>
                <w:p w14:paraId="16DDC7E0">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z w:val="21"/>
                      <w:szCs w:val="21"/>
                    </w:rPr>
                  </w:pPr>
                  <w:r>
                    <w:rPr>
                      <w:rFonts w:hint="eastAsia"/>
                      <w:color w:val="auto"/>
                      <w:sz w:val="21"/>
                      <w:szCs w:val="21"/>
                    </w:rPr>
                    <w:t>W2</w:t>
                  </w:r>
                </w:p>
              </w:tc>
              <w:tc>
                <w:tcPr>
                  <w:tcW w:w="3598" w:type="dxa"/>
                  <w:tcBorders>
                    <w:tl2br w:val="nil"/>
                    <w:tr2bl w:val="nil"/>
                  </w:tcBorders>
                  <w:vAlign w:val="center"/>
                </w:tcPr>
                <w:p w14:paraId="58BCE50A">
                  <w:pPr>
                    <w:pStyle w:val="7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龙湖工业园污水处理厂排污口下游500m</w:t>
                  </w:r>
                </w:p>
              </w:tc>
              <w:tc>
                <w:tcPr>
                  <w:tcW w:w="2665" w:type="dxa"/>
                  <w:vMerge w:val="continue"/>
                  <w:tcBorders>
                    <w:tl2br w:val="nil"/>
                    <w:tr2bl w:val="nil"/>
                  </w:tcBorders>
                  <w:vAlign w:val="center"/>
                </w:tcPr>
                <w:p w14:paraId="51E2295B">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color w:val="auto"/>
                      <w:sz w:val="21"/>
                      <w:szCs w:val="21"/>
                    </w:rPr>
                  </w:pPr>
                </w:p>
              </w:tc>
            </w:tr>
            <w:tr w14:paraId="3C244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vMerge w:val="continue"/>
                  <w:tcBorders>
                    <w:tl2br w:val="nil"/>
                    <w:tr2bl w:val="nil"/>
                  </w:tcBorders>
                  <w:vAlign w:val="center"/>
                </w:tcPr>
                <w:p w14:paraId="1ABEDDC3">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z w:val="21"/>
                      <w:szCs w:val="21"/>
                    </w:rPr>
                  </w:pPr>
                </w:p>
              </w:tc>
              <w:tc>
                <w:tcPr>
                  <w:tcW w:w="1238" w:type="dxa"/>
                  <w:tcBorders>
                    <w:tl2br w:val="nil"/>
                    <w:tr2bl w:val="nil"/>
                  </w:tcBorders>
                  <w:vAlign w:val="center"/>
                </w:tcPr>
                <w:p w14:paraId="6D2ED01C">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z w:val="21"/>
                      <w:szCs w:val="21"/>
                    </w:rPr>
                  </w:pPr>
                  <w:r>
                    <w:rPr>
                      <w:rFonts w:hint="eastAsia"/>
                      <w:color w:val="auto"/>
                      <w:sz w:val="21"/>
                      <w:szCs w:val="21"/>
                    </w:rPr>
                    <w:t>W3</w:t>
                  </w:r>
                </w:p>
              </w:tc>
              <w:tc>
                <w:tcPr>
                  <w:tcW w:w="3598" w:type="dxa"/>
                  <w:tcBorders>
                    <w:tl2br w:val="nil"/>
                    <w:tr2bl w:val="nil"/>
                  </w:tcBorders>
                  <w:vAlign w:val="center"/>
                </w:tcPr>
                <w:p w14:paraId="2B7533F7">
                  <w:pPr>
                    <w:pStyle w:val="7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龙湖工业园污水处理厂排污口下游1000m</w:t>
                  </w:r>
                </w:p>
              </w:tc>
              <w:tc>
                <w:tcPr>
                  <w:tcW w:w="2665" w:type="dxa"/>
                  <w:vMerge w:val="continue"/>
                  <w:tcBorders>
                    <w:tl2br w:val="nil"/>
                    <w:tr2bl w:val="nil"/>
                  </w:tcBorders>
                  <w:vAlign w:val="center"/>
                </w:tcPr>
                <w:p w14:paraId="37498D72">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color w:val="auto"/>
                      <w:sz w:val="21"/>
                      <w:szCs w:val="21"/>
                    </w:rPr>
                  </w:pPr>
                </w:p>
              </w:tc>
            </w:tr>
            <w:tr w14:paraId="71A89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vMerge w:val="continue"/>
                  <w:tcBorders>
                    <w:tl2br w:val="nil"/>
                    <w:tr2bl w:val="nil"/>
                  </w:tcBorders>
                  <w:vAlign w:val="center"/>
                </w:tcPr>
                <w:p w14:paraId="06366CF5">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z w:val="21"/>
                      <w:szCs w:val="21"/>
                    </w:rPr>
                  </w:pPr>
                </w:p>
              </w:tc>
              <w:tc>
                <w:tcPr>
                  <w:tcW w:w="1238" w:type="dxa"/>
                  <w:tcBorders>
                    <w:tl2br w:val="nil"/>
                    <w:tr2bl w:val="nil"/>
                  </w:tcBorders>
                  <w:vAlign w:val="center"/>
                </w:tcPr>
                <w:p w14:paraId="109CC912">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olor w:val="auto"/>
                      <w:sz w:val="21"/>
                      <w:szCs w:val="21"/>
                      <w:lang w:val="en-US" w:eastAsia="zh-CN"/>
                    </w:rPr>
                  </w:pPr>
                  <w:r>
                    <w:rPr>
                      <w:rFonts w:hint="eastAsia"/>
                      <w:color w:val="auto"/>
                      <w:sz w:val="21"/>
                      <w:szCs w:val="21"/>
                      <w:lang w:val="en-US" w:eastAsia="zh-CN"/>
                    </w:rPr>
                    <w:t>W4</w:t>
                  </w:r>
                </w:p>
              </w:tc>
              <w:tc>
                <w:tcPr>
                  <w:tcW w:w="3598" w:type="dxa"/>
                  <w:tcBorders>
                    <w:tl2br w:val="nil"/>
                    <w:tr2bl w:val="nil"/>
                  </w:tcBorders>
                  <w:vAlign w:val="center"/>
                </w:tcPr>
                <w:p w14:paraId="17916C32">
                  <w:pPr>
                    <w:pStyle w:val="7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龙湖工业园污水处理厂排污口下游3000m</w:t>
                  </w:r>
                </w:p>
              </w:tc>
              <w:tc>
                <w:tcPr>
                  <w:tcW w:w="2665" w:type="dxa"/>
                  <w:vMerge w:val="continue"/>
                  <w:tcBorders>
                    <w:tl2br w:val="nil"/>
                    <w:tr2bl w:val="nil"/>
                  </w:tcBorders>
                  <w:vAlign w:val="center"/>
                </w:tcPr>
                <w:p w14:paraId="556AD82C">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color w:val="auto"/>
                      <w:sz w:val="21"/>
                      <w:szCs w:val="21"/>
                    </w:rPr>
                  </w:pPr>
                </w:p>
              </w:tc>
            </w:tr>
          </w:tbl>
          <w:p w14:paraId="6A513F65">
            <w:pPr>
              <w:ind w:firstLine="480"/>
              <w:rPr>
                <w:rFonts w:hint="eastAsia"/>
                <w:color w:val="auto"/>
              </w:rPr>
            </w:pPr>
            <w:r>
              <w:rPr>
                <w:rFonts w:hint="eastAsia"/>
                <w:color w:val="auto"/>
              </w:rPr>
              <w:t>区域地表水龙河水质现状监测情况见下表。</w:t>
            </w:r>
          </w:p>
          <w:p w14:paraId="3CD3E021">
            <w:pPr>
              <w:jc w:val="center"/>
              <w:rPr>
                <w:rFonts w:hint="eastAsia"/>
                <w:b/>
                <w:bCs/>
                <w:color w:val="auto"/>
              </w:rPr>
            </w:pPr>
            <w:r>
              <w:rPr>
                <w:rFonts w:hint="eastAsia"/>
                <w:b/>
                <w:bCs/>
                <w:color w:val="auto"/>
                <w:lang w:val="en-US" w:eastAsia="zh-CN"/>
              </w:rPr>
              <w:t xml:space="preserve">表3-4 </w:t>
            </w:r>
            <w:r>
              <w:rPr>
                <w:rFonts w:hint="eastAsia"/>
                <w:b/>
                <w:bCs/>
                <w:color w:val="auto"/>
              </w:rPr>
              <w:t>龙河环境质量现状监测结果（单位：mg/L，pH无量纲）</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686"/>
              <w:gridCol w:w="686"/>
              <w:gridCol w:w="687"/>
              <w:gridCol w:w="687"/>
              <w:gridCol w:w="687"/>
              <w:gridCol w:w="687"/>
              <w:gridCol w:w="687"/>
              <w:gridCol w:w="687"/>
              <w:gridCol w:w="688"/>
              <w:gridCol w:w="688"/>
              <w:gridCol w:w="688"/>
            </w:tblGrid>
            <w:tr w14:paraId="051D5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vAlign w:val="center"/>
                </w:tcPr>
                <w:p w14:paraId="57FBD9CE">
                  <w:pPr>
                    <w:bidi w:val="0"/>
                    <w:spacing w:line="240" w:lineRule="auto"/>
                    <w:jc w:val="center"/>
                    <w:rPr>
                      <w:rFonts w:hint="eastAsia"/>
                      <w:b/>
                      <w:bCs/>
                      <w:sz w:val="21"/>
                      <w:szCs w:val="21"/>
                      <w:lang w:val="en-US" w:eastAsia="zh-CN"/>
                    </w:rPr>
                  </w:pPr>
                  <w:r>
                    <w:rPr>
                      <w:rFonts w:hint="eastAsia"/>
                      <w:b/>
                      <w:bCs/>
                      <w:sz w:val="21"/>
                      <w:szCs w:val="21"/>
                    </w:rPr>
                    <w:t>监测点位</w:t>
                  </w:r>
                </w:p>
              </w:tc>
              <w:tc>
                <w:tcPr>
                  <w:tcW w:w="626" w:type="dxa"/>
                  <w:vAlign w:val="center"/>
                </w:tcPr>
                <w:p w14:paraId="3D953F5F">
                  <w:pPr>
                    <w:bidi w:val="0"/>
                    <w:spacing w:line="240" w:lineRule="auto"/>
                    <w:jc w:val="center"/>
                    <w:rPr>
                      <w:rFonts w:hint="eastAsia"/>
                      <w:b/>
                      <w:bCs/>
                      <w:sz w:val="21"/>
                      <w:szCs w:val="21"/>
                      <w:lang w:val="en-US" w:eastAsia="zh-CN"/>
                    </w:rPr>
                  </w:pPr>
                  <w:r>
                    <w:rPr>
                      <w:rFonts w:hint="eastAsia"/>
                      <w:b/>
                      <w:bCs/>
                      <w:sz w:val="21"/>
                      <w:szCs w:val="21"/>
                    </w:rPr>
                    <w:t>采样日期</w:t>
                  </w:r>
                </w:p>
              </w:tc>
              <w:tc>
                <w:tcPr>
                  <w:tcW w:w="626" w:type="dxa"/>
                  <w:vAlign w:val="center"/>
                </w:tcPr>
                <w:p w14:paraId="17D0CBB9">
                  <w:pPr>
                    <w:bidi w:val="0"/>
                    <w:spacing w:line="240" w:lineRule="auto"/>
                    <w:jc w:val="center"/>
                    <w:rPr>
                      <w:rFonts w:hint="eastAsia"/>
                      <w:b/>
                      <w:bCs/>
                      <w:sz w:val="21"/>
                      <w:szCs w:val="21"/>
                      <w:lang w:val="en-US" w:eastAsia="zh-CN"/>
                    </w:rPr>
                  </w:pPr>
                  <w:r>
                    <w:rPr>
                      <w:rFonts w:hint="eastAsia"/>
                      <w:b/>
                      <w:bCs/>
                      <w:sz w:val="21"/>
                      <w:szCs w:val="21"/>
                    </w:rPr>
                    <w:t>pH</w:t>
                  </w:r>
                </w:p>
              </w:tc>
              <w:tc>
                <w:tcPr>
                  <w:tcW w:w="627" w:type="dxa"/>
                  <w:vAlign w:val="center"/>
                </w:tcPr>
                <w:p w14:paraId="47F5D33E">
                  <w:pPr>
                    <w:bidi w:val="0"/>
                    <w:spacing w:line="240" w:lineRule="auto"/>
                    <w:jc w:val="center"/>
                    <w:rPr>
                      <w:rFonts w:hint="eastAsia"/>
                      <w:b/>
                      <w:bCs/>
                      <w:sz w:val="21"/>
                      <w:szCs w:val="21"/>
                      <w:lang w:val="en-US" w:eastAsia="zh-CN"/>
                    </w:rPr>
                  </w:pPr>
                  <w:r>
                    <w:rPr>
                      <w:b/>
                      <w:bCs/>
                      <w:sz w:val="21"/>
                      <w:szCs w:val="21"/>
                    </w:rPr>
                    <w:t>溶解氧</w:t>
                  </w:r>
                </w:p>
              </w:tc>
              <w:tc>
                <w:tcPr>
                  <w:tcW w:w="627" w:type="dxa"/>
                  <w:vAlign w:val="center"/>
                </w:tcPr>
                <w:p w14:paraId="5070030C">
                  <w:pPr>
                    <w:bidi w:val="0"/>
                    <w:spacing w:line="240" w:lineRule="auto"/>
                    <w:jc w:val="center"/>
                    <w:rPr>
                      <w:rFonts w:hint="eastAsia"/>
                      <w:b/>
                      <w:bCs/>
                      <w:sz w:val="21"/>
                      <w:szCs w:val="21"/>
                      <w:lang w:val="en-US" w:eastAsia="zh-CN"/>
                    </w:rPr>
                  </w:pPr>
                  <w:r>
                    <w:rPr>
                      <w:rFonts w:hint="eastAsia"/>
                      <w:b/>
                      <w:bCs/>
                      <w:sz w:val="21"/>
                      <w:szCs w:val="21"/>
                    </w:rPr>
                    <w:t>高锰酸钾</w:t>
                  </w:r>
                  <w:r>
                    <w:rPr>
                      <w:b/>
                      <w:bCs/>
                      <w:sz w:val="21"/>
                      <w:szCs w:val="21"/>
                    </w:rPr>
                    <w:t>指数</w:t>
                  </w:r>
                </w:p>
              </w:tc>
              <w:tc>
                <w:tcPr>
                  <w:tcW w:w="627" w:type="dxa"/>
                  <w:vAlign w:val="center"/>
                </w:tcPr>
                <w:p w14:paraId="4A0BA997">
                  <w:pPr>
                    <w:bidi w:val="0"/>
                    <w:spacing w:line="240" w:lineRule="auto"/>
                    <w:jc w:val="center"/>
                    <w:rPr>
                      <w:rFonts w:hint="eastAsia"/>
                      <w:b/>
                      <w:bCs/>
                      <w:sz w:val="21"/>
                      <w:szCs w:val="21"/>
                      <w:lang w:val="en-US" w:eastAsia="zh-CN"/>
                    </w:rPr>
                  </w:pPr>
                  <w:r>
                    <w:rPr>
                      <w:b/>
                      <w:bCs/>
                      <w:sz w:val="21"/>
                      <w:szCs w:val="21"/>
                    </w:rPr>
                    <w:t>化学需氧量</w:t>
                  </w:r>
                </w:p>
              </w:tc>
              <w:tc>
                <w:tcPr>
                  <w:tcW w:w="627" w:type="dxa"/>
                  <w:vAlign w:val="center"/>
                </w:tcPr>
                <w:p w14:paraId="071AB6D7">
                  <w:pPr>
                    <w:bidi w:val="0"/>
                    <w:spacing w:line="240" w:lineRule="auto"/>
                    <w:jc w:val="center"/>
                    <w:rPr>
                      <w:rFonts w:hint="eastAsia"/>
                      <w:b/>
                      <w:bCs/>
                      <w:sz w:val="21"/>
                      <w:szCs w:val="21"/>
                      <w:lang w:val="en-US" w:eastAsia="zh-CN"/>
                    </w:rPr>
                  </w:pPr>
                  <w:r>
                    <w:rPr>
                      <w:b/>
                      <w:bCs/>
                      <w:sz w:val="21"/>
                      <w:szCs w:val="21"/>
                    </w:rPr>
                    <w:t>五日生化需氧量</w:t>
                  </w:r>
                </w:p>
              </w:tc>
              <w:tc>
                <w:tcPr>
                  <w:tcW w:w="627" w:type="dxa"/>
                  <w:vAlign w:val="center"/>
                </w:tcPr>
                <w:p w14:paraId="64EDFDCE">
                  <w:pPr>
                    <w:bidi w:val="0"/>
                    <w:spacing w:line="240" w:lineRule="auto"/>
                    <w:jc w:val="center"/>
                    <w:rPr>
                      <w:rFonts w:hint="eastAsia"/>
                      <w:b/>
                      <w:bCs/>
                      <w:sz w:val="21"/>
                      <w:szCs w:val="21"/>
                      <w:lang w:val="en-US" w:eastAsia="zh-CN"/>
                    </w:rPr>
                  </w:pPr>
                  <w:r>
                    <w:rPr>
                      <w:b/>
                      <w:bCs/>
                      <w:sz w:val="21"/>
                      <w:szCs w:val="21"/>
                    </w:rPr>
                    <w:t>氨氮</w:t>
                  </w:r>
                </w:p>
              </w:tc>
              <w:tc>
                <w:tcPr>
                  <w:tcW w:w="627" w:type="dxa"/>
                  <w:vAlign w:val="center"/>
                </w:tcPr>
                <w:p w14:paraId="6E4F2133">
                  <w:pPr>
                    <w:bidi w:val="0"/>
                    <w:spacing w:line="240" w:lineRule="auto"/>
                    <w:jc w:val="center"/>
                    <w:rPr>
                      <w:rFonts w:hint="eastAsia"/>
                      <w:b/>
                      <w:bCs/>
                      <w:sz w:val="21"/>
                      <w:szCs w:val="21"/>
                      <w:lang w:val="en-US" w:eastAsia="zh-CN"/>
                    </w:rPr>
                  </w:pPr>
                  <w:r>
                    <w:rPr>
                      <w:b/>
                      <w:bCs/>
                      <w:sz w:val="21"/>
                      <w:szCs w:val="21"/>
                    </w:rPr>
                    <w:t>总磷</w:t>
                  </w:r>
                </w:p>
              </w:tc>
              <w:tc>
                <w:tcPr>
                  <w:tcW w:w="627" w:type="dxa"/>
                  <w:vAlign w:val="center"/>
                </w:tcPr>
                <w:p w14:paraId="40F4627A">
                  <w:pPr>
                    <w:bidi w:val="0"/>
                    <w:spacing w:line="240" w:lineRule="auto"/>
                    <w:jc w:val="center"/>
                    <w:rPr>
                      <w:rFonts w:hint="eastAsia"/>
                      <w:b/>
                      <w:bCs/>
                      <w:sz w:val="21"/>
                      <w:szCs w:val="21"/>
                      <w:lang w:val="en-US" w:eastAsia="zh-CN"/>
                    </w:rPr>
                  </w:pPr>
                  <w:r>
                    <w:rPr>
                      <w:rFonts w:hint="eastAsia"/>
                      <w:b/>
                      <w:bCs/>
                      <w:sz w:val="21"/>
                      <w:szCs w:val="21"/>
                    </w:rPr>
                    <w:t>氟化物</w:t>
                  </w:r>
                </w:p>
              </w:tc>
              <w:tc>
                <w:tcPr>
                  <w:tcW w:w="627" w:type="dxa"/>
                  <w:vAlign w:val="center"/>
                </w:tcPr>
                <w:p w14:paraId="64E5113A">
                  <w:pPr>
                    <w:bidi w:val="0"/>
                    <w:spacing w:line="240" w:lineRule="auto"/>
                    <w:jc w:val="center"/>
                    <w:rPr>
                      <w:rFonts w:hint="eastAsia"/>
                      <w:b/>
                      <w:bCs/>
                      <w:sz w:val="21"/>
                      <w:szCs w:val="21"/>
                      <w:lang w:val="en-US" w:eastAsia="zh-CN"/>
                    </w:rPr>
                  </w:pPr>
                  <w:r>
                    <w:rPr>
                      <w:rFonts w:hint="eastAsia"/>
                      <w:b/>
                      <w:bCs/>
                      <w:sz w:val="21"/>
                      <w:szCs w:val="21"/>
                    </w:rPr>
                    <w:t>六价铬</w:t>
                  </w:r>
                </w:p>
              </w:tc>
              <w:tc>
                <w:tcPr>
                  <w:tcW w:w="627" w:type="dxa"/>
                  <w:vAlign w:val="center"/>
                </w:tcPr>
                <w:p w14:paraId="7FC0F106">
                  <w:pPr>
                    <w:bidi w:val="0"/>
                    <w:spacing w:line="240" w:lineRule="auto"/>
                    <w:jc w:val="center"/>
                    <w:rPr>
                      <w:rFonts w:hint="eastAsia"/>
                      <w:b/>
                      <w:bCs/>
                      <w:sz w:val="21"/>
                      <w:szCs w:val="21"/>
                      <w:lang w:val="en-US" w:eastAsia="zh-CN"/>
                    </w:rPr>
                  </w:pPr>
                  <w:r>
                    <w:rPr>
                      <w:rFonts w:hint="eastAsia"/>
                      <w:b/>
                      <w:bCs/>
                      <w:sz w:val="21"/>
                      <w:szCs w:val="21"/>
                    </w:rPr>
                    <w:t>氰化物</w:t>
                  </w:r>
                </w:p>
              </w:tc>
            </w:tr>
            <w:tr w14:paraId="183E6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vMerge w:val="restart"/>
                  <w:vAlign w:val="center"/>
                </w:tcPr>
                <w:p w14:paraId="790DBE4C">
                  <w:pPr>
                    <w:bidi w:val="0"/>
                    <w:spacing w:line="240" w:lineRule="auto"/>
                    <w:jc w:val="center"/>
                    <w:rPr>
                      <w:rFonts w:hint="eastAsia"/>
                      <w:sz w:val="21"/>
                      <w:szCs w:val="21"/>
                      <w:lang w:val="en-US" w:eastAsia="zh-CN"/>
                    </w:rPr>
                  </w:pPr>
                  <w:r>
                    <w:rPr>
                      <w:rFonts w:hint="eastAsia"/>
                      <w:sz w:val="21"/>
                      <w:szCs w:val="21"/>
                    </w:rPr>
                    <w:t>W1</w:t>
                  </w:r>
                </w:p>
              </w:tc>
              <w:tc>
                <w:tcPr>
                  <w:tcW w:w="626" w:type="dxa"/>
                  <w:vAlign w:val="center"/>
                </w:tcPr>
                <w:p w14:paraId="5B3EDFC8">
                  <w:pPr>
                    <w:bidi w:val="0"/>
                    <w:spacing w:line="240" w:lineRule="auto"/>
                    <w:jc w:val="center"/>
                    <w:rPr>
                      <w:rFonts w:hint="default"/>
                      <w:sz w:val="21"/>
                      <w:szCs w:val="21"/>
                      <w:lang w:val="en-US" w:eastAsia="zh-CN"/>
                    </w:rPr>
                  </w:pPr>
                  <w:r>
                    <w:rPr>
                      <w:rFonts w:hint="eastAsia"/>
                      <w:sz w:val="21"/>
                      <w:szCs w:val="21"/>
                    </w:rPr>
                    <w:t>2023.</w:t>
                  </w:r>
                  <w:r>
                    <w:rPr>
                      <w:rFonts w:hint="eastAsia"/>
                      <w:sz w:val="21"/>
                      <w:szCs w:val="21"/>
                      <w:lang w:val="en-US" w:eastAsia="zh-CN"/>
                    </w:rPr>
                    <w:t>12.11</w:t>
                  </w:r>
                </w:p>
              </w:tc>
              <w:tc>
                <w:tcPr>
                  <w:tcW w:w="626" w:type="dxa"/>
                  <w:vAlign w:val="center"/>
                </w:tcPr>
                <w:p w14:paraId="668B7220">
                  <w:pPr>
                    <w:bidi w:val="0"/>
                    <w:spacing w:line="240" w:lineRule="auto"/>
                    <w:jc w:val="center"/>
                    <w:rPr>
                      <w:rFonts w:hint="eastAsia"/>
                      <w:sz w:val="21"/>
                      <w:szCs w:val="21"/>
                      <w:lang w:val="en-US" w:eastAsia="zh-CN"/>
                    </w:rPr>
                  </w:pPr>
                  <w:r>
                    <w:rPr>
                      <w:sz w:val="21"/>
                      <w:szCs w:val="21"/>
                    </w:rPr>
                    <w:t>7.7（4.1</w:t>
                  </w:r>
                  <w:r>
                    <w:rPr>
                      <w:rFonts w:hint="eastAsia"/>
                      <w:sz w:val="21"/>
                      <w:szCs w:val="21"/>
                    </w:rPr>
                    <w:t>℃</w:t>
                  </w:r>
                  <w:r>
                    <w:rPr>
                      <w:sz w:val="21"/>
                      <w:szCs w:val="21"/>
                    </w:rPr>
                    <w:t>）</w:t>
                  </w:r>
                </w:p>
              </w:tc>
              <w:tc>
                <w:tcPr>
                  <w:tcW w:w="627" w:type="dxa"/>
                  <w:vAlign w:val="center"/>
                </w:tcPr>
                <w:p w14:paraId="654C04FF">
                  <w:pPr>
                    <w:bidi w:val="0"/>
                    <w:spacing w:line="240" w:lineRule="auto"/>
                    <w:jc w:val="center"/>
                    <w:rPr>
                      <w:rFonts w:hint="eastAsia"/>
                      <w:sz w:val="21"/>
                      <w:szCs w:val="21"/>
                      <w:lang w:val="en-US" w:eastAsia="zh-CN"/>
                    </w:rPr>
                  </w:pPr>
                  <w:r>
                    <w:rPr>
                      <w:sz w:val="21"/>
                      <w:szCs w:val="21"/>
                    </w:rPr>
                    <w:t>7.9</w:t>
                  </w:r>
                </w:p>
              </w:tc>
              <w:tc>
                <w:tcPr>
                  <w:tcW w:w="627" w:type="dxa"/>
                  <w:vAlign w:val="center"/>
                </w:tcPr>
                <w:p w14:paraId="62AD561C">
                  <w:pPr>
                    <w:bidi w:val="0"/>
                    <w:spacing w:line="240" w:lineRule="auto"/>
                    <w:jc w:val="center"/>
                    <w:rPr>
                      <w:rFonts w:hint="eastAsia"/>
                      <w:sz w:val="21"/>
                      <w:szCs w:val="21"/>
                      <w:lang w:val="en-US" w:eastAsia="zh-CN"/>
                    </w:rPr>
                  </w:pPr>
                  <w:r>
                    <w:rPr>
                      <w:sz w:val="21"/>
                      <w:szCs w:val="21"/>
                    </w:rPr>
                    <w:t>5.3</w:t>
                  </w:r>
                </w:p>
              </w:tc>
              <w:tc>
                <w:tcPr>
                  <w:tcW w:w="627" w:type="dxa"/>
                  <w:vAlign w:val="center"/>
                </w:tcPr>
                <w:p w14:paraId="715015B7">
                  <w:pPr>
                    <w:bidi w:val="0"/>
                    <w:spacing w:line="240" w:lineRule="auto"/>
                    <w:jc w:val="center"/>
                    <w:rPr>
                      <w:rFonts w:hint="eastAsia"/>
                      <w:sz w:val="21"/>
                      <w:szCs w:val="21"/>
                      <w:lang w:val="en-US" w:eastAsia="zh-CN"/>
                    </w:rPr>
                  </w:pPr>
                  <w:r>
                    <w:rPr>
                      <w:sz w:val="21"/>
                      <w:szCs w:val="21"/>
                    </w:rPr>
                    <w:t>7</w:t>
                  </w:r>
                </w:p>
              </w:tc>
              <w:tc>
                <w:tcPr>
                  <w:tcW w:w="627" w:type="dxa"/>
                  <w:vAlign w:val="center"/>
                </w:tcPr>
                <w:p w14:paraId="7AA86CC4">
                  <w:pPr>
                    <w:bidi w:val="0"/>
                    <w:spacing w:line="240" w:lineRule="auto"/>
                    <w:jc w:val="center"/>
                    <w:rPr>
                      <w:rFonts w:hint="eastAsia"/>
                      <w:sz w:val="21"/>
                      <w:szCs w:val="21"/>
                      <w:lang w:val="en-US" w:eastAsia="zh-CN"/>
                    </w:rPr>
                  </w:pPr>
                  <w:r>
                    <w:rPr>
                      <w:sz w:val="21"/>
                      <w:szCs w:val="21"/>
                    </w:rPr>
                    <w:t>0.8</w:t>
                  </w:r>
                </w:p>
              </w:tc>
              <w:tc>
                <w:tcPr>
                  <w:tcW w:w="627" w:type="dxa"/>
                  <w:vAlign w:val="center"/>
                </w:tcPr>
                <w:p w14:paraId="49B979AB">
                  <w:pPr>
                    <w:bidi w:val="0"/>
                    <w:spacing w:line="240" w:lineRule="auto"/>
                    <w:jc w:val="center"/>
                    <w:rPr>
                      <w:rFonts w:hint="eastAsia"/>
                      <w:sz w:val="21"/>
                      <w:szCs w:val="21"/>
                      <w:lang w:val="en-US" w:eastAsia="zh-CN"/>
                    </w:rPr>
                  </w:pPr>
                  <w:r>
                    <w:rPr>
                      <w:sz w:val="21"/>
                      <w:szCs w:val="21"/>
                    </w:rPr>
                    <w:t>0.316</w:t>
                  </w:r>
                </w:p>
              </w:tc>
              <w:tc>
                <w:tcPr>
                  <w:tcW w:w="627" w:type="dxa"/>
                  <w:vAlign w:val="center"/>
                </w:tcPr>
                <w:p w14:paraId="77657173">
                  <w:pPr>
                    <w:bidi w:val="0"/>
                    <w:spacing w:line="240" w:lineRule="auto"/>
                    <w:jc w:val="center"/>
                    <w:rPr>
                      <w:rFonts w:hint="eastAsia"/>
                      <w:sz w:val="21"/>
                      <w:szCs w:val="21"/>
                      <w:lang w:val="en-US" w:eastAsia="zh-CN"/>
                    </w:rPr>
                  </w:pPr>
                  <w:r>
                    <w:rPr>
                      <w:sz w:val="21"/>
                      <w:szCs w:val="21"/>
                    </w:rPr>
                    <w:t>0.07</w:t>
                  </w:r>
                </w:p>
              </w:tc>
              <w:tc>
                <w:tcPr>
                  <w:tcW w:w="627" w:type="dxa"/>
                  <w:vAlign w:val="center"/>
                </w:tcPr>
                <w:p w14:paraId="7E2B8D15">
                  <w:pPr>
                    <w:bidi w:val="0"/>
                    <w:spacing w:line="240" w:lineRule="auto"/>
                    <w:jc w:val="center"/>
                    <w:rPr>
                      <w:rFonts w:hint="eastAsia"/>
                      <w:sz w:val="21"/>
                      <w:szCs w:val="21"/>
                      <w:lang w:val="en-US" w:eastAsia="zh-CN"/>
                    </w:rPr>
                  </w:pPr>
                  <w:r>
                    <w:rPr>
                      <w:sz w:val="21"/>
                      <w:szCs w:val="21"/>
                    </w:rPr>
                    <w:t>0.92</w:t>
                  </w:r>
                </w:p>
              </w:tc>
              <w:tc>
                <w:tcPr>
                  <w:tcW w:w="627" w:type="dxa"/>
                  <w:vAlign w:val="center"/>
                </w:tcPr>
                <w:p w14:paraId="3A7F0567">
                  <w:pPr>
                    <w:bidi w:val="0"/>
                    <w:spacing w:line="240" w:lineRule="auto"/>
                    <w:jc w:val="center"/>
                    <w:rPr>
                      <w:rFonts w:hint="eastAsia"/>
                      <w:sz w:val="21"/>
                      <w:szCs w:val="21"/>
                      <w:lang w:val="en-US" w:eastAsia="zh-CN"/>
                    </w:rPr>
                  </w:pPr>
                  <w:r>
                    <w:rPr>
                      <w:sz w:val="21"/>
                      <w:szCs w:val="21"/>
                    </w:rPr>
                    <w:t>0.004L</w:t>
                  </w:r>
                </w:p>
              </w:tc>
              <w:tc>
                <w:tcPr>
                  <w:tcW w:w="627" w:type="dxa"/>
                  <w:vAlign w:val="center"/>
                </w:tcPr>
                <w:p w14:paraId="6DAC0D3B">
                  <w:pPr>
                    <w:bidi w:val="0"/>
                    <w:spacing w:line="240" w:lineRule="auto"/>
                    <w:jc w:val="center"/>
                    <w:rPr>
                      <w:rFonts w:hint="eastAsia"/>
                      <w:sz w:val="21"/>
                      <w:szCs w:val="21"/>
                      <w:lang w:val="en-US" w:eastAsia="zh-CN"/>
                    </w:rPr>
                  </w:pPr>
                  <w:r>
                    <w:rPr>
                      <w:sz w:val="21"/>
                      <w:szCs w:val="21"/>
                    </w:rPr>
                    <w:t>0.004L</w:t>
                  </w:r>
                </w:p>
              </w:tc>
            </w:tr>
            <w:tr w14:paraId="7A738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vMerge w:val="continue"/>
                </w:tcPr>
                <w:p w14:paraId="07EB0605">
                  <w:pPr>
                    <w:bidi w:val="0"/>
                    <w:spacing w:line="240" w:lineRule="auto"/>
                    <w:jc w:val="center"/>
                    <w:rPr>
                      <w:rFonts w:hint="eastAsia"/>
                      <w:sz w:val="21"/>
                      <w:szCs w:val="21"/>
                    </w:rPr>
                  </w:pPr>
                </w:p>
              </w:tc>
              <w:tc>
                <w:tcPr>
                  <w:tcW w:w="626" w:type="dxa"/>
                  <w:vAlign w:val="center"/>
                </w:tcPr>
                <w:p w14:paraId="387E8A7F">
                  <w:pPr>
                    <w:bidi w:val="0"/>
                    <w:spacing w:line="240" w:lineRule="auto"/>
                    <w:jc w:val="center"/>
                    <w:rPr>
                      <w:rFonts w:hint="default"/>
                      <w:sz w:val="21"/>
                      <w:szCs w:val="21"/>
                      <w:lang w:val="en-US" w:eastAsia="zh-CN"/>
                    </w:rPr>
                  </w:pPr>
                  <w:r>
                    <w:rPr>
                      <w:rFonts w:hint="eastAsia"/>
                      <w:sz w:val="21"/>
                      <w:szCs w:val="21"/>
                    </w:rPr>
                    <w:t>2023.</w:t>
                  </w:r>
                  <w:r>
                    <w:rPr>
                      <w:rFonts w:hint="eastAsia"/>
                      <w:sz w:val="21"/>
                      <w:szCs w:val="21"/>
                      <w:lang w:val="en-US" w:eastAsia="zh-CN"/>
                    </w:rPr>
                    <w:t>12.12</w:t>
                  </w:r>
                </w:p>
              </w:tc>
              <w:tc>
                <w:tcPr>
                  <w:tcW w:w="626" w:type="dxa"/>
                  <w:vAlign w:val="center"/>
                </w:tcPr>
                <w:p w14:paraId="598E38F7">
                  <w:pPr>
                    <w:bidi w:val="0"/>
                    <w:spacing w:line="240" w:lineRule="auto"/>
                    <w:jc w:val="center"/>
                    <w:rPr>
                      <w:rFonts w:hint="eastAsia"/>
                      <w:sz w:val="21"/>
                      <w:szCs w:val="21"/>
                      <w:lang w:val="en-US" w:eastAsia="zh-CN"/>
                    </w:rPr>
                  </w:pPr>
                  <w:r>
                    <w:rPr>
                      <w:sz w:val="21"/>
                      <w:szCs w:val="21"/>
                    </w:rPr>
                    <w:t>7.5（5</w:t>
                  </w:r>
                  <w:r>
                    <w:rPr>
                      <w:rFonts w:hint="eastAsia"/>
                      <w:sz w:val="21"/>
                      <w:szCs w:val="21"/>
                    </w:rPr>
                    <w:t>.0℃</w:t>
                  </w:r>
                  <w:r>
                    <w:rPr>
                      <w:sz w:val="21"/>
                      <w:szCs w:val="21"/>
                    </w:rPr>
                    <w:t>）</w:t>
                  </w:r>
                </w:p>
              </w:tc>
              <w:tc>
                <w:tcPr>
                  <w:tcW w:w="627" w:type="dxa"/>
                  <w:vAlign w:val="center"/>
                </w:tcPr>
                <w:p w14:paraId="50C27D6A">
                  <w:pPr>
                    <w:bidi w:val="0"/>
                    <w:spacing w:line="240" w:lineRule="auto"/>
                    <w:jc w:val="center"/>
                    <w:rPr>
                      <w:rFonts w:hint="eastAsia"/>
                      <w:sz w:val="21"/>
                      <w:szCs w:val="21"/>
                      <w:lang w:val="en-US" w:eastAsia="zh-CN"/>
                    </w:rPr>
                  </w:pPr>
                  <w:r>
                    <w:rPr>
                      <w:sz w:val="21"/>
                      <w:szCs w:val="21"/>
                    </w:rPr>
                    <w:t>8.1</w:t>
                  </w:r>
                </w:p>
              </w:tc>
              <w:tc>
                <w:tcPr>
                  <w:tcW w:w="627" w:type="dxa"/>
                  <w:vAlign w:val="center"/>
                </w:tcPr>
                <w:p w14:paraId="26B7EC2E">
                  <w:pPr>
                    <w:bidi w:val="0"/>
                    <w:spacing w:line="240" w:lineRule="auto"/>
                    <w:jc w:val="center"/>
                    <w:rPr>
                      <w:rFonts w:hint="eastAsia"/>
                      <w:sz w:val="21"/>
                      <w:szCs w:val="21"/>
                      <w:lang w:val="en-US" w:eastAsia="zh-CN"/>
                    </w:rPr>
                  </w:pPr>
                  <w:r>
                    <w:rPr>
                      <w:sz w:val="21"/>
                      <w:szCs w:val="21"/>
                    </w:rPr>
                    <w:t>5.4</w:t>
                  </w:r>
                </w:p>
              </w:tc>
              <w:tc>
                <w:tcPr>
                  <w:tcW w:w="627" w:type="dxa"/>
                  <w:vAlign w:val="center"/>
                </w:tcPr>
                <w:p w14:paraId="740667E0">
                  <w:pPr>
                    <w:bidi w:val="0"/>
                    <w:spacing w:line="240" w:lineRule="auto"/>
                    <w:jc w:val="center"/>
                    <w:rPr>
                      <w:rFonts w:hint="eastAsia"/>
                      <w:sz w:val="21"/>
                      <w:szCs w:val="21"/>
                      <w:lang w:val="en-US" w:eastAsia="zh-CN"/>
                    </w:rPr>
                  </w:pPr>
                  <w:r>
                    <w:rPr>
                      <w:sz w:val="21"/>
                      <w:szCs w:val="21"/>
                    </w:rPr>
                    <w:t>9</w:t>
                  </w:r>
                </w:p>
              </w:tc>
              <w:tc>
                <w:tcPr>
                  <w:tcW w:w="627" w:type="dxa"/>
                  <w:vAlign w:val="center"/>
                </w:tcPr>
                <w:p w14:paraId="7630F334">
                  <w:pPr>
                    <w:bidi w:val="0"/>
                    <w:spacing w:line="240" w:lineRule="auto"/>
                    <w:jc w:val="center"/>
                    <w:rPr>
                      <w:rFonts w:hint="eastAsia"/>
                      <w:sz w:val="21"/>
                      <w:szCs w:val="21"/>
                      <w:lang w:val="en-US" w:eastAsia="zh-CN"/>
                    </w:rPr>
                  </w:pPr>
                  <w:r>
                    <w:rPr>
                      <w:sz w:val="21"/>
                      <w:szCs w:val="21"/>
                    </w:rPr>
                    <w:t>1.1</w:t>
                  </w:r>
                </w:p>
              </w:tc>
              <w:tc>
                <w:tcPr>
                  <w:tcW w:w="627" w:type="dxa"/>
                  <w:vAlign w:val="center"/>
                </w:tcPr>
                <w:p w14:paraId="3F8B2A3E">
                  <w:pPr>
                    <w:bidi w:val="0"/>
                    <w:spacing w:line="240" w:lineRule="auto"/>
                    <w:jc w:val="center"/>
                    <w:rPr>
                      <w:rFonts w:hint="eastAsia"/>
                      <w:sz w:val="21"/>
                      <w:szCs w:val="21"/>
                      <w:lang w:val="en-US" w:eastAsia="zh-CN"/>
                    </w:rPr>
                  </w:pPr>
                  <w:r>
                    <w:rPr>
                      <w:sz w:val="21"/>
                      <w:szCs w:val="21"/>
                    </w:rPr>
                    <w:t>0.260</w:t>
                  </w:r>
                </w:p>
              </w:tc>
              <w:tc>
                <w:tcPr>
                  <w:tcW w:w="627" w:type="dxa"/>
                  <w:vAlign w:val="center"/>
                </w:tcPr>
                <w:p w14:paraId="3998E9A6">
                  <w:pPr>
                    <w:bidi w:val="0"/>
                    <w:spacing w:line="240" w:lineRule="auto"/>
                    <w:jc w:val="center"/>
                    <w:rPr>
                      <w:rFonts w:hint="eastAsia"/>
                      <w:sz w:val="21"/>
                      <w:szCs w:val="21"/>
                      <w:lang w:val="en-US" w:eastAsia="zh-CN"/>
                    </w:rPr>
                  </w:pPr>
                  <w:r>
                    <w:rPr>
                      <w:sz w:val="21"/>
                      <w:szCs w:val="21"/>
                    </w:rPr>
                    <w:t>0.04</w:t>
                  </w:r>
                </w:p>
              </w:tc>
              <w:tc>
                <w:tcPr>
                  <w:tcW w:w="627" w:type="dxa"/>
                  <w:vAlign w:val="center"/>
                </w:tcPr>
                <w:p w14:paraId="77DB3F73">
                  <w:pPr>
                    <w:bidi w:val="0"/>
                    <w:spacing w:line="240" w:lineRule="auto"/>
                    <w:jc w:val="center"/>
                    <w:rPr>
                      <w:rFonts w:hint="eastAsia"/>
                      <w:sz w:val="21"/>
                      <w:szCs w:val="21"/>
                      <w:lang w:val="en-US" w:eastAsia="zh-CN"/>
                    </w:rPr>
                  </w:pPr>
                  <w:r>
                    <w:rPr>
                      <w:sz w:val="21"/>
                      <w:szCs w:val="21"/>
                    </w:rPr>
                    <w:t>0.87</w:t>
                  </w:r>
                </w:p>
              </w:tc>
              <w:tc>
                <w:tcPr>
                  <w:tcW w:w="627" w:type="dxa"/>
                  <w:vAlign w:val="center"/>
                </w:tcPr>
                <w:p w14:paraId="03E4542D">
                  <w:pPr>
                    <w:bidi w:val="0"/>
                    <w:spacing w:line="240" w:lineRule="auto"/>
                    <w:jc w:val="center"/>
                    <w:rPr>
                      <w:rFonts w:hint="eastAsia"/>
                      <w:sz w:val="21"/>
                      <w:szCs w:val="21"/>
                      <w:lang w:val="en-US" w:eastAsia="zh-CN"/>
                    </w:rPr>
                  </w:pPr>
                  <w:r>
                    <w:rPr>
                      <w:sz w:val="21"/>
                      <w:szCs w:val="21"/>
                    </w:rPr>
                    <w:t>0.004L</w:t>
                  </w:r>
                </w:p>
              </w:tc>
              <w:tc>
                <w:tcPr>
                  <w:tcW w:w="627" w:type="dxa"/>
                  <w:vAlign w:val="center"/>
                </w:tcPr>
                <w:p w14:paraId="7E9FAFBE">
                  <w:pPr>
                    <w:bidi w:val="0"/>
                    <w:spacing w:line="240" w:lineRule="auto"/>
                    <w:jc w:val="center"/>
                    <w:rPr>
                      <w:rFonts w:hint="eastAsia"/>
                      <w:sz w:val="21"/>
                      <w:szCs w:val="21"/>
                      <w:lang w:val="en-US" w:eastAsia="zh-CN"/>
                    </w:rPr>
                  </w:pPr>
                  <w:r>
                    <w:rPr>
                      <w:sz w:val="21"/>
                      <w:szCs w:val="21"/>
                    </w:rPr>
                    <w:t>0.004L</w:t>
                  </w:r>
                </w:p>
              </w:tc>
            </w:tr>
            <w:tr w14:paraId="0CC00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5" w:type="dxa"/>
                  <w:vMerge w:val="continue"/>
                </w:tcPr>
                <w:p w14:paraId="58A65B00">
                  <w:pPr>
                    <w:bidi w:val="0"/>
                    <w:spacing w:line="240" w:lineRule="auto"/>
                    <w:jc w:val="center"/>
                    <w:rPr>
                      <w:rFonts w:hint="eastAsia"/>
                      <w:sz w:val="21"/>
                      <w:szCs w:val="21"/>
                    </w:rPr>
                  </w:pPr>
                </w:p>
              </w:tc>
              <w:tc>
                <w:tcPr>
                  <w:tcW w:w="626" w:type="dxa"/>
                  <w:vAlign w:val="center"/>
                </w:tcPr>
                <w:p w14:paraId="7BF5360D">
                  <w:pPr>
                    <w:bidi w:val="0"/>
                    <w:spacing w:line="240" w:lineRule="auto"/>
                    <w:jc w:val="center"/>
                    <w:rPr>
                      <w:rFonts w:hint="default"/>
                      <w:sz w:val="21"/>
                      <w:szCs w:val="21"/>
                      <w:lang w:val="en-US" w:eastAsia="zh-CN"/>
                    </w:rPr>
                  </w:pPr>
                  <w:r>
                    <w:rPr>
                      <w:rFonts w:hint="eastAsia"/>
                      <w:sz w:val="21"/>
                      <w:szCs w:val="21"/>
                    </w:rPr>
                    <w:t>2023.</w:t>
                  </w:r>
                  <w:r>
                    <w:rPr>
                      <w:rFonts w:hint="eastAsia"/>
                      <w:sz w:val="21"/>
                      <w:szCs w:val="21"/>
                      <w:lang w:val="en-US" w:eastAsia="zh-CN"/>
                    </w:rPr>
                    <w:t>12.13</w:t>
                  </w:r>
                </w:p>
              </w:tc>
              <w:tc>
                <w:tcPr>
                  <w:tcW w:w="626" w:type="dxa"/>
                  <w:vAlign w:val="center"/>
                </w:tcPr>
                <w:p w14:paraId="73B34ACB">
                  <w:pPr>
                    <w:bidi w:val="0"/>
                    <w:spacing w:line="240" w:lineRule="auto"/>
                    <w:jc w:val="center"/>
                    <w:rPr>
                      <w:rFonts w:hint="eastAsia"/>
                      <w:sz w:val="21"/>
                      <w:szCs w:val="21"/>
                      <w:lang w:val="en-US" w:eastAsia="zh-CN"/>
                    </w:rPr>
                  </w:pPr>
                  <w:r>
                    <w:rPr>
                      <w:sz w:val="21"/>
                      <w:szCs w:val="21"/>
                    </w:rPr>
                    <w:t>7.</w:t>
                  </w:r>
                  <w:r>
                    <w:rPr>
                      <w:rFonts w:hint="eastAsia"/>
                      <w:sz w:val="21"/>
                      <w:szCs w:val="21"/>
                    </w:rPr>
                    <w:t>3</w:t>
                  </w:r>
                  <w:r>
                    <w:rPr>
                      <w:sz w:val="21"/>
                      <w:szCs w:val="21"/>
                    </w:rPr>
                    <w:t>（5</w:t>
                  </w:r>
                  <w:r>
                    <w:rPr>
                      <w:rFonts w:hint="eastAsia"/>
                      <w:sz w:val="21"/>
                      <w:szCs w:val="21"/>
                    </w:rPr>
                    <w:t>.2℃</w:t>
                  </w:r>
                  <w:r>
                    <w:rPr>
                      <w:sz w:val="21"/>
                      <w:szCs w:val="21"/>
                    </w:rPr>
                    <w:t>）</w:t>
                  </w:r>
                </w:p>
              </w:tc>
              <w:tc>
                <w:tcPr>
                  <w:tcW w:w="627" w:type="dxa"/>
                  <w:vAlign w:val="center"/>
                </w:tcPr>
                <w:p w14:paraId="2340033C">
                  <w:pPr>
                    <w:bidi w:val="0"/>
                    <w:spacing w:line="240" w:lineRule="auto"/>
                    <w:jc w:val="center"/>
                    <w:rPr>
                      <w:rFonts w:hint="eastAsia"/>
                      <w:sz w:val="21"/>
                      <w:szCs w:val="21"/>
                      <w:lang w:val="en-US" w:eastAsia="zh-CN"/>
                    </w:rPr>
                  </w:pPr>
                  <w:r>
                    <w:rPr>
                      <w:sz w:val="21"/>
                      <w:szCs w:val="21"/>
                    </w:rPr>
                    <w:t>7.9</w:t>
                  </w:r>
                </w:p>
              </w:tc>
              <w:tc>
                <w:tcPr>
                  <w:tcW w:w="627" w:type="dxa"/>
                  <w:vAlign w:val="center"/>
                </w:tcPr>
                <w:p w14:paraId="0D3003AD">
                  <w:pPr>
                    <w:bidi w:val="0"/>
                    <w:spacing w:line="240" w:lineRule="auto"/>
                    <w:jc w:val="center"/>
                    <w:rPr>
                      <w:rFonts w:hint="eastAsia"/>
                      <w:sz w:val="21"/>
                      <w:szCs w:val="21"/>
                      <w:lang w:val="en-US" w:eastAsia="zh-CN"/>
                    </w:rPr>
                  </w:pPr>
                  <w:r>
                    <w:rPr>
                      <w:sz w:val="21"/>
                      <w:szCs w:val="21"/>
                    </w:rPr>
                    <w:t>4.8</w:t>
                  </w:r>
                </w:p>
              </w:tc>
              <w:tc>
                <w:tcPr>
                  <w:tcW w:w="627" w:type="dxa"/>
                  <w:vAlign w:val="center"/>
                </w:tcPr>
                <w:p w14:paraId="278991BD">
                  <w:pPr>
                    <w:bidi w:val="0"/>
                    <w:spacing w:line="240" w:lineRule="auto"/>
                    <w:jc w:val="center"/>
                    <w:rPr>
                      <w:rFonts w:hint="eastAsia"/>
                      <w:sz w:val="21"/>
                      <w:szCs w:val="21"/>
                      <w:lang w:val="en-US" w:eastAsia="zh-CN"/>
                    </w:rPr>
                  </w:pPr>
                  <w:r>
                    <w:rPr>
                      <w:sz w:val="21"/>
                      <w:szCs w:val="21"/>
                    </w:rPr>
                    <w:t>10</w:t>
                  </w:r>
                </w:p>
              </w:tc>
              <w:tc>
                <w:tcPr>
                  <w:tcW w:w="627" w:type="dxa"/>
                  <w:vAlign w:val="center"/>
                </w:tcPr>
                <w:p w14:paraId="71519DFE">
                  <w:pPr>
                    <w:bidi w:val="0"/>
                    <w:spacing w:line="240" w:lineRule="auto"/>
                    <w:jc w:val="center"/>
                    <w:rPr>
                      <w:rFonts w:hint="eastAsia"/>
                      <w:sz w:val="21"/>
                      <w:szCs w:val="21"/>
                      <w:lang w:val="en-US" w:eastAsia="zh-CN"/>
                    </w:rPr>
                  </w:pPr>
                  <w:r>
                    <w:rPr>
                      <w:rFonts w:hint="eastAsia"/>
                      <w:sz w:val="21"/>
                      <w:szCs w:val="21"/>
                    </w:rPr>
                    <w:t>1.2</w:t>
                  </w:r>
                </w:p>
              </w:tc>
              <w:tc>
                <w:tcPr>
                  <w:tcW w:w="627" w:type="dxa"/>
                  <w:vAlign w:val="center"/>
                </w:tcPr>
                <w:p w14:paraId="553D274D">
                  <w:pPr>
                    <w:bidi w:val="0"/>
                    <w:spacing w:line="240" w:lineRule="auto"/>
                    <w:jc w:val="center"/>
                    <w:rPr>
                      <w:rFonts w:hint="eastAsia"/>
                      <w:sz w:val="21"/>
                      <w:szCs w:val="21"/>
                      <w:lang w:val="en-US" w:eastAsia="zh-CN"/>
                    </w:rPr>
                  </w:pPr>
                  <w:r>
                    <w:rPr>
                      <w:sz w:val="21"/>
                      <w:szCs w:val="21"/>
                    </w:rPr>
                    <w:t>0.286</w:t>
                  </w:r>
                </w:p>
              </w:tc>
              <w:tc>
                <w:tcPr>
                  <w:tcW w:w="627" w:type="dxa"/>
                  <w:vAlign w:val="center"/>
                </w:tcPr>
                <w:p w14:paraId="0C180ABB">
                  <w:pPr>
                    <w:bidi w:val="0"/>
                    <w:spacing w:line="240" w:lineRule="auto"/>
                    <w:jc w:val="center"/>
                    <w:rPr>
                      <w:rFonts w:hint="eastAsia"/>
                      <w:sz w:val="21"/>
                      <w:szCs w:val="21"/>
                      <w:lang w:val="en-US" w:eastAsia="zh-CN"/>
                    </w:rPr>
                  </w:pPr>
                  <w:r>
                    <w:rPr>
                      <w:sz w:val="21"/>
                      <w:szCs w:val="21"/>
                    </w:rPr>
                    <w:t>0.04</w:t>
                  </w:r>
                </w:p>
              </w:tc>
              <w:tc>
                <w:tcPr>
                  <w:tcW w:w="627" w:type="dxa"/>
                  <w:vAlign w:val="center"/>
                </w:tcPr>
                <w:p w14:paraId="3340FB06">
                  <w:pPr>
                    <w:bidi w:val="0"/>
                    <w:spacing w:line="240" w:lineRule="auto"/>
                    <w:jc w:val="center"/>
                    <w:rPr>
                      <w:rFonts w:hint="eastAsia"/>
                      <w:sz w:val="21"/>
                      <w:szCs w:val="21"/>
                      <w:lang w:val="en-US" w:eastAsia="zh-CN"/>
                    </w:rPr>
                  </w:pPr>
                  <w:r>
                    <w:rPr>
                      <w:sz w:val="21"/>
                      <w:szCs w:val="21"/>
                    </w:rPr>
                    <w:t>0.90</w:t>
                  </w:r>
                </w:p>
              </w:tc>
              <w:tc>
                <w:tcPr>
                  <w:tcW w:w="627" w:type="dxa"/>
                  <w:vAlign w:val="center"/>
                </w:tcPr>
                <w:p w14:paraId="075A3BC3">
                  <w:pPr>
                    <w:bidi w:val="0"/>
                    <w:spacing w:line="240" w:lineRule="auto"/>
                    <w:jc w:val="center"/>
                    <w:rPr>
                      <w:rFonts w:hint="eastAsia"/>
                      <w:sz w:val="21"/>
                      <w:szCs w:val="21"/>
                      <w:lang w:val="en-US" w:eastAsia="zh-CN"/>
                    </w:rPr>
                  </w:pPr>
                  <w:r>
                    <w:rPr>
                      <w:sz w:val="21"/>
                      <w:szCs w:val="21"/>
                    </w:rPr>
                    <w:t>0.004L</w:t>
                  </w:r>
                </w:p>
              </w:tc>
              <w:tc>
                <w:tcPr>
                  <w:tcW w:w="627" w:type="dxa"/>
                  <w:vAlign w:val="center"/>
                </w:tcPr>
                <w:p w14:paraId="01E5BBD6">
                  <w:pPr>
                    <w:bidi w:val="0"/>
                    <w:spacing w:line="240" w:lineRule="auto"/>
                    <w:jc w:val="center"/>
                    <w:rPr>
                      <w:rFonts w:hint="eastAsia"/>
                      <w:sz w:val="21"/>
                      <w:szCs w:val="21"/>
                      <w:lang w:val="en-US" w:eastAsia="zh-CN"/>
                    </w:rPr>
                  </w:pPr>
                  <w:r>
                    <w:rPr>
                      <w:sz w:val="21"/>
                      <w:szCs w:val="21"/>
                    </w:rPr>
                    <w:t>0.004L</w:t>
                  </w:r>
                </w:p>
              </w:tc>
            </w:tr>
            <w:tr w14:paraId="14BB4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vMerge w:val="restart"/>
                  <w:vAlign w:val="center"/>
                </w:tcPr>
                <w:p w14:paraId="62B78B55">
                  <w:pPr>
                    <w:bidi w:val="0"/>
                    <w:spacing w:line="240" w:lineRule="auto"/>
                    <w:jc w:val="center"/>
                    <w:rPr>
                      <w:rFonts w:hint="eastAsia"/>
                      <w:sz w:val="21"/>
                      <w:szCs w:val="21"/>
                      <w:lang w:val="en-US" w:eastAsia="zh-CN"/>
                    </w:rPr>
                  </w:pPr>
                  <w:r>
                    <w:rPr>
                      <w:rFonts w:hint="eastAsia"/>
                      <w:sz w:val="21"/>
                      <w:szCs w:val="21"/>
                    </w:rPr>
                    <w:t>W2</w:t>
                  </w:r>
                </w:p>
              </w:tc>
              <w:tc>
                <w:tcPr>
                  <w:tcW w:w="0" w:type="auto"/>
                  <w:vAlign w:val="center"/>
                </w:tcPr>
                <w:p w14:paraId="17F6FC68">
                  <w:pPr>
                    <w:bidi w:val="0"/>
                    <w:spacing w:line="240" w:lineRule="auto"/>
                    <w:jc w:val="center"/>
                    <w:rPr>
                      <w:rFonts w:hint="eastAsia"/>
                      <w:sz w:val="21"/>
                      <w:szCs w:val="21"/>
                      <w:lang w:val="en-US" w:eastAsia="zh-CN"/>
                    </w:rPr>
                  </w:pPr>
                  <w:r>
                    <w:rPr>
                      <w:rFonts w:hint="eastAsia"/>
                      <w:sz w:val="21"/>
                      <w:szCs w:val="21"/>
                    </w:rPr>
                    <w:t>2023.</w:t>
                  </w:r>
                  <w:r>
                    <w:rPr>
                      <w:rFonts w:hint="eastAsia"/>
                      <w:sz w:val="21"/>
                      <w:szCs w:val="21"/>
                      <w:lang w:val="en-US" w:eastAsia="zh-CN"/>
                    </w:rPr>
                    <w:t>12.11</w:t>
                  </w:r>
                </w:p>
              </w:tc>
              <w:tc>
                <w:tcPr>
                  <w:tcW w:w="0" w:type="auto"/>
                  <w:vAlign w:val="center"/>
                </w:tcPr>
                <w:p w14:paraId="7753B7D6">
                  <w:pPr>
                    <w:bidi w:val="0"/>
                    <w:spacing w:line="240" w:lineRule="auto"/>
                    <w:jc w:val="center"/>
                    <w:rPr>
                      <w:rFonts w:hint="eastAsia"/>
                      <w:sz w:val="21"/>
                      <w:szCs w:val="21"/>
                      <w:lang w:val="en-US" w:eastAsia="zh-CN"/>
                    </w:rPr>
                  </w:pPr>
                  <w:r>
                    <w:rPr>
                      <w:sz w:val="21"/>
                      <w:szCs w:val="21"/>
                    </w:rPr>
                    <w:t>7.5（4.2</w:t>
                  </w:r>
                  <w:r>
                    <w:rPr>
                      <w:rFonts w:hint="eastAsia"/>
                      <w:sz w:val="21"/>
                      <w:szCs w:val="21"/>
                    </w:rPr>
                    <w:t>℃</w:t>
                  </w:r>
                  <w:r>
                    <w:rPr>
                      <w:sz w:val="21"/>
                      <w:szCs w:val="21"/>
                    </w:rPr>
                    <w:t>）</w:t>
                  </w:r>
                </w:p>
              </w:tc>
              <w:tc>
                <w:tcPr>
                  <w:tcW w:w="0" w:type="auto"/>
                  <w:vAlign w:val="center"/>
                </w:tcPr>
                <w:p w14:paraId="10BBB5C3">
                  <w:pPr>
                    <w:bidi w:val="0"/>
                    <w:spacing w:line="240" w:lineRule="auto"/>
                    <w:jc w:val="center"/>
                    <w:rPr>
                      <w:rFonts w:hint="eastAsia"/>
                      <w:sz w:val="21"/>
                      <w:szCs w:val="21"/>
                      <w:lang w:val="en-US" w:eastAsia="zh-CN"/>
                    </w:rPr>
                  </w:pPr>
                  <w:r>
                    <w:rPr>
                      <w:sz w:val="21"/>
                      <w:szCs w:val="21"/>
                    </w:rPr>
                    <w:t>8</w:t>
                  </w:r>
                  <w:r>
                    <w:rPr>
                      <w:rFonts w:hint="eastAsia"/>
                      <w:sz w:val="21"/>
                      <w:szCs w:val="21"/>
                    </w:rPr>
                    <w:t>.0</w:t>
                  </w:r>
                </w:p>
              </w:tc>
              <w:tc>
                <w:tcPr>
                  <w:tcW w:w="0" w:type="auto"/>
                  <w:vAlign w:val="center"/>
                </w:tcPr>
                <w:p w14:paraId="6D75DAAE">
                  <w:pPr>
                    <w:bidi w:val="0"/>
                    <w:spacing w:line="240" w:lineRule="auto"/>
                    <w:jc w:val="center"/>
                    <w:rPr>
                      <w:rFonts w:hint="eastAsia"/>
                      <w:sz w:val="21"/>
                      <w:szCs w:val="21"/>
                      <w:lang w:val="en-US" w:eastAsia="zh-CN"/>
                    </w:rPr>
                  </w:pPr>
                  <w:r>
                    <w:rPr>
                      <w:sz w:val="21"/>
                      <w:szCs w:val="21"/>
                    </w:rPr>
                    <w:t>5.2</w:t>
                  </w:r>
                </w:p>
              </w:tc>
              <w:tc>
                <w:tcPr>
                  <w:tcW w:w="0" w:type="auto"/>
                  <w:vAlign w:val="center"/>
                </w:tcPr>
                <w:p w14:paraId="141403AB">
                  <w:pPr>
                    <w:bidi w:val="0"/>
                    <w:spacing w:line="240" w:lineRule="auto"/>
                    <w:jc w:val="center"/>
                    <w:rPr>
                      <w:rFonts w:hint="eastAsia"/>
                      <w:sz w:val="21"/>
                      <w:szCs w:val="21"/>
                      <w:lang w:val="en-US" w:eastAsia="zh-CN"/>
                    </w:rPr>
                  </w:pPr>
                  <w:r>
                    <w:rPr>
                      <w:sz w:val="21"/>
                      <w:szCs w:val="21"/>
                    </w:rPr>
                    <w:t>10</w:t>
                  </w:r>
                </w:p>
              </w:tc>
              <w:tc>
                <w:tcPr>
                  <w:tcW w:w="0" w:type="auto"/>
                  <w:vAlign w:val="center"/>
                </w:tcPr>
                <w:p w14:paraId="05E01DD0">
                  <w:pPr>
                    <w:bidi w:val="0"/>
                    <w:spacing w:line="240" w:lineRule="auto"/>
                    <w:jc w:val="center"/>
                    <w:rPr>
                      <w:rFonts w:hint="eastAsia"/>
                      <w:sz w:val="21"/>
                      <w:szCs w:val="21"/>
                      <w:lang w:val="en-US" w:eastAsia="zh-CN"/>
                    </w:rPr>
                  </w:pPr>
                  <w:r>
                    <w:rPr>
                      <w:sz w:val="21"/>
                      <w:szCs w:val="21"/>
                    </w:rPr>
                    <w:t>1.1</w:t>
                  </w:r>
                </w:p>
              </w:tc>
              <w:tc>
                <w:tcPr>
                  <w:tcW w:w="0" w:type="auto"/>
                  <w:vAlign w:val="center"/>
                </w:tcPr>
                <w:p w14:paraId="6712139C">
                  <w:pPr>
                    <w:bidi w:val="0"/>
                    <w:spacing w:line="240" w:lineRule="auto"/>
                    <w:jc w:val="center"/>
                    <w:rPr>
                      <w:rFonts w:hint="eastAsia"/>
                      <w:sz w:val="21"/>
                      <w:szCs w:val="21"/>
                      <w:lang w:val="en-US" w:eastAsia="zh-CN"/>
                    </w:rPr>
                  </w:pPr>
                  <w:r>
                    <w:rPr>
                      <w:sz w:val="21"/>
                      <w:szCs w:val="21"/>
                    </w:rPr>
                    <w:t>0.334</w:t>
                  </w:r>
                </w:p>
              </w:tc>
              <w:tc>
                <w:tcPr>
                  <w:tcW w:w="0" w:type="auto"/>
                  <w:vAlign w:val="center"/>
                </w:tcPr>
                <w:p w14:paraId="5BAE603D">
                  <w:pPr>
                    <w:bidi w:val="0"/>
                    <w:spacing w:line="240" w:lineRule="auto"/>
                    <w:jc w:val="center"/>
                    <w:rPr>
                      <w:rFonts w:hint="eastAsia"/>
                      <w:sz w:val="21"/>
                      <w:szCs w:val="21"/>
                      <w:lang w:val="en-US" w:eastAsia="zh-CN"/>
                    </w:rPr>
                  </w:pPr>
                  <w:r>
                    <w:rPr>
                      <w:sz w:val="21"/>
                      <w:szCs w:val="21"/>
                    </w:rPr>
                    <w:t>0.07</w:t>
                  </w:r>
                </w:p>
              </w:tc>
              <w:tc>
                <w:tcPr>
                  <w:tcW w:w="0" w:type="auto"/>
                  <w:vAlign w:val="center"/>
                </w:tcPr>
                <w:p w14:paraId="48C64439">
                  <w:pPr>
                    <w:bidi w:val="0"/>
                    <w:spacing w:line="240" w:lineRule="auto"/>
                    <w:jc w:val="center"/>
                    <w:rPr>
                      <w:rFonts w:hint="eastAsia"/>
                      <w:sz w:val="21"/>
                      <w:szCs w:val="21"/>
                      <w:lang w:val="en-US" w:eastAsia="zh-CN"/>
                    </w:rPr>
                  </w:pPr>
                  <w:r>
                    <w:rPr>
                      <w:sz w:val="21"/>
                      <w:szCs w:val="21"/>
                    </w:rPr>
                    <w:t>0.93</w:t>
                  </w:r>
                </w:p>
              </w:tc>
              <w:tc>
                <w:tcPr>
                  <w:tcW w:w="0" w:type="auto"/>
                  <w:vAlign w:val="center"/>
                </w:tcPr>
                <w:p w14:paraId="2DEBC5E8">
                  <w:pPr>
                    <w:bidi w:val="0"/>
                    <w:spacing w:line="240" w:lineRule="auto"/>
                    <w:jc w:val="center"/>
                    <w:rPr>
                      <w:rFonts w:hint="eastAsia"/>
                      <w:sz w:val="21"/>
                      <w:szCs w:val="21"/>
                      <w:lang w:val="en-US" w:eastAsia="zh-CN"/>
                    </w:rPr>
                  </w:pPr>
                  <w:r>
                    <w:rPr>
                      <w:sz w:val="21"/>
                      <w:szCs w:val="21"/>
                    </w:rPr>
                    <w:t>0.004L</w:t>
                  </w:r>
                </w:p>
              </w:tc>
              <w:tc>
                <w:tcPr>
                  <w:tcW w:w="0" w:type="auto"/>
                  <w:vAlign w:val="center"/>
                </w:tcPr>
                <w:p w14:paraId="3B1A1EC5">
                  <w:pPr>
                    <w:bidi w:val="0"/>
                    <w:spacing w:line="240" w:lineRule="auto"/>
                    <w:jc w:val="center"/>
                    <w:rPr>
                      <w:rFonts w:hint="eastAsia"/>
                      <w:sz w:val="21"/>
                      <w:szCs w:val="21"/>
                      <w:lang w:val="en-US" w:eastAsia="zh-CN"/>
                    </w:rPr>
                  </w:pPr>
                  <w:r>
                    <w:rPr>
                      <w:sz w:val="21"/>
                      <w:szCs w:val="21"/>
                    </w:rPr>
                    <w:t>0.004L</w:t>
                  </w:r>
                </w:p>
              </w:tc>
            </w:tr>
            <w:tr w14:paraId="13137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vMerge w:val="continue"/>
                </w:tcPr>
                <w:p w14:paraId="78D09375">
                  <w:pPr>
                    <w:bidi w:val="0"/>
                    <w:spacing w:line="240" w:lineRule="auto"/>
                    <w:jc w:val="center"/>
                    <w:rPr>
                      <w:rFonts w:hint="eastAsia"/>
                      <w:sz w:val="21"/>
                      <w:szCs w:val="21"/>
                    </w:rPr>
                  </w:pPr>
                </w:p>
              </w:tc>
              <w:tc>
                <w:tcPr>
                  <w:tcW w:w="0" w:type="auto"/>
                  <w:vAlign w:val="center"/>
                </w:tcPr>
                <w:p w14:paraId="0E5035F4">
                  <w:pPr>
                    <w:bidi w:val="0"/>
                    <w:spacing w:line="240" w:lineRule="auto"/>
                    <w:jc w:val="center"/>
                    <w:rPr>
                      <w:rFonts w:hint="eastAsia"/>
                      <w:sz w:val="21"/>
                      <w:szCs w:val="21"/>
                      <w:lang w:val="en-US" w:eastAsia="zh-CN"/>
                    </w:rPr>
                  </w:pPr>
                  <w:r>
                    <w:rPr>
                      <w:rFonts w:hint="eastAsia"/>
                      <w:sz w:val="21"/>
                      <w:szCs w:val="21"/>
                    </w:rPr>
                    <w:t>2023.</w:t>
                  </w:r>
                  <w:r>
                    <w:rPr>
                      <w:rFonts w:hint="eastAsia"/>
                      <w:sz w:val="21"/>
                      <w:szCs w:val="21"/>
                      <w:lang w:val="en-US" w:eastAsia="zh-CN"/>
                    </w:rPr>
                    <w:t>12.12</w:t>
                  </w:r>
                </w:p>
              </w:tc>
              <w:tc>
                <w:tcPr>
                  <w:tcW w:w="0" w:type="auto"/>
                  <w:vAlign w:val="center"/>
                </w:tcPr>
                <w:p w14:paraId="1796C472">
                  <w:pPr>
                    <w:bidi w:val="0"/>
                    <w:spacing w:line="240" w:lineRule="auto"/>
                    <w:jc w:val="center"/>
                    <w:rPr>
                      <w:rFonts w:hint="eastAsia"/>
                      <w:sz w:val="21"/>
                      <w:szCs w:val="21"/>
                      <w:lang w:val="en-US" w:eastAsia="zh-CN"/>
                    </w:rPr>
                  </w:pPr>
                  <w:r>
                    <w:rPr>
                      <w:sz w:val="21"/>
                      <w:szCs w:val="21"/>
                    </w:rPr>
                    <w:t>7.6（4.9</w:t>
                  </w:r>
                  <w:r>
                    <w:rPr>
                      <w:rFonts w:hint="eastAsia"/>
                      <w:sz w:val="21"/>
                      <w:szCs w:val="21"/>
                    </w:rPr>
                    <w:t>℃</w:t>
                  </w:r>
                  <w:r>
                    <w:rPr>
                      <w:sz w:val="21"/>
                      <w:szCs w:val="21"/>
                    </w:rPr>
                    <w:t>）</w:t>
                  </w:r>
                </w:p>
              </w:tc>
              <w:tc>
                <w:tcPr>
                  <w:tcW w:w="0" w:type="auto"/>
                  <w:vAlign w:val="center"/>
                </w:tcPr>
                <w:p w14:paraId="4FC8CDCA">
                  <w:pPr>
                    <w:bidi w:val="0"/>
                    <w:spacing w:line="240" w:lineRule="auto"/>
                    <w:jc w:val="center"/>
                    <w:rPr>
                      <w:rFonts w:hint="eastAsia"/>
                      <w:sz w:val="21"/>
                      <w:szCs w:val="21"/>
                      <w:lang w:val="en-US" w:eastAsia="zh-CN"/>
                    </w:rPr>
                  </w:pPr>
                  <w:r>
                    <w:rPr>
                      <w:sz w:val="21"/>
                      <w:szCs w:val="21"/>
                    </w:rPr>
                    <w:t>7.8</w:t>
                  </w:r>
                </w:p>
              </w:tc>
              <w:tc>
                <w:tcPr>
                  <w:tcW w:w="0" w:type="auto"/>
                  <w:vAlign w:val="center"/>
                </w:tcPr>
                <w:p w14:paraId="0EE8112C">
                  <w:pPr>
                    <w:bidi w:val="0"/>
                    <w:spacing w:line="240" w:lineRule="auto"/>
                    <w:jc w:val="center"/>
                    <w:rPr>
                      <w:rFonts w:hint="eastAsia"/>
                      <w:sz w:val="21"/>
                      <w:szCs w:val="21"/>
                      <w:lang w:val="en-US" w:eastAsia="zh-CN"/>
                    </w:rPr>
                  </w:pPr>
                  <w:r>
                    <w:rPr>
                      <w:sz w:val="21"/>
                      <w:szCs w:val="21"/>
                    </w:rPr>
                    <w:t>5.3</w:t>
                  </w:r>
                </w:p>
              </w:tc>
              <w:tc>
                <w:tcPr>
                  <w:tcW w:w="0" w:type="auto"/>
                  <w:vAlign w:val="center"/>
                </w:tcPr>
                <w:p w14:paraId="515C323C">
                  <w:pPr>
                    <w:bidi w:val="0"/>
                    <w:spacing w:line="240" w:lineRule="auto"/>
                    <w:jc w:val="center"/>
                    <w:rPr>
                      <w:rFonts w:hint="eastAsia"/>
                      <w:sz w:val="21"/>
                      <w:szCs w:val="21"/>
                      <w:lang w:val="en-US" w:eastAsia="zh-CN"/>
                    </w:rPr>
                  </w:pPr>
                  <w:r>
                    <w:rPr>
                      <w:sz w:val="21"/>
                      <w:szCs w:val="21"/>
                    </w:rPr>
                    <w:t>13</w:t>
                  </w:r>
                </w:p>
              </w:tc>
              <w:tc>
                <w:tcPr>
                  <w:tcW w:w="0" w:type="auto"/>
                  <w:vAlign w:val="center"/>
                </w:tcPr>
                <w:p w14:paraId="018A8AAC">
                  <w:pPr>
                    <w:bidi w:val="0"/>
                    <w:spacing w:line="240" w:lineRule="auto"/>
                    <w:jc w:val="center"/>
                    <w:rPr>
                      <w:rFonts w:hint="eastAsia"/>
                      <w:sz w:val="21"/>
                      <w:szCs w:val="21"/>
                      <w:lang w:val="en-US" w:eastAsia="zh-CN"/>
                    </w:rPr>
                  </w:pPr>
                  <w:r>
                    <w:rPr>
                      <w:sz w:val="21"/>
                      <w:szCs w:val="21"/>
                    </w:rPr>
                    <w:t>1.4</w:t>
                  </w:r>
                </w:p>
              </w:tc>
              <w:tc>
                <w:tcPr>
                  <w:tcW w:w="0" w:type="auto"/>
                  <w:vAlign w:val="center"/>
                </w:tcPr>
                <w:p w14:paraId="2633B78D">
                  <w:pPr>
                    <w:bidi w:val="0"/>
                    <w:spacing w:line="240" w:lineRule="auto"/>
                    <w:jc w:val="center"/>
                    <w:rPr>
                      <w:rFonts w:hint="eastAsia"/>
                      <w:sz w:val="21"/>
                      <w:szCs w:val="21"/>
                      <w:lang w:val="en-US" w:eastAsia="zh-CN"/>
                    </w:rPr>
                  </w:pPr>
                  <w:r>
                    <w:rPr>
                      <w:sz w:val="21"/>
                      <w:szCs w:val="21"/>
                    </w:rPr>
                    <w:t>0.284</w:t>
                  </w:r>
                </w:p>
              </w:tc>
              <w:tc>
                <w:tcPr>
                  <w:tcW w:w="0" w:type="auto"/>
                  <w:vAlign w:val="center"/>
                </w:tcPr>
                <w:p w14:paraId="3435BE44">
                  <w:pPr>
                    <w:bidi w:val="0"/>
                    <w:spacing w:line="240" w:lineRule="auto"/>
                    <w:jc w:val="center"/>
                    <w:rPr>
                      <w:rFonts w:hint="eastAsia"/>
                      <w:sz w:val="21"/>
                      <w:szCs w:val="21"/>
                      <w:lang w:val="en-US" w:eastAsia="zh-CN"/>
                    </w:rPr>
                  </w:pPr>
                  <w:r>
                    <w:rPr>
                      <w:sz w:val="21"/>
                      <w:szCs w:val="21"/>
                    </w:rPr>
                    <w:t>0.05</w:t>
                  </w:r>
                </w:p>
              </w:tc>
              <w:tc>
                <w:tcPr>
                  <w:tcW w:w="0" w:type="auto"/>
                  <w:vAlign w:val="center"/>
                </w:tcPr>
                <w:p w14:paraId="498894BB">
                  <w:pPr>
                    <w:bidi w:val="0"/>
                    <w:spacing w:line="240" w:lineRule="auto"/>
                    <w:jc w:val="center"/>
                    <w:rPr>
                      <w:rFonts w:hint="eastAsia"/>
                      <w:sz w:val="21"/>
                      <w:szCs w:val="21"/>
                      <w:lang w:val="en-US" w:eastAsia="zh-CN"/>
                    </w:rPr>
                  </w:pPr>
                  <w:r>
                    <w:rPr>
                      <w:sz w:val="21"/>
                      <w:szCs w:val="21"/>
                    </w:rPr>
                    <w:t>0.90</w:t>
                  </w:r>
                </w:p>
              </w:tc>
              <w:tc>
                <w:tcPr>
                  <w:tcW w:w="0" w:type="auto"/>
                  <w:vAlign w:val="center"/>
                </w:tcPr>
                <w:p w14:paraId="36CF73D1">
                  <w:pPr>
                    <w:bidi w:val="0"/>
                    <w:spacing w:line="240" w:lineRule="auto"/>
                    <w:jc w:val="center"/>
                    <w:rPr>
                      <w:rFonts w:hint="eastAsia"/>
                      <w:sz w:val="21"/>
                      <w:szCs w:val="21"/>
                      <w:lang w:val="en-US" w:eastAsia="zh-CN"/>
                    </w:rPr>
                  </w:pPr>
                  <w:r>
                    <w:rPr>
                      <w:sz w:val="21"/>
                      <w:szCs w:val="21"/>
                    </w:rPr>
                    <w:t>0.004L</w:t>
                  </w:r>
                </w:p>
              </w:tc>
              <w:tc>
                <w:tcPr>
                  <w:tcW w:w="0" w:type="auto"/>
                  <w:vAlign w:val="center"/>
                </w:tcPr>
                <w:p w14:paraId="035EEC3B">
                  <w:pPr>
                    <w:bidi w:val="0"/>
                    <w:spacing w:line="240" w:lineRule="auto"/>
                    <w:jc w:val="center"/>
                    <w:rPr>
                      <w:rFonts w:hint="eastAsia"/>
                      <w:sz w:val="21"/>
                      <w:szCs w:val="21"/>
                      <w:lang w:val="en-US" w:eastAsia="zh-CN"/>
                    </w:rPr>
                  </w:pPr>
                  <w:r>
                    <w:rPr>
                      <w:sz w:val="21"/>
                      <w:szCs w:val="21"/>
                    </w:rPr>
                    <w:t>0.004L</w:t>
                  </w:r>
                </w:p>
              </w:tc>
            </w:tr>
            <w:tr w14:paraId="66057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vMerge w:val="continue"/>
                </w:tcPr>
                <w:p w14:paraId="63FC44AF">
                  <w:pPr>
                    <w:bidi w:val="0"/>
                    <w:spacing w:line="240" w:lineRule="auto"/>
                    <w:jc w:val="center"/>
                    <w:rPr>
                      <w:rFonts w:hint="eastAsia"/>
                      <w:sz w:val="21"/>
                      <w:szCs w:val="21"/>
                    </w:rPr>
                  </w:pPr>
                </w:p>
              </w:tc>
              <w:tc>
                <w:tcPr>
                  <w:tcW w:w="0" w:type="auto"/>
                  <w:vAlign w:val="center"/>
                </w:tcPr>
                <w:p w14:paraId="07AFF6D8">
                  <w:pPr>
                    <w:bidi w:val="0"/>
                    <w:spacing w:line="240" w:lineRule="auto"/>
                    <w:jc w:val="center"/>
                    <w:rPr>
                      <w:rFonts w:hint="eastAsia"/>
                      <w:sz w:val="21"/>
                      <w:szCs w:val="21"/>
                      <w:lang w:val="en-US" w:eastAsia="zh-CN"/>
                    </w:rPr>
                  </w:pPr>
                  <w:r>
                    <w:rPr>
                      <w:rFonts w:hint="eastAsia"/>
                      <w:sz w:val="21"/>
                      <w:szCs w:val="21"/>
                    </w:rPr>
                    <w:t>2023.</w:t>
                  </w:r>
                  <w:r>
                    <w:rPr>
                      <w:rFonts w:hint="eastAsia"/>
                      <w:sz w:val="21"/>
                      <w:szCs w:val="21"/>
                      <w:lang w:val="en-US" w:eastAsia="zh-CN"/>
                    </w:rPr>
                    <w:t>12.13</w:t>
                  </w:r>
                </w:p>
              </w:tc>
              <w:tc>
                <w:tcPr>
                  <w:tcW w:w="0" w:type="auto"/>
                  <w:vAlign w:val="center"/>
                </w:tcPr>
                <w:p w14:paraId="7CD22A5A">
                  <w:pPr>
                    <w:bidi w:val="0"/>
                    <w:spacing w:line="240" w:lineRule="auto"/>
                    <w:jc w:val="center"/>
                    <w:rPr>
                      <w:rFonts w:hint="eastAsia"/>
                      <w:sz w:val="21"/>
                      <w:szCs w:val="21"/>
                      <w:lang w:val="en-US" w:eastAsia="zh-CN"/>
                    </w:rPr>
                  </w:pPr>
                  <w:r>
                    <w:rPr>
                      <w:sz w:val="21"/>
                      <w:szCs w:val="21"/>
                    </w:rPr>
                    <w:t>7.</w:t>
                  </w:r>
                  <w:r>
                    <w:rPr>
                      <w:rFonts w:hint="eastAsia"/>
                      <w:sz w:val="21"/>
                      <w:szCs w:val="21"/>
                    </w:rPr>
                    <w:t>4</w:t>
                  </w:r>
                  <w:r>
                    <w:rPr>
                      <w:sz w:val="21"/>
                      <w:szCs w:val="21"/>
                    </w:rPr>
                    <w:t>（</w:t>
                  </w:r>
                  <w:r>
                    <w:rPr>
                      <w:rFonts w:hint="eastAsia"/>
                      <w:sz w:val="21"/>
                      <w:szCs w:val="21"/>
                    </w:rPr>
                    <w:t>5.3℃</w:t>
                  </w:r>
                  <w:r>
                    <w:rPr>
                      <w:sz w:val="21"/>
                      <w:szCs w:val="21"/>
                    </w:rPr>
                    <w:t>）</w:t>
                  </w:r>
                </w:p>
              </w:tc>
              <w:tc>
                <w:tcPr>
                  <w:tcW w:w="0" w:type="auto"/>
                  <w:vAlign w:val="center"/>
                </w:tcPr>
                <w:p w14:paraId="60DB0CB9">
                  <w:pPr>
                    <w:bidi w:val="0"/>
                    <w:spacing w:line="240" w:lineRule="auto"/>
                    <w:jc w:val="center"/>
                    <w:rPr>
                      <w:rFonts w:hint="eastAsia"/>
                      <w:sz w:val="21"/>
                      <w:szCs w:val="21"/>
                      <w:lang w:val="en-US" w:eastAsia="zh-CN"/>
                    </w:rPr>
                  </w:pPr>
                  <w:r>
                    <w:rPr>
                      <w:sz w:val="21"/>
                      <w:szCs w:val="21"/>
                    </w:rPr>
                    <w:t>7.6</w:t>
                  </w:r>
                </w:p>
              </w:tc>
              <w:tc>
                <w:tcPr>
                  <w:tcW w:w="0" w:type="auto"/>
                  <w:vAlign w:val="center"/>
                </w:tcPr>
                <w:p w14:paraId="7792ED45">
                  <w:pPr>
                    <w:bidi w:val="0"/>
                    <w:spacing w:line="240" w:lineRule="auto"/>
                    <w:jc w:val="center"/>
                    <w:rPr>
                      <w:rFonts w:hint="eastAsia"/>
                      <w:sz w:val="21"/>
                      <w:szCs w:val="21"/>
                      <w:lang w:val="en-US" w:eastAsia="zh-CN"/>
                    </w:rPr>
                  </w:pPr>
                  <w:r>
                    <w:rPr>
                      <w:sz w:val="21"/>
                      <w:szCs w:val="21"/>
                    </w:rPr>
                    <w:t>5.2</w:t>
                  </w:r>
                </w:p>
              </w:tc>
              <w:tc>
                <w:tcPr>
                  <w:tcW w:w="0" w:type="auto"/>
                  <w:vAlign w:val="center"/>
                </w:tcPr>
                <w:p w14:paraId="470B2CED">
                  <w:pPr>
                    <w:bidi w:val="0"/>
                    <w:spacing w:line="240" w:lineRule="auto"/>
                    <w:jc w:val="center"/>
                    <w:rPr>
                      <w:rFonts w:hint="eastAsia"/>
                      <w:sz w:val="21"/>
                      <w:szCs w:val="21"/>
                      <w:lang w:val="en-US" w:eastAsia="zh-CN"/>
                    </w:rPr>
                  </w:pPr>
                  <w:r>
                    <w:rPr>
                      <w:sz w:val="21"/>
                      <w:szCs w:val="21"/>
                    </w:rPr>
                    <w:t>13</w:t>
                  </w:r>
                </w:p>
              </w:tc>
              <w:tc>
                <w:tcPr>
                  <w:tcW w:w="0" w:type="auto"/>
                  <w:vAlign w:val="center"/>
                </w:tcPr>
                <w:p w14:paraId="5276DCA7">
                  <w:pPr>
                    <w:bidi w:val="0"/>
                    <w:spacing w:line="240" w:lineRule="auto"/>
                    <w:jc w:val="center"/>
                    <w:rPr>
                      <w:rFonts w:hint="eastAsia"/>
                      <w:sz w:val="21"/>
                      <w:szCs w:val="21"/>
                      <w:lang w:val="en-US" w:eastAsia="zh-CN"/>
                    </w:rPr>
                  </w:pPr>
                  <w:r>
                    <w:rPr>
                      <w:rFonts w:hint="eastAsia"/>
                      <w:sz w:val="21"/>
                      <w:szCs w:val="21"/>
                    </w:rPr>
                    <w:t>1.4</w:t>
                  </w:r>
                </w:p>
              </w:tc>
              <w:tc>
                <w:tcPr>
                  <w:tcW w:w="0" w:type="auto"/>
                  <w:vAlign w:val="center"/>
                </w:tcPr>
                <w:p w14:paraId="23311A88">
                  <w:pPr>
                    <w:bidi w:val="0"/>
                    <w:spacing w:line="240" w:lineRule="auto"/>
                    <w:jc w:val="center"/>
                    <w:rPr>
                      <w:rFonts w:hint="eastAsia"/>
                      <w:sz w:val="21"/>
                      <w:szCs w:val="21"/>
                      <w:lang w:val="en-US" w:eastAsia="zh-CN"/>
                    </w:rPr>
                  </w:pPr>
                  <w:r>
                    <w:rPr>
                      <w:sz w:val="21"/>
                      <w:szCs w:val="21"/>
                    </w:rPr>
                    <w:t>0.300</w:t>
                  </w:r>
                </w:p>
              </w:tc>
              <w:tc>
                <w:tcPr>
                  <w:tcW w:w="0" w:type="auto"/>
                  <w:vAlign w:val="center"/>
                </w:tcPr>
                <w:p w14:paraId="2A3FAD80">
                  <w:pPr>
                    <w:bidi w:val="0"/>
                    <w:spacing w:line="240" w:lineRule="auto"/>
                    <w:jc w:val="center"/>
                    <w:rPr>
                      <w:rFonts w:hint="eastAsia"/>
                      <w:sz w:val="21"/>
                      <w:szCs w:val="21"/>
                      <w:lang w:val="en-US" w:eastAsia="zh-CN"/>
                    </w:rPr>
                  </w:pPr>
                  <w:r>
                    <w:rPr>
                      <w:sz w:val="21"/>
                      <w:szCs w:val="21"/>
                    </w:rPr>
                    <w:t>0.06</w:t>
                  </w:r>
                </w:p>
              </w:tc>
              <w:tc>
                <w:tcPr>
                  <w:tcW w:w="0" w:type="auto"/>
                  <w:vAlign w:val="center"/>
                </w:tcPr>
                <w:p w14:paraId="562A1C26">
                  <w:pPr>
                    <w:bidi w:val="0"/>
                    <w:spacing w:line="240" w:lineRule="auto"/>
                    <w:jc w:val="center"/>
                    <w:rPr>
                      <w:rFonts w:hint="eastAsia"/>
                      <w:sz w:val="21"/>
                      <w:szCs w:val="21"/>
                      <w:lang w:val="en-US" w:eastAsia="zh-CN"/>
                    </w:rPr>
                  </w:pPr>
                  <w:r>
                    <w:rPr>
                      <w:sz w:val="21"/>
                      <w:szCs w:val="21"/>
                    </w:rPr>
                    <w:t>0.93</w:t>
                  </w:r>
                </w:p>
              </w:tc>
              <w:tc>
                <w:tcPr>
                  <w:tcW w:w="0" w:type="auto"/>
                  <w:vAlign w:val="center"/>
                </w:tcPr>
                <w:p w14:paraId="69B8D147">
                  <w:pPr>
                    <w:bidi w:val="0"/>
                    <w:spacing w:line="240" w:lineRule="auto"/>
                    <w:jc w:val="center"/>
                    <w:rPr>
                      <w:rFonts w:hint="eastAsia"/>
                      <w:sz w:val="21"/>
                      <w:szCs w:val="21"/>
                      <w:lang w:val="en-US" w:eastAsia="zh-CN"/>
                    </w:rPr>
                  </w:pPr>
                  <w:r>
                    <w:rPr>
                      <w:sz w:val="21"/>
                      <w:szCs w:val="21"/>
                    </w:rPr>
                    <w:t>0.004L</w:t>
                  </w:r>
                </w:p>
              </w:tc>
              <w:tc>
                <w:tcPr>
                  <w:tcW w:w="0" w:type="auto"/>
                  <w:vAlign w:val="center"/>
                </w:tcPr>
                <w:p w14:paraId="6C5E6D47">
                  <w:pPr>
                    <w:bidi w:val="0"/>
                    <w:spacing w:line="240" w:lineRule="auto"/>
                    <w:jc w:val="center"/>
                    <w:rPr>
                      <w:rFonts w:hint="eastAsia"/>
                      <w:sz w:val="21"/>
                      <w:szCs w:val="21"/>
                      <w:lang w:val="en-US" w:eastAsia="zh-CN"/>
                    </w:rPr>
                  </w:pPr>
                  <w:r>
                    <w:rPr>
                      <w:sz w:val="21"/>
                      <w:szCs w:val="21"/>
                    </w:rPr>
                    <w:t>0.004L</w:t>
                  </w:r>
                </w:p>
              </w:tc>
            </w:tr>
            <w:tr w14:paraId="3D112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vMerge w:val="restart"/>
                  <w:vAlign w:val="center"/>
                </w:tcPr>
                <w:p w14:paraId="181D1BBC">
                  <w:pPr>
                    <w:bidi w:val="0"/>
                    <w:spacing w:line="240" w:lineRule="auto"/>
                    <w:jc w:val="center"/>
                    <w:rPr>
                      <w:rFonts w:hint="eastAsia"/>
                      <w:sz w:val="21"/>
                      <w:szCs w:val="21"/>
                      <w:lang w:val="en-US" w:eastAsia="zh-CN"/>
                    </w:rPr>
                  </w:pPr>
                  <w:r>
                    <w:rPr>
                      <w:rFonts w:hint="eastAsia"/>
                      <w:sz w:val="21"/>
                      <w:szCs w:val="21"/>
                    </w:rPr>
                    <w:t>W3</w:t>
                  </w:r>
                </w:p>
              </w:tc>
              <w:tc>
                <w:tcPr>
                  <w:tcW w:w="0" w:type="auto"/>
                  <w:vAlign w:val="center"/>
                </w:tcPr>
                <w:p w14:paraId="6342F832">
                  <w:pPr>
                    <w:bidi w:val="0"/>
                    <w:spacing w:line="240" w:lineRule="auto"/>
                    <w:jc w:val="center"/>
                    <w:rPr>
                      <w:rFonts w:hint="eastAsia"/>
                      <w:sz w:val="21"/>
                      <w:szCs w:val="21"/>
                      <w:lang w:val="en-US" w:eastAsia="zh-CN"/>
                    </w:rPr>
                  </w:pPr>
                  <w:r>
                    <w:rPr>
                      <w:rFonts w:hint="eastAsia"/>
                      <w:sz w:val="21"/>
                      <w:szCs w:val="21"/>
                    </w:rPr>
                    <w:t>2023.</w:t>
                  </w:r>
                  <w:r>
                    <w:rPr>
                      <w:rFonts w:hint="eastAsia"/>
                      <w:sz w:val="21"/>
                      <w:szCs w:val="21"/>
                      <w:lang w:val="en-US" w:eastAsia="zh-CN"/>
                    </w:rPr>
                    <w:t>12.11</w:t>
                  </w:r>
                </w:p>
              </w:tc>
              <w:tc>
                <w:tcPr>
                  <w:tcW w:w="0" w:type="auto"/>
                  <w:vAlign w:val="center"/>
                </w:tcPr>
                <w:p w14:paraId="72020DC5">
                  <w:pPr>
                    <w:bidi w:val="0"/>
                    <w:spacing w:line="240" w:lineRule="auto"/>
                    <w:jc w:val="center"/>
                    <w:rPr>
                      <w:rFonts w:hint="eastAsia"/>
                      <w:sz w:val="21"/>
                      <w:szCs w:val="21"/>
                      <w:lang w:val="en-US" w:eastAsia="zh-CN"/>
                    </w:rPr>
                  </w:pPr>
                  <w:r>
                    <w:rPr>
                      <w:sz w:val="21"/>
                      <w:szCs w:val="21"/>
                    </w:rPr>
                    <w:t>7.8（3.9</w:t>
                  </w:r>
                  <w:r>
                    <w:rPr>
                      <w:rFonts w:hint="eastAsia"/>
                      <w:sz w:val="21"/>
                      <w:szCs w:val="21"/>
                    </w:rPr>
                    <w:t>℃</w:t>
                  </w:r>
                  <w:r>
                    <w:rPr>
                      <w:sz w:val="21"/>
                      <w:szCs w:val="21"/>
                    </w:rPr>
                    <w:t>）</w:t>
                  </w:r>
                </w:p>
              </w:tc>
              <w:tc>
                <w:tcPr>
                  <w:tcW w:w="0" w:type="auto"/>
                  <w:vAlign w:val="center"/>
                </w:tcPr>
                <w:p w14:paraId="35C8D21D">
                  <w:pPr>
                    <w:bidi w:val="0"/>
                    <w:spacing w:line="240" w:lineRule="auto"/>
                    <w:jc w:val="center"/>
                    <w:rPr>
                      <w:rFonts w:hint="eastAsia"/>
                      <w:sz w:val="21"/>
                      <w:szCs w:val="21"/>
                      <w:lang w:val="en-US" w:eastAsia="zh-CN"/>
                    </w:rPr>
                  </w:pPr>
                  <w:r>
                    <w:rPr>
                      <w:sz w:val="21"/>
                      <w:szCs w:val="21"/>
                    </w:rPr>
                    <w:t>7.3</w:t>
                  </w:r>
                </w:p>
              </w:tc>
              <w:tc>
                <w:tcPr>
                  <w:tcW w:w="0" w:type="auto"/>
                  <w:vAlign w:val="center"/>
                </w:tcPr>
                <w:p w14:paraId="327D6EF8">
                  <w:pPr>
                    <w:bidi w:val="0"/>
                    <w:spacing w:line="240" w:lineRule="auto"/>
                    <w:jc w:val="center"/>
                    <w:rPr>
                      <w:rFonts w:hint="eastAsia"/>
                      <w:sz w:val="21"/>
                      <w:szCs w:val="21"/>
                      <w:lang w:val="en-US" w:eastAsia="zh-CN"/>
                    </w:rPr>
                  </w:pPr>
                  <w:r>
                    <w:rPr>
                      <w:sz w:val="21"/>
                      <w:szCs w:val="21"/>
                    </w:rPr>
                    <w:t>5.2</w:t>
                  </w:r>
                </w:p>
              </w:tc>
              <w:tc>
                <w:tcPr>
                  <w:tcW w:w="0" w:type="auto"/>
                  <w:vAlign w:val="center"/>
                </w:tcPr>
                <w:p w14:paraId="1D00959F">
                  <w:pPr>
                    <w:bidi w:val="0"/>
                    <w:spacing w:line="240" w:lineRule="auto"/>
                    <w:jc w:val="center"/>
                    <w:rPr>
                      <w:rFonts w:hint="eastAsia"/>
                      <w:sz w:val="21"/>
                      <w:szCs w:val="21"/>
                      <w:lang w:val="en-US" w:eastAsia="zh-CN"/>
                    </w:rPr>
                  </w:pPr>
                  <w:r>
                    <w:rPr>
                      <w:sz w:val="21"/>
                      <w:szCs w:val="21"/>
                    </w:rPr>
                    <w:t>16</w:t>
                  </w:r>
                </w:p>
              </w:tc>
              <w:tc>
                <w:tcPr>
                  <w:tcW w:w="0" w:type="auto"/>
                  <w:vAlign w:val="center"/>
                </w:tcPr>
                <w:p w14:paraId="15B32048">
                  <w:pPr>
                    <w:bidi w:val="0"/>
                    <w:spacing w:line="240" w:lineRule="auto"/>
                    <w:jc w:val="center"/>
                    <w:rPr>
                      <w:rFonts w:hint="eastAsia"/>
                      <w:sz w:val="21"/>
                      <w:szCs w:val="21"/>
                      <w:lang w:val="en-US" w:eastAsia="zh-CN"/>
                    </w:rPr>
                  </w:pPr>
                  <w:r>
                    <w:rPr>
                      <w:sz w:val="21"/>
                      <w:szCs w:val="21"/>
                    </w:rPr>
                    <w:t>1.9</w:t>
                  </w:r>
                </w:p>
              </w:tc>
              <w:tc>
                <w:tcPr>
                  <w:tcW w:w="0" w:type="auto"/>
                  <w:vAlign w:val="center"/>
                </w:tcPr>
                <w:p w14:paraId="191750EF">
                  <w:pPr>
                    <w:bidi w:val="0"/>
                    <w:spacing w:line="240" w:lineRule="auto"/>
                    <w:jc w:val="center"/>
                    <w:rPr>
                      <w:rFonts w:hint="eastAsia"/>
                      <w:sz w:val="21"/>
                      <w:szCs w:val="21"/>
                      <w:lang w:val="en-US" w:eastAsia="zh-CN"/>
                    </w:rPr>
                  </w:pPr>
                  <w:r>
                    <w:rPr>
                      <w:sz w:val="21"/>
                      <w:szCs w:val="21"/>
                    </w:rPr>
                    <w:t>0.318</w:t>
                  </w:r>
                </w:p>
              </w:tc>
              <w:tc>
                <w:tcPr>
                  <w:tcW w:w="0" w:type="auto"/>
                  <w:vAlign w:val="center"/>
                </w:tcPr>
                <w:p w14:paraId="56B582D8">
                  <w:pPr>
                    <w:bidi w:val="0"/>
                    <w:spacing w:line="240" w:lineRule="auto"/>
                    <w:jc w:val="center"/>
                    <w:rPr>
                      <w:rFonts w:hint="eastAsia"/>
                      <w:sz w:val="21"/>
                      <w:szCs w:val="21"/>
                      <w:lang w:val="en-US" w:eastAsia="zh-CN"/>
                    </w:rPr>
                  </w:pPr>
                  <w:r>
                    <w:rPr>
                      <w:sz w:val="21"/>
                      <w:szCs w:val="21"/>
                    </w:rPr>
                    <w:t>0.06</w:t>
                  </w:r>
                </w:p>
              </w:tc>
              <w:tc>
                <w:tcPr>
                  <w:tcW w:w="0" w:type="auto"/>
                  <w:vAlign w:val="center"/>
                </w:tcPr>
                <w:p w14:paraId="60D4A5FA">
                  <w:pPr>
                    <w:bidi w:val="0"/>
                    <w:spacing w:line="240" w:lineRule="auto"/>
                    <w:jc w:val="center"/>
                    <w:rPr>
                      <w:rFonts w:hint="eastAsia"/>
                      <w:sz w:val="21"/>
                      <w:szCs w:val="21"/>
                      <w:lang w:val="en-US" w:eastAsia="zh-CN"/>
                    </w:rPr>
                  </w:pPr>
                  <w:r>
                    <w:rPr>
                      <w:sz w:val="21"/>
                      <w:szCs w:val="21"/>
                    </w:rPr>
                    <w:t>0.91</w:t>
                  </w:r>
                </w:p>
              </w:tc>
              <w:tc>
                <w:tcPr>
                  <w:tcW w:w="0" w:type="auto"/>
                  <w:vAlign w:val="center"/>
                </w:tcPr>
                <w:p w14:paraId="1F63C423">
                  <w:pPr>
                    <w:bidi w:val="0"/>
                    <w:spacing w:line="240" w:lineRule="auto"/>
                    <w:jc w:val="center"/>
                    <w:rPr>
                      <w:rFonts w:hint="eastAsia"/>
                      <w:sz w:val="21"/>
                      <w:szCs w:val="21"/>
                      <w:lang w:val="en-US" w:eastAsia="zh-CN"/>
                    </w:rPr>
                  </w:pPr>
                  <w:r>
                    <w:rPr>
                      <w:sz w:val="21"/>
                      <w:szCs w:val="21"/>
                    </w:rPr>
                    <w:t>0.004L</w:t>
                  </w:r>
                </w:p>
              </w:tc>
              <w:tc>
                <w:tcPr>
                  <w:tcW w:w="0" w:type="auto"/>
                  <w:vAlign w:val="center"/>
                </w:tcPr>
                <w:p w14:paraId="752B8143">
                  <w:pPr>
                    <w:bidi w:val="0"/>
                    <w:spacing w:line="240" w:lineRule="auto"/>
                    <w:jc w:val="center"/>
                    <w:rPr>
                      <w:rFonts w:hint="eastAsia"/>
                      <w:sz w:val="21"/>
                      <w:szCs w:val="21"/>
                      <w:lang w:val="en-US" w:eastAsia="zh-CN"/>
                    </w:rPr>
                  </w:pPr>
                  <w:r>
                    <w:rPr>
                      <w:sz w:val="21"/>
                      <w:szCs w:val="21"/>
                    </w:rPr>
                    <w:t>0.004L</w:t>
                  </w:r>
                </w:p>
              </w:tc>
            </w:tr>
            <w:tr w14:paraId="45F2E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vMerge w:val="continue"/>
                </w:tcPr>
                <w:p w14:paraId="235A2FCD">
                  <w:pPr>
                    <w:bidi w:val="0"/>
                    <w:spacing w:line="240" w:lineRule="auto"/>
                    <w:jc w:val="center"/>
                    <w:rPr>
                      <w:rFonts w:hint="eastAsia"/>
                      <w:sz w:val="21"/>
                      <w:szCs w:val="21"/>
                    </w:rPr>
                  </w:pPr>
                </w:p>
              </w:tc>
              <w:tc>
                <w:tcPr>
                  <w:tcW w:w="0" w:type="auto"/>
                  <w:vAlign w:val="center"/>
                </w:tcPr>
                <w:p w14:paraId="0DE8CD16">
                  <w:pPr>
                    <w:bidi w:val="0"/>
                    <w:spacing w:line="240" w:lineRule="auto"/>
                    <w:jc w:val="center"/>
                    <w:rPr>
                      <w:rFonts w:hint="eastAsia"/>
                      <w:sz w:val="21"/>
                      <w:szCs w:val="21"/>
                      <w:lang w:val="en-US" w:eastAsia="zh-CN"/>
                    </w:rPr>
                  </w:pPr>
                  <w:r>
                    <w:rPr>
                      <w:rFonts w:hint="eastAsia"/>
                      <w:sz w:val="21"/>
                      <w:szCs w:val="21"/>
                    </w:rPr>
                    <w:t>2023.</w:t>
                  </w:r>
                  <w:r>
                    <w:rPr>
                      <w:rFonts w:hint="eastAsia"/>
                      <w:sz w:val="21"/>
                      <w:szCs w:val="21"/>
                      <w:lang w:val="en-US" w:eastAsia="zh-CN"/>
                    </w:rPr>
                    <w:t>12.12</w:t>
                  </w:r>
                </w:p>
              </w:tc>
              <w:tc>
                <w:tcPr>
                  <w:tcW w:w="0" w:type="auto"/>
                  <w:vAlign w:val="center"/>
                </w:tcPr>
                <w:p w14:paraId="1346EF69">
                  <w:pPr>
                    <w:bidi w:val="0"/>
                    <w:spacing w:line="240" w:lineRule="auto"/>
                    <w:jc w:val="center"/>
                    <w:rPr>
                      <w:rFonts w:hint="eastAsia"/>
                      <w:sz w:val="21"/>
                      <w:szCs w:val="21"/>
                      <w:lang w:val="en-US" w:eastAsia="zh-CN"/>
                    </w:rPr>
                  </w:pPr>
                  <w:r>
                    <w:rPr>
                      <w:sz w:val="21"/>
                      <w:szCs w:val="21"/>
                    </w:rPr>
                    <w:t>7.5（3.8</w:t>
                  </w:r>
                  <w:r>
                    <w:rPr>
                      <w:rFonts w:hint="eastAsia"/>
                      <w:sz w:val="21"/>
                      <w:szCs w:val="21"/>
                    </w:rPr>
                    <w:t>℃</w:t>
                  </w:r>
                  <w:r>
                    <w:rPr>
                      <w:sz w:val="21"/>
                      <w:szCs w:val="21"/>
                    </w:rPr>
                    <w:t>）</w:t>
                  </w:r>
                </w:p>
              </w:tc>
              <w:tc>
                <w:tcPr>
                  <w:tcW w:w="0" w:type="auto"/>
                  <w:vAlign w:val="center"/>
                </w:tcPr>
                <w:p w14:paraId="5064ED5C">
                  <w:pPr>
                    <w:bidi w:val="0"/>
                    <w:spacing w:line="240" w:lineRule="auto"/>
                    <w:jc w:val="center"/>
                    <w:rPr>
                      <w:rFonts w:hint="eastAsia"/>
                      <w:sz w:val="21"/>
                      <w:szCs w:val="21"/>
                      <w:lang w:val="en-US" w:eastAsia="zh-CN"/>
                    </w:rPr>
                  </w:pPr>
                  <w:r>
                    <w:rPr>
                      <w:sz w:val="21"/>
                      <w:szCs w:val="21"/>
                    </w:rPr>
                    <w:t>7.7</w:t>
                  </w:r>
                </w:p>
              </w:tc>
              <w:tc>
                <w:tcPr>
                  <w:tcW w:w="0" w:type="auto"/>
                  <w:vAlign w:val="center"/>
                </w:tcPr>
                <w:p w14:paraId="72D42D8D">
                  <w:pPr>
                    <w:bidi w:val="0"/>
                    <w:spacing w:line="240" w:lineRule="auto"/>
                    <w:jc w:val="center"/>
                    <w:rPr>
                      <w:rFonts w:hint="eastAsia"/>
                      <w:sz w:val="21"/>
                      <w:szCs w:val="21"/>
                      <w:lang w:val="en-US" w:eastAsia="zh-CN"/>
                    </w:rPr>
                  </w:pPr>
                  <w:r>
                    <w:rPr>
                      <w:sz w:val="21"/>
                      <w:szCs w:val="21"/>
                    </w:rPr>
                    <w:t>5.</w:t>
                  </w:r>
                  <w:r>
                    <w:rPr>
                      <w:rFonts w:hint="eastAsia"/>
                      <w:sz w:val="21"/>
                      <w:szCs w:val="21"/>
                    </w:rPr>
                    <w:t>0</w:t>
                  </w:r>
                </w:p>
              </w:tc>
              <w:tc>
                <w:tcPr>
                  <w:tcW w:w="0" w:type="auto"/>
                  <w:vAlign w:val="center"/>
                </w:tcPr>
                <w:p w14:paraId="5533AFF7">
                  <w:pPr>
                    <w:bidi w:val="0"/>
                    <w:spacing w:line="240" w:lineRule="auto"/>
                    <w:jc w:val="center"/>
                    <w:rPr>
                      <w:rFonts w:hint="eastAsia"/>
                      <w:sz w:val="21"/>
                      <w:szCs w:val="21"/>
                      <w:lang w:val="en-US" w:eastAsia="zh-CN"/>
                    </w:rPr>
                  </w:pPr>
                  <w:r>
                    <w:rPr>
                      <w:sz w:val="21"/>
                      <w:szCs w:val="21"/>
                    </w:rPr>
                    <w:t>14</w:t>
                  </w:r>
                </w:p>
              </w:tc>
              <w:tc>
                <w:tcPr>
                  <w:tcW w:w="0" w:type="auto"/>
                  <w:vAlign w:val="center"/>
                </w:tcPr>
                <w:p w14:paraId="2CBE6352">
                  <w:pPr>
                    <w:bidi w:val="0"/>
                    <w:spacing w:line="240" w:lineRule="auto"/>
                    <w:jc w:val="center"/>
                    <w:rPr>
                      <w:rFonts w:hint="eastAsia"/>
                      <w:sz w:val="21"/>
                      <w:szCs w:val="21"/>
                      <w:lang w:val="en-US" w:eastAsia="zh-CN"/>
                    </w:rPr>
                  </w:pPr>
                  <w:r>
                    <w:rPr>
                      <w:sz w:val="21"/>
                      <w:szCs w:val="21"/>
                    </w:rPr>
                    <w:t>1.6</w:t>
                  </w:r>
                </w:p>
              </w:tc>
              <w:tc>
                <w:tcPr>
                  <w:tcW w:w="0" w:type="auto"/>
                  <w:vAlign w:val="center"/>
                </w:tcPr>
                <w:p w14:paraId="42507C94">
                  <w:pPr>
                    <w:bidi w:val="0"/>
                    <w:spacing w:line="240" w:lineRule="auto"/>
                    <w:jc w:val="center"/>
                    <w:rPr>
                      <w:rFonts w:hint="eastAsia"/>
                      <w:sz w:val="21"/>
                      <w:szCs w:val="21"/>
                      <w:lang w:val="en-US" w:eastAsia="zh-CN"/>
                    </w:rPr>
                  </w:pPr>
                  <w:r>
                    <w:rPr>
                      <w:sz w:val="21"/>
                      <w:szCs w:val="21"/>
                    </w:rPr>
                    <w:t>0.268</w:t>
                  </w:r>
                </w:p>
              </w:tc>
              <w:tc>
                <w:tcPr>
                  <w:tcW w:w="0" w:type="auto"/>
                  <w:vAlign w:val="center"/>
                </w:tcPr>
                <w:p w14:paraId="2A741099">
                  <w:pPr>
                    <w:bidi w:val="0"/>
                    <w:spacing w:line="240" w:lineRule="auto"/>
                    <w:jc w:val="center"/>
                    <w:rPr>
                      <w:rFonts w:hint="eastAsia"/>
                      <w:sz w:val="21"/>
                      <w:szCs w:val="21"/>
                      <w:lang w:val="en-US" w:eastAsia="zh-CN"/>
                    </w:rPr>
                  </w:pPr>
                  <w:r>
                    <w:rPr>
                      <w:sz w:val="21"/>
                      <w:szCs w:val="21"/>
                    </w:rPr>
                    <w:t>0.05</w:t>
                  </w:r>
                </w:p>
              </w:tc>
              <w:tc>
                <w:tcPr>
                  <w:tcW w:w="0" w:type="auto"/>
                  <w:vAlign w:val="center"/>
                </w:tcPr>
                <w:p w14:paraId="3FC2C603">
                  <w:pPr>
                    <w:bidi w:val="0"/>
                    <w:spacing w:line="240" w:lineRule="auto"/>
                    <w:jc w:val="center"/>
                    <w:rPr>
                      <w:rFonts w:hint="eastAsia"/>
                      <w:sz w:val="21"/>
                      <w:szCs w:val="21"/>
                      <w:lang w:val="en-US" w:eastAsia="zh-CN"/>
                    </w:rPr>
                  </w:pPr>
                  <w:r>
                    <w:rPr>
                      <w:sz w:val="21"/>
                      <w:szCs w:val="21"/>
                    </w:rPr>
                    <w:t>0.92</w:t>
                  </w:r>
                </w:p>
              </w:tc>
              <w:tc>
                <w:tcPr>
                  <w:tcW w:w="0" w:type="auto"/>
                  <w:vAlign w:val="center"/>
                </w:tcPr>
                <w:p w14:paraId="758ED7A6">
                  <w:pPr>
                    <w:bidi w:val="0"/>
                    <w:spacing w:line="240" w:lineRule="auto"/>
                    <w:jc w:val="center"/>
                    <w:rPr>
                      <w:rFonts w:hint="eastAsia"/>
                      <w:sz w:val="21"/>
                      <w:szCs w:val="21"/>
                      <w:lang w:val="en-US" w:eastAsia="zh-CN"/>
                    </w:rPr>
                  </w:pPr>
                  <w:r>
                    <w:rPr>
                      <w:sz w:val="21"/>
                      <w:szCs w:val="21"/>
                    </w:rPr>
                    <w:t>0.004L</w:t>
                  </w:r>
                </w:p>
              </w:tc>
              <w:tc>
                <w:tcPr>
                  <w:tcW w:w="0" w:type="auto"/>
                  <w:vAlign w:val="center"/>
                </w:tcPr>
                <w:p w14:paraId="183BDF12">
                  <w:pPr>
                    <w:bidi w:val="0"/>
                    <w:spacing w:line="240" w:lineRule="auto"/>
                    <w:jc w:val="center"/>
                    <w:rPr>
                      <w:rFonts w:hint="eastAsia"/>
                      <w:sz w:val="21"/>
                      <w:szCs w:val="21"/>
                      <w:lang w:val="en-US" w:eastAsia="zh-CN"/>
                    </w:rPr>
                  </w:pPr>
                  <w:r>
                    <w:rPr>
                      <w:sz w:val="21"/>
                      <w:szCs w:val="21"/>
                    </w:rPr>
                    <w:t>0.004L</w:t>
                  </w:r>
                </w:p>
              </w:tc>
            </w:tr>
            <w:tr w14:paraId="3AED4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vMerge w:val="continue"/>
                </w:tcPr>
                <w:p w14:paraId="081BC5C5">
                  <w:pPr>
                    <w:bidi w:val="0"/>
                    <w:spacing w:line="240" w:lineRule="auto"/>
                    <w:jc w:val="center"/>
                    <w:rPr>
                      <w:rFonts w:hint="eastAsia"/>
                      <w:sz w:val="21"/>
                      <w:szCs w:val="21"/>
                    </w:rPr>
                  </w:pPr>
                </w:p>
              </w:tc>
              <w:tc>
                <w:tcPr>
                  <w:tcW w:w="0" w:type="auto"/>
                  <w:vAlign w:val="center"/>
                </w:tcPr>
                <w:p w14:paraId="507839DE">
                  <w:pPr>
                    <w:bidi w:val="0"/>
                    <w:spacing w:line="240" w:lineRule="auto"/>
                    <w:jc w:val="center"/>
                    <w:rPr>
                      <w:rFonts w:hint="eastAsia"/>
                      <w:sz w:val="21"/>
                      <w:szCs w:val="21"/>
                      <w:lang w:val="en-US" w:eastAsia="zh-CN"/>
                    </w:rPr>
                  </w:pPr>
                  <w:r>
                    <w:rPr>
                      <w:rFonts w:hint="eastAsia"/>
                      <w:sz w:val="21"/>
                      <w:szCs w:val="21"/>
                    </w:rPr>
                    <w:t>2023.</w:t>
                  </w:r>
                  <w:r>
                    <w:rPr>
                      <w:rFonts w:hint="eastAsia"/>
                      <w:sz w:val="21"/>
                      <w:szCs w:val="21"/>
                      <w:lang w:val="en-US" w:eastAsia="zh-CN"/>
                    </w:rPr>
                    <w:t>12.13</w:t>
                  </w:r>
                </w:p>
              </w:tc>
              <w:tc>
                <w:tcPr>
                  <w:tcW w:w="0" w:type="auto"/>
                  <w:vAlign w:val="center"/>
                </w:tcPr>
                <w:p w14:paraId="59A665B9">
                  <w:pPr>
                    <w:bidi w:val="0"/>
                    <w:spacing w:line="240" w:lineRule="auto"/>
                    <w:jc w:val="center"/>
                    <w:rPr>
                      <w:rFonts w:hint="eastAsia"/>
                      <w:sz w:val="21"/>
                      <w:szCs w:val="21"/>
                      <w:lang w:val="en-US" w:eastAsia="zh-CN"/>
                    </w:rPr>
                  </w:pPr>
                  <w:r>
                    <w:rPr>
                      <w:sz w:val="21"/>
                      <w:szCs w:val="21"/>
                    </w:rPr>
                    <w:t>7.</w:t>
                  </w:r>
                  <w:r>
                    <w:rPr>
                      <w:rFonts w:hint="eastAsia"/>
                      <w:sz w:val="21"/>
                      <w:szCs w:val="21"/>
                    </w:rPr>
                    <w:t>7</w:t>
                  </w:r>
                  <w:r>
                    <w:rPr>
                      <w:sz w:val="21"/>
                      <w:szCs w:val="21"/>
                    </w:rPr>
                    <w:t>（</w:t>
                  </w:r>
                  <w:r>
                    <w:rPr>
                      <w:rFonts w:hint="eastAsia"/>
                      <w:sz w:val="21"/>
                      <w:szCs w:val="21"/>
                    </w:rPr>
                    <w:t>5.0℃</w:t>
                  </w:r>
                  <w:r>
                    <w:rPr>
                      <w:sz w:val="21"/>
                      <w:szCs w:val="21"/>
                    </w:rPr>
                    <w:t>）</w:t>
                  </w:r>
                </w:p>
              </w:tc>
              <w:tc>
                <w:tcPr>
                  <w:tcW w:w="0" w:type="auto"/>
                  <w:vAlign w:val="center"/>
                </w:tcPr>
                <w:p w14:paraId="479CF55E">
                  <w:pPr>
                    <w:bidi w:val="0"/>
                    <w:spacing w:line="240" w:lineRule="auto"/>
                    <w:jc w:val="center"/>
                    <w:rPr>
                      <w:rFonts w:hint="eastAsia"/>
                      <w:sz w:val="21"/>
                      <w:szCs w:val="21"/>
                      <w:lang w:val="en-US" w:eastAsia="zh-CN"/>
                    </w:rPr>
                  </w:pPr>
                  <w:r>
                    <w:rPr>
                      <w:sz w:val="21"/>
                      <w:szCs w:val="21"/>
                    </w:rPr>
                    <w:t>7.5</w:t>
                  </w:r>
                </w:p>
              </w:tc>
              <w:tc>
                <w:tcPr>
                  <w:tcW w:w="0" w:type="auto"/>
                  <w:vAlign w:val="center"/>
                </w:tcPr>
                <w:p w14:paraId="5CC7995E">
                  <w:pPr>
                    <w:bidi w:val="0"/>
                    <w:spacing w:line="240" w:lineRule="auto"/>
                    <w:jc w:val="center"/>
                    <w:rPr>
                      <w:rFonts w:hint="eastAsia"/>
                      <w:sz w:val="21"/>
                      <w:szCs w:val="21"/>
                      <w:lang w:val="en-US" w:eastAsia="zh-CN"/>
                    </w:rPr>
                  </w:pPr>
                  <w:r>
                    <w:rPr>
                      <w:sz w:val="21"/>
                      <w:szCs w:val="21"/>
                    </w:rPr>
                    <w:t>4.7</w:t>
                  </w:r>
                </w:p>
              </w:tc>
              <w:tc>
                <w:tcPr>
                  <w:tcW w:w="0" w:type="auto"/>
                  <w:vAlign w:val="center"/>
                </w:tcPr>
                <w:p w14:paraId="6ADCB13E">
                  <w:pPr>
                    <w:bidi w:val="0"/>
                    <w:spacing w:line="240" w:lineRule="auto"/>
                    <w:jc w:val="center"/>
                    <w:rPr>
                      <w:rFonts w:hint="eastAsia"/>
                      <w:sz w:val="21"/>
                      <w:szCs w:val="21"/>
                      <w:lang w:val="en-US" w:eastAsia="zh-CN"/>
                    </w:rPr>
                  </w:pPr>
                  <w:r>
                    <w:rPr>
                      <w:sz w:val="21"/>
                      <w:szCs w:val="21"/>
                    </w:rPr>
                    <w:t>14</w:t>
                  </w:r>
                </w:p>
              </w:tc>
              <w:tc>
                <w:tcPr>
                  <w:tcW w:w="0" w:type="auto"/>
                  <w:vAlign w:val="center"/>
                </w:tcPr>
                <w:p w14:paraId="2569FFE2">
                  <w:pPr>
                    <w:bidi w:val="0"/>
                    <w:spacing w:line="240" w:lineRule="auto"/>
                    <w:jc w:val="center"/>
                    <w:rPr>
                      <w:rFonts w:hint="eastAsia"/>
                      <w:sz w:val="21"/>
                      <w:szCs w:val="21"/>
                      <w:lang w:val="en-US" w:eastAsia="zh-CN"/>
                    </w:rPr>
                  </w:pPr>
                  <w:r>
                    <w:rPr>
                      <w:rFonts w:hint="eastAsia"/>
                      <w:sz w:val="21"/>
                      <w:szCs w:val="21"/>
                    </w:rPr>
                    <w:t>1.6</w:t>
                  </w:r>
                </w:p>
              </w:tc>
              <w:tc>
                <w:tcPr>
                  <w:tcW w:w="0" w:type="auto"/>
                  <w:vAlign w:val="center"/>
                </w:tcPr>
                <w:p w14:paraId="0C27EF1C">
                  <w:pPr>
                    <w:bidi w:val="0"/>
                    <w:spacing w:line="240" w:lineRule="auto"/>
                    <w:jc w:val="center"/>
                    <w:rPr>
                      <w:rFonts w:hint="eastAsia"/>
                      <w:sz w:val="21"/>
                      <w:szCs w:val="21"/>
                      <w:lang w:val="en-US" w:eastAsia="zh-CN"/>
                    </w:rPr>
                  </w:pPr>
                  <w:r>
                    <w:rPr>
                      <w:sz w:val="21"/>
                      <w:szCs w:val="21"/>
                    </w:rPr>
                    <w:t>0.342</w:t>
                  </w:r>
                </w:p>
              </w:tc>
              <w:tc>
                <w:tcPr>
                  <w:tcW w:w="0" w:type="auto"/>
                  <w:vAlign w:val="center"/>
                </w:tcPr>
                <w:p w14:paraId="1F845904">
                  <w:pPr>
                    <w:bidi w:val="0"/>
                    <w:spacing w:line="240" w:lineRule="auto"/>
                    <w:jc w:val="center"/>
                    <w:rPr>
                      <w:rFonts w:hint="eastAsia"/>
                      <w:sz w:val="21"/>
                      <w:szCs w:val="21"/>
                      <w:lang w:val="en-US" w:eastAsia="zh-CN"/>
                    </w:rPr>
                  </w:pPr>
                  <w:r>
                    <w:rPr>
                      <w:sz w:val="21"/>
                      <w:szCs w:val="21"/>
                    </w:rPr>
                    <w:t>0.05</w:t>
                  </w:r>
                </w:p>
              </w:tc>
              <w:tc>
                <w:tcPr>
                  <w:tcW w:w="0" w:type="auto"/>
                  <w:vAlign w:val="center"/>
                </w:tcPr>
                <w:p w14:paraId="5370134C">
                  <w:pPr>
                    <w:bidi w:val="0"/>
                    <w:spacing w:line="240" w:lineRule="auto"/>
                    <w:jc w:val="center"/>
                    <w:rPr>
                      <w:rFonts w:hint="eastAsia"/>
                      <w:sz w:val="21"/>
                      <w:szCs w:val="21"/>
                      <w:lang w:val="en-US" w:eastAsia="zh-CN"/>
                    </w:rPr>
                  </w:pPr>
                  <w:r>
                    <w:rPr>
                      <w:sz w:val="21"/>
                      <w:szCs w:val="21"/>
                    </w:rPr>
                    <w:t>0.94</w:t>
                  </w:r>
                </w:p>
              </w:tc>
              <w:tc>
                <w:tcPr>
                  <w:tcW w:w="0" w:type="auto"/>
                  <w:vAlign w:val="center"/>
                </w:tcPr>
                <w:p w14:paraId="0C5B175E">
                  <w:pPr>
                    <w:bidi w:val="0"/>
                    <w:spacing w:line="240" w:lineRule="auto"/>
                    <w:jc w:val="center"/>
                    <w:rPr>
                      <w:rFonts w:hint="eastAsia"/>
                      <w:sz w:val="21"/>
                      <w:szCs w:val="21"/>
                      <w:lang w:val="en-US" w:eastAsia="zh-CN"/>
                    </w:rPr>
                  </w:pPr>
                  <w:r>
                    <w:rPr>
                      <w:sz w:val="21"/>
                      <w:szCs w:val="21"/>
                    </w:rPr>
                    <w:t>0.004L</w:t>
                  </w:r>
                </w:p>
              </w:tc>
              <w:tc>
                <w:tcPr>
                  <w:tcW w:w="0" w:type="auto"/>
                  <w:vAlign w:val="center"/>
                </w:tcPr>
                <w:p w14:paraId="2A7C1167">
                  <w:pPr>
                    <w:bidi w:val="0"/>
                    <w:spacing w:line="240" w:lineRule="auto"/>
                    <w:jc w:val="center"/>
                    <w:rPr>
                      <w:rFonts w:hint="eastAsia"/>
                      <w:sz w:val="21"/>
                      <w:szCs w:val="21"/>
                      <w:lang w:val="en-US" w:eastAsia="zh-CN"/>
                    </w:rPr>
                  </w:pPr>
                  <w:r>
                    <w:rPr>
                      <w:sz w:val="21"/>
                      <w:szCs w:val="21"/>
                    </w:rPr>
                    <w:t>0.004L</w:t>
                  </w:r>
                </w:p>
              </w:tc>
            </w:tr>
            <w:tr w14:paraId="3018C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vMerge w:val="restart"/>
                </w:tcPr>
                <w:p w14:paraId="74FAA9E1">
                  <w:pPr>
                    <w:bidi w:val="0"/>
                    <w:spacing w:line="240" w:lineRule="auto"/>
                    <w:jc w:val="center"/>
                    <w:rPr>
                      <w:rFonts w:hint="default"/>
                      <w:sz w:val="21"/>
                      <w:szCs w:val="21"/>
                      <w:lang w:val="en-US" w:eastAsia="zh-CN"/>
                    </w:rPr>
                  </w:pPr>
                  <w:r>
                    <w:rPr>
                      <w:rFonts w:hint="eastAsia"/>
                      <w:sz w:val="21"/>
                      <w:szCs w:val="21"/>
                      <w:lang w:val="en-US" w:eastAsia="zh-CN"/>
                    </w:rPr>
                    <w:t>W4</w:t>
                  </w:r>
                </w:p>
              </w:tc>
              <w:tc>
                <w:tcPr>
                  <w:tcW w:w="0" w:type="auto"/>
                  <w:vAlign w:val="center"/>
                </w:tcPr>
                <w:p w14:paraId="60D2685E">
                  <w:pPr>
                    <w:bidi w:val="0"/>
                    <w:spacing w:line="240" w:lineRule="auto"/>
                    <w:jc w:val="center"/>
                    <w:rPr>
                      <w:rFonts w:hint="eastAsia"/>
                      <w:sz w:val="21"/>
                      <w:szCs w:val="21"/>
                      <w:lang w:val="en-US" w:eastAsia="zh-CN"/>
                    </w:rPr>
                  </w:pPr>
                  <w:r>
                    <w:rPr>
                      <w:rFonts w:hint="eastAsia"/>
                      <w:sz w:val="21"/>
                      <w:szCs w:val="21"/>
                    </w:rPr>
                    <w:t>2023.</w:t>
                  </w:r>
                  <w:r>
                    <w:rPr>
                      <w:rFonts w:hint="eastAsia"/>
                      <w:sz w:val="21"/>
                      <w:szCs w:val="21"/>
                      <w:lang w:val="en-US" w:eastAsia="zh-CN"/>
                    </w:rPr>
                    <w:t>12.11</w:t>
                  </w:r>
                </w:p>
              </w:tc>
              <w:tc>
                <w:tcPr>
                  <w:tcW w:w="0" w:type="auto"/>
                  <w:vAlign w:val="center"/>
                </w:tcPr>
                <w:p w14:paraId="33344AAA">
                  <w:pPr>
                    <w:bidi w:val="0"/>
                    <w:spacing w:line="240" w:lineRule="auto"/>
                    <w:jc w:val="center"/>
                    <w:rPr>
                      <w:rFonts w:hint="eastAsia"/>
                      <w:sz w:val="21"/>
                      <w:szCs w:val="21"/>
                      <w:lang w:val="en-US" w:eastAsia="zh-CN"/>
                    </w:rPr>
                  </w:pPr>
                  <w:r>
                    <w:rPr>
                      <w:sz w:val="21"/>
                      <w:szCs w:val="21"/>
                    </w:rPr>
                    <w:t>7.7（4</w:t>
                  </w:r>
                  <w:r>
                    <w:rPr>
                      <w:rFonts w:hint="eastAsia"/>
                      <w:sz w:val="21"/>
                      <w:szCs w:val="21"/>
                    </w:rPr>
                    <w:t>.0℃</w:t>
                  </w:r>
                  <w:r>
                    <w:rPr>
                      <w:sz w:val="21"/>
                      <w:szCs w:val="21"/>
                    </w:rPr>
                    <w:t>）</w:t>
                  </w:r>
                </w:p>
              </w:tc>
              <w:tc>
                <w:tcPr>
                  <w:tcW w:w="0" w:type="auto"/>
                  <w:vAlign w:val="center"/>
                </w:tcPr>
                <w:p w14:paraId="063138ED">
                  <w:pPr>
                    <w:bidi w:val="0"/>
                    <w:spacing w:line="240" w:lineRule="auto"/>
                    <w:jc w:val="center"/>
                    <w:rPr>
                      <w:rFonts w:hint="eastAsia"/>
                      <w:sz w:val="21"/>
                      <w:szCs w:val="21"/>
                      <w:lang w:val="en-US" w:eastAsia="zh-CN"/>
                    </w:rPr>
                  </w:pPr>
                  <w:r>
                    <w:rPr>
                      <w:sz w:val="21"/>
                      <w:szCs w:val="21"/>
                    </w:rPr>
                    <w:t>7.4</w:t>
                  </w:r>
                </w:p>
              </w:tc>
              <w:tc>
                <w:tcPr>
                  <w:tcW w:w="0" w:type="auto"/>
                  <w:vAlign w:val="center"/>
                </w:tcPr>
                <w:p w14:paraId="13A60568">
                  <w:pPr>
                    <w:bidi w:val="0"/>
                    <w:spacing w:line="240" w:lineRule="auto"/>
                    <w:jc w:val="center"/>
                    <w:rPr>
                      <w:rFonts w:hint="eastAsia"/>
                      <w:sz w:val="21"/>
                      <w:szCs w:val="21"/>
                      <w:lang w:val="en-US" w:eastAsia="zh-CN"/>
                    </w:rPr>
                  </w:pPr>
                  <w:r>
                    <w:rPr>
                      <w:sz w:val="21"/>
                      <w:szCs w:val="21"/>
                    </w:rPr>
                    <w:t>5.2</w:t>
                  </w:r>
                </w:p>
              </w:tc>
              <w:tc>
                <w:tcPr>
                  <w:tcW w:w="0" w:type="auto"/>
                  <w:vAlign w:val="center"/>
                </w:tcPr>
                <w:p w14:paraId="451088D6">
                  <w:pPr>
                    <w:bidi w:val="0"/>
                    <w:spacing w:line="240" w:lineRule="auto"/>
                    <w:jc w:val="center"/>
                    <w:rPr>
                      <w:rFonts w:hint="eastAsia"/>
                      <w:sz w:val="21"/>
                      <w:szCs w:val="21"/>
                      <w:lang w:val="en-US" w:eastAsia="zh-CN"/>
                    </w:rPr>
                  </w:pPr>
                  <w:r>
                    <w:rPr>
                      <w:sz w:val="21"/>
                      <w:szCs w:val="21"/>
                    </w:rPr>
                    <w:t>8</w:t>
                  </w:r>
                </w:p>
              </w:tc>
              <w:tc>
                <w:tcPr>
                  <w:tcW w:w="0" w:type="auto"/>
                  <w:vAlign w:val="center"/>
                </w:tcPr>
                <w:p w14:paraId="4B8F2570">
                  <w:pPr>
                    <w:bidi w:val="0"/>
                    <w:spacing w:line="240" w:lineRule="auto"/>
                    <w:jc w:val="center"/>
                    <w:rPr>
                      <w:rFonts w:hint="eastAsia"/>
                      <w:sz w:val="21"/>
                      <w:szCs w:val="21"/>
                      <w:lang w:val="en-US" w:eastAsia="zh-CN"/>
                    </w:rPr>
                  </w:pPr>
                  <w:r>
                    <w:rPr>
                      <w:sz w:val="21"/>
                      <w:szCs w:val="21"/>
                    </w:rPr>
                    <w:t>1</w:t>
                  </w:r>
                  <w:r>
                    <w:rPr>
                      <w:rFonts w:hint="eastAsia"/>
                      <w:sz w:val="21"/>
                      <w:szCs w:val="21"/>
                    </w:rPr>
                    <w:t>.0</w:t>
                  </w:r>
                </w:p>
              </w:tc>
              <w:tc>
                <w:tcPr>
                  <w:tcW w:w="0" w:type="auto"/>
                  <w:vAlign w:val="center"/>
                </w:tcPr>
                <w:p w14:paraId="357DCA75">
                  <w:pPr>
                    <w:bidi w:val="0"/>
                    <w:spacing w:line="240" w:lineRule="auto"/>
                    <w:jc w:val="center"/>
                    <w:rPr>
                      <w:rFonts w:hint="eastAsia"/>
                      <w:sz w:val="21"/>
                      <w:szCs w:val="21"/>
                      <w:lang w:val="en-US" w:eastAsia="zh-CN"/>
                    </w:rPr>
                  </w:pPr>
                  <w:r>
                    <w:rPr>
                      <w:sz w:val="21"/>
                      <w:szCs w:val="21"/>
                    </w:rPr>
                    <w:t>0.306</w:t>
                  </w:r>
                </w:p>
              </w:tc>
              <w:tc>
                <w:tcPr>
                  <w:tcW w:w="0" w:type="auto"/>
                  <w:vAlign w:val="center"/>
                </w:tcPr>
                <w:p w14:paraId="716409A7">
                  <w:pPr>
                    <w:bidi w:val="0"/>
                    <w:spacing w:line="240" w:lineRule="auto"/>
                    <w:jc w:val="center"/>
                    <w:rPr>
                      <w:rFonts w:hint="eastAsia"/>
                      <w:sz w:val="21"/>
                      <w:szCs w:val="21"/>
                      <w:lang w:val="en-US" w:eastAsia="zh-CN"/>
                    </w:rPr>
                  </w:pPr>
                  <w:r>
                    <w:rPr>
                      <w:sz w:val="21"/>
                      <w:szCs w:val="21"/>
                    </w:rPr>
                    <w:t>0.05</w:t>
                  </w:r>
                </w:p>
              </w:tc>
              <w:tc>
                <w:tcPr>
                  <w:tcW w:w="0" w:type="auto"/>
                  <w:vAlign w:val="center"/>
                </w:tcPr>
                <w:p w14:paraId="03D01E98">
                  <w:pPr>
                    <w:bidi w:val="0"/>
                    <w:spacing w:line="240" w:lineRule="auto"/>
                    <w:jc w:val="center"/>
                    <w:rPr>
                      <w:rFonts w:hint="eastAsia"/>
                      <w:sz w:val="21"/>
                      <w:szCs w:val="21"/>
                      <w:lang w:val="en-US" w:eastAsia="zh-CN"/>
                    </w:rPr>
                  </w:pPr>
                  <w:r>
                    <w:rPr>
                      <w:sz w:val="21"/>
                      <w:szCs w:val="21"/>
                    </w:rPr>
                    <w:t>0.92</w:t>
                  </w:r>
                </w:p>
              </w:tc>
              <w:tc>
                <w:tcPr>
                  <w:tcW w:w="0" w:type="auto"/>
                  <w:vAlign w:val="center"/>
                </w:tcPr>
                <w:p w14:paraId="5E38E440">
                  <w:pPr>
                    <w:bidi w:val="0"/>
                    <w:spacing w:line="240" w:lineRule="auto"/>
                    <w:jc w:val="center"/>
                    <w:rPr>
                      <w:rFonts w:hint="eastAsia"/>
                      <w:sz w:val="21"/>
                      <w:szCs w:val="21"/>
                      <w:lang w:val="en-US" w:eastAsia="zh-CN"/>
                    </w:rPr>
                  </w:pPr>
                  <w:r>
                    <w:rPr>
                      <w:sz w:val="21"/>
                      <w:szCs w:val="21"/>
                    </w:rPr>
                    <w:t>0.004L</w:t>
                  </w:r>
                </w:p>
              </w:tc>
              <w:tc>
                <w:tcPr>
                  <w:tcW w:w="0" w:type="auto"/>
                  <w:vAlign w:val="center"/>
                </w:tcPr>
                <w:p w14:paraId="5118C2ED">
                  <w:pPr>
                    <w:bidi w:val="0"/>
                    <w:spacing w:line="240" w:lineRule="auto"/>
                    <w:jc w:val="center"/>
                    <w:rPr>
                      <w:rFonts w:hint="eastAsia"/>
                      <w:sz w:val="21"/>
                      <w:szCs w:val="21"/>
                      <w:lang w:val="en-US" w:eastAsia="zh-CN"/>
                    </w:rPr>
                  </w:pPr>
                  <w:r>
                    <w:rPr>
                      <w:sz w:val="21"/>
                      <w:szCs w:val="21"/>
                    </w:rPr>
                    <w:t>0.004L</w:t>
                  </w:r>
                </w:p>
              </w:tc>
            </w:tr>
            <w:tr w14:paraId="2C888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vMerge w:val="continue"/>
                </w:tcPr>
                <w:p w14:paraId="42885E3A">
                  <w:pPr>
                    <w:bidi w:val="0"/>
                    <w:spacing w:line="240" w:lineRule="auto"/>
                    <w:jc w:val="center"/>
                    <w:rPr>
                      <w:rFonts w:hint="default"/>
                      <w:sz w:val="21"/>
                      <w:szCs w:val="21"/>
                      <w:lang w:val="en-US" w:eastAsia="zh-CN"/>
                    </w:rPr>
                  </w:pPr>
                </w:p>
              </w:tc>
              <w:tc>
                <w:tcPr>
                  <w:tcW w:w="0" w:type="auto"/>
                  <w:vAlign w:val="center"/>
                </w:tcPr>
                <w:p w14:paraId="21F7D7EC">
                  <w:pPr>
                    <w:bidi w:val="0"/>
                    <w:spacing w:line="240" w:lineRule="auto"/>
                    <w:jc w:val="center"/>
                    <w:rPr>
                      <w:rFonts w:hint="eastAsia"/>
                      <w:sz w:val="21"/>
                      <w:szCs w:val="21"/>
                      <w:lang w:val="en-US" w:eastAsia="zh-CN"/>
                    </w:rPr>
                  </w:pPr>
                  <w:r>
                    <w:rPr>
                      <w:rFonts w:hint="eastAsia"/>
                      <w:sz w:val="21"/>
                      <w:szCs w:val="21"/>
                    </w:rPr>
                    <w:t>2023.</w:t>
                  </w:r>
                  <w:r>
                    <w:rPr>
                      <w:rFonts w:hint="eastAsia"/>
                      <w:sz w:val="21"/>
                      <w:szCs w:val="21"/>
                      <w:lang w:val="en-US" w:eastAsia="zh-CN"/>
                    </w:rPr>
                    <w:t>12.12</w:t>
                  </w:r>
                </w:p>
              </w:tc>
              <w:tc>
                <w:tcPr>
                  <w:tcW w:w="0" w:type="auto"/>
                  <w:vAlign w:val="center"/>
                </w:tcPr>
                <w:p w14:paraId="0790F47B">
                  <w:pPr>
                    <w:bidi w:val="0"/>
                    <w:spacing w:line="240" w:lineRule="auto"/>
                    <w:jc w:val="center"/>
                    <w:rPr>
                      <w:rFonts w:hint="eastAsia"/>
                      <w:sz w:val="21"/>
                      <w:szCs w:val="21"/>
                      <w:lang w:val="en-US" w:eastAsia="zh-CN"/>
                    </w:rPr>
                  </w:pPr>
                  <w:r>
                    <w:rPr>
                      <w:sz w:val="21"/>
                      <w:szCs w:val="21"/>
                    </w:rPr>
                    <w:t>7.5（4.6</w:t>
                  </w:r>
                  <w:r>
                    <w:rPr>
                      <w:rFonts w:hint="eastAsia"/>
                      <w:sz w:val="21"/>
                      <w:szCs w:val="21"/>
                    </w:rPr>
                    <w:t>℃</w:t>
                  </w:r>
                  <w:r>
                    <w:rPr>
                      <w:sz w:val="21"/>
                      <w:szCs w:val="21"/>
                    </w:rPr>
                    <w:t>）</w:t>
                  </w:r>
                </w:p>
              </w:tc>
              <w:tc>
                <w:tcPr>
                  <w:tcW w:w="0" w:type="auto"/>
                  <w:vAlign w:val="center"/>
                </w:tcPr>
                <w:p w14:paraId="77663B64">
                  <w:pPr>
                    <w:bidi w:val="0"/>
                    <w:spacing w:line="240" w:lineRule="auto"/>
                    <w:jc w:val="center"/>
                    <w:rPr>
                      <w:rFonts w:hint="eastAsia"/>
                      <w:sz w:val="21"/>
                      <w:szCs w:val="21"/>
                      <w:lang w:val="en-US" w:eastAsia="zh-CN"/>
                    </w:rPr>
                  </w:pPr>
                  <w:r>
                    <w:rPr>
                      <w:sz w:val="21"/>
                      <w:szCs w:val="21"/>
                    </w:rPr>
                    <w:t>7.8</w:t>
                  </w:r>
                </w:p>
              </w:tc>
              <w:tc>
                <w:tcPr>
                  <w:tcW w:w="0" w:type="auto"/>
                  <w:vAlign w:val="center"/>
                </w:tcPr>
                <w:p w14:paraId="4B9AAD8E">
                  <w:pPr>
                    <w:bidi w:val="0"/>
                    <w:spacing w:line="240" w:lineRule="auto"/>
                    <w:jc w:val="center"/>
                    <w:rPr>
                      <w:rFonts w:hint="eastAsia"/>
                      <w:sz w:val="21"/>
                      <w:szCs w:val="21"/>
                      <w:lang w:val="en-US" w:eastAsia="zh-CN"/>
                    </w:rPr>
                  </w:pPr>
                  <w:r>
                    <w:rPr>
                      <w:sz w:val="21"/>
                      <w:szCs w:val="21"/>
                    </w:rPr>
                    <w:t>4.8</w:t>
                  </w:r>
                </w:p>
              </w:tc>
              <w:tc>
                <w:tcPr>
                  <w:tcW w:w="0" w:type="auto"/>
                  <w:vAlign w:val="center"/>
                </w:tcPr>
                <w:p w14:paraId="21690B79">
                  <w:pPr>
                    <w:bidi w:val="0"/>
                    <w:spacing w:line="240" w:lineRule="auto"/>
                    <w:jc w:val="center"/>
                    <w:rPr>
                      <w:rFonts w:hint="eastAsia"/>
                      <w:sz w:val="21"/>
                      <w:szCs w:val="21"/>
                      <w:lang w:val="en-US" w:eastAsia="zh-CN"/>
                    </w:rPr>
                  </w:pPr>
                  <w:r>
                    <w:rPr>
                      <w:sz w:val="21"/>
                      <w:szCs w:val="21"/>
                    </w:rPr>
                    <w:t>11</w:t>
                  </w:r>
                </w:p>
              </w:tc>
              <w:tc>
                <w:tcPr>
                  <w:tcW w:w="0" w:type="auto"/>
                  <w:vAlign w:val="center"/>
                </w:tcPr>
                <w:p w14:paraId="6B6127C8">
                  <w:pPr>
                    <w:bidi w:val="0"/>
                    <w:spacing w:line="240" w:lineRule="auto"/>
                    <w:jc w:val="center"/>
                    <w:rPr>
                      <w:rFonts w:hint="eastAsia"/>
                      <w:sz w:val="21"/>
                      <w:szCs w:val="21"/>
                      <w:lang w:val="en-US" w:eastAsia="zh-CN"/>
                    </w:rPr>
                  </w:pPr>
                  <w:r>
                    <w:rPr>
                      <w:sz w:val="21"/>
                      <w:szCs w:val="21"/>
                    </w:rPr>
                    <w:t>1.4</w:t>
                  </w:r>
                </w:p>
              </w:tc>
              <w:tc>
                <w:tcPr>
                  <w:tcW w:w="0" w:type="auto"/>
                  <w:vAlign w:val="center"/>
                </w:tcPr>
                <w:p w14:paraId="4BAC561B">
                  <w:pPr>
                    <w:bidi w:val="0"/>
                    <w:spacing w:line="240" w:lineRule="auto"/>
                    <w:jc w:val="center"/>
                    <w:rPr>
                      <w:rFonts w:hint="eastAsia"/>
                      <w:sz w:val="21"/>
                      <w:szCs w:val="21"/>
                      <w:lang w:val="en-US" w:eastAsia="zh-CN"/>
                    </w:rPr>
                  </w:pPr>
                  <w:r>
                    <w:rPr>
                      <w:sz w:val="21"/>
                      <w:szCs w:val="21"/>
                    </w:rPr>
                    <w:t>0.322</w:t>
                  </w:r>
                </w:p>
              </w:tc>
              <w:tc>
                <w:tcPr>
                  <w:tcW w:w="0" w:type="auto"/>
                  <w:vAlign w:val="center"/>
                </w:tcPr>
                <w:p w14:paraId="3BDD0DFE">
                  <w:pPr>
                    <w:bidi w:val="0"/>
                    <w:spacing w:line="240" w:lineRule="auto"/>
                    <w:jc w:val="center"/>
                    <w:rPr>
                      <w:rFonts w:hint="eastAsia"/>
                      <w:sz w:val="21"/>
                      <w:szCs w:val="21"/>
                      <w:lang w:val="en-US" w:eastAsia="zh-CN"/>
                    </w:rPr>
                  </w:pPr>
                  <w:r>
                    <w:rPr>
                      <w:sz w:val="21"/>
                      <w:szCs w:val="21"/>
                    </w:rPr>
                    <w:t>0.06</w:t>
                  </w:r>
                </w:p>
              </w:tc>
              <w:tc>
                <w:tcPr>
                  <w:tcW w:w="0" w:type="auto"/>
                  <w:vAlign w:val="center"/>
                </w:tcPr>
                <w:p w14:paraId="4EDEA2CA">
                  <w:pPr>
                    <w:bidi w:val="0"/>
                    <w:spacing w:line="240" w:lineRule="auto"/>
                    <w:jc w:val="center"/>
                    <w:rPr>
                      <w:rFonts w:hint="eastAsia"/>
                      <w:sz w:val="21"/>
                      <w:szCs w:val="21"/>
                      <w:lang w:val="en-US" w:eastAsia="zh-CN"/>
                    </w:rPr>
                  </w:pPr>
                  <w:r>
                    <w:rPr>
                      <w:sz w:val="21"/>
                      <w:szCs w:val="21"/>
                    </w:rPr>
                    <w:t>0.90</w:t>
                  </w:r>
                </w:p>
              </w:tc>
              <w:tc>
                <w:tcPr>
                  <w:tcW w:w="0" w:type="auto"/>
                  <w:vAlign w:val="center"/>
                </w:tcPr>
                <w:p w14:paraId="3401D99C">
                  <w:pPr>
                    <w:bidi w:val="0"/>
                    <w:spacing w:line="240" w:lineRule="auto"/>
                    <w:jc w:val="center"/>
                    <w:rPr>
                      <w:rFonts w:hint="eastAsia"/>
                      <w:sz w:val="21"/>
                      <w:szCs w:val="21"/>
                      <w:lang w:val="en-US" w:eastAsia="zh-CN"/>
                    </w:rPr>
                  </w:pPr>
                  <w:r>
                    <w:rPr>
                      <w:sz w:val="21"/>
                      <w:szCs w:val="21"/>
                    </w:rPr>
                    <w:t>0.004L</w:t>
                  </w:r>
                </w:p>
              </w:tc>
              <w:tc>
                <w:tcPr>
                  <w:tcW w:w="0" w:type="auto"/>
                  <w:vAlign w:val="center"/>
                </w:tcPr>
                <w:p w14:paraId="2A26C7A2">
                  <w:pPr>
                    <w:bidi w:val="0"/>
                    <w:spacing w:line="240" w:lineRule="auto"/>
                    <w:jc w:val="center"/>
                    <w:rPr>
                      <w:rFonts w:hint="eastAsia"/>
                      <w:sz w:val="21"/>
                      <w:szCs w:val="21"/>
                      <w:lang w:val="en-US" w:eastAsia="zh-CN"/>
                    </w:rPr>
                  </w:pPr>
                  <w:r>
                    <w:rPr>
                      <w:sz w:val="21"/>
                      <w:szCs w:val="21"/>
                    </w:rPr>
                    <w:t>0.004L</w:t>
                  </w:r>
                </w:p>
              </w:tc>
            </w:tr>
            <w:tr w14:paraId="330C9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vMerge w:val="continue"/>
                </w:tcPr>
                <w:p w14:paraId="5F3A6870">
                  <w:pPr>
                    <w:bidi w:val="0"/>
                    <w:spacing w:line="240" w:lineRule="auto"/>
                    <w:jc w:val="center"/>
                    <w:rPr>
                      <w:rFonts w:hint="default"/>
                      <w:sz w:val="21"/>
                      <w:szCs w:val="21"/>
                      <w:lang w:val="en-US" w:eastAsia="zh-CN"/>
                    </w:rPr>
                  </w:pPr>
                </w:p>
              </w:tc>
              <w:tc>
                <w:tcPr>
                  <w:tcW w:w="0" w:type="auto"/>
                  <w:vAlign w:val="center"/>
                </w:tcPr>
                <w:p w14:paraId="282335FF">
                  <w:pPr>
                    <w:bidi w:val="0"/>
                    <w:spacing w:line="240" w:lineRule="auto"/>
                    <w:jc w:val="center"/>
                    <w:rPr>
                      <w:rFonts w:hint="eastAsia"/>
                      <w:sz w:val="21"/>
                      <w:szCs w:val="21"/>
                      <w:lang w:val="en-US" w:eastAsia="zh-CN"/>
                    </w:rPr>
                  </w:pPr>
                  <w:r>
                    <w:rPr>
                      <w:rFonts w:hint="eastAsia"/>
                      <w:sz w:val="21"/>
                      <w:szCs w:val="21"/>
                    </w:rPr>
                    <w:t>2023.</w:t>
                  </w:r>
                  <w:r>
                    <w:rPr>
                      <w:rFonts w:hint="eastAsia"/>
                      <w:sz w:val="21"/>
                      <w:szCs w:val="21"/>
                      <w:lang w:val="en-US" w:eastAsia="zh-CN"/>
                    </w:rPr>
                    <w:t>12.13</w:t>
                  </w:r>
                </w:p>
              </w:tc>
              <w:tc>
                <w:tcPr>
                  <w:tcW w:w="0" w:type="auto"/>
                  <w:vAlign w:val="center"/>
                </w:tcPr>
                <w:p w14:paraId="70D69917">
                  <w:pPr>
                    <w:bidi w:val="0"/>
                    <w:spacing w:line="240" w:lineRule="auto"/>
                    <w:jc w:val="center"/>
                    <w:rPr>
                      <w:rFonts w:hint="eastAsia"/>
                      <w:sz w:val="21"/>
                      <w:szCs w:val="21"/>
                      <w:lang w:val="en-US" w:eastAsia="zh-CN"/>
                    </w:rPr>
                  </w:pPr>
                  <w:r>
                    <w:rPr>
                      <w:sz w:val="21"/>
                      <w:szCs w:val="21"/>
                    </w:rPr>
                    <w:t>7.</w:t>
                  </w:r>
                  <w:r>
                    <w:rPr>
                      <w:rFonts w:hint="eastAsia"/>
                      <w:sz w:val="21"/>
                      <w:szCs w:val="21"/>
                    </w:rPr>
                    <w:t>7</w:t>
                  </w:r>
                  <w:r>
                    <w:rPr>
                      <w:sz w:val="21"/>
                      <w:szCs w:val="21"/>
                    </w:rPr>
                    <w:t>（</w:t>
                  </w:r>
                  <w:r>
                    <w:rPr>
                      <w:rFonts w:hint="eastAsia"/>
                      <w:sz w:val="21"/>
                      <w:szCs w:val="21"/>
                    </w:rPr>
                    <w:t>5.1℃</w:t>
                  </w:r>
                  <w:r>
                    <w:rPr>
                      <w:sz w:val="21"/>
                      <w:szCs w:val="21"/>
                    </w:rPr>
                    <w:t>）</w:t>
                  </w:r>
                </w:p>
              </w:tc>
              <w:tc>
                <w:tcPr>
                  <w:tcW w:w="0" w:type="auto"/>
                  <w:vAlign w:val="center"/>
                </w:tcPr>
                <w:p w14:paraId="6745FC34">
                  <w:pPr>
                    <w:bidi w:val="0"/>
                    <w:spacing w:line="240" w:lineRule="auto"/>
                    <w:jc w:val="center"/>
                    <w:rPr>
                      <w:rFonts w:hint="eastAsia"/>
                      <w:sz w:val="21"/>
                      <w:szCs w:val="21"/>
                      <w:lang w:val="en-US" w:eastAsia="zh-CN"/>
                    </w:rPr>
                  </w:pPr>
                  <w:r>
                    <w:rPr>
                      <w:sz w:val="21"/>
                      <w:szCs w:val="21"/>
                    </w:rPr>
                    <w:t>8.0</w:t>
                  </w:r>
                </w:p>
              </w:tc>
              <w:tc>
                <w:tcPr>
                  <w:tcW w:w="0" w:type="auto"/>
                  <w:vAlign w:val="center"/>
                </w:tcPr>
                <w:p w14:paraId="45D6A3F4">
                  <w:pPr>
                    <w:bidi w:val="0"/>
                    <w:spacing w:line="240" w:lineRule="auto"/>
                    <w:jc w:val="center"/>
                    <w:rPr>
                      <w:rFonts w:hint="eastAsia"/>
                      <w:sz w:val="21"/>
                      <w:szCs w:val="21"/>
                      <w:lang w:val="en-US" w:eastAsia="zh-CN"/>
                    </w:rPr>
                  </w:pPr>
                  <w:r>
                    <w:rPr>
                      <w:sz w:val="21"/>
                      <w:szCs w:val="21"/>
                    </w:rPr>
                    <w:t>4.9</w:t>
                  </w:r>
                </w:p>
              </w:tc>
              <w:tc>
                <w:tcPr>
                  <w:tcW w:w="0" w:type="auto"/>
                  <w:vAlign w:val="center"/>
                </w:tcPr>
                <w:p w14:paraId="40863C33">
                  <w:pPr>
                    <w:bidi w:val="0"/>
                    <w:spacing w:line="240" w:lineRule="auto"/>
                    <w:jc w:val="center"/>
                    <w:rPr>
                      <w:rFonts w:hint="eastAsia"/>
                      <w:sz w:val="21"/>
                      <w:szCs w:val="21"/>
                      <w:lang w:val="en-US" w:eastAsia="zh-CN"/>
                    </w:rPr>
                  </w:pPr>
                  <w:r>
                    <w:rPr>
                      <w:sz w:val="21"/>
                      <w:szCs w:val="21"/>
                    </w:rPr>
                    <w:t>11</w:t>
                  </w:r>
                </w:p>
              </w:tc>
              <w:tc>
                <w:tcPr>
                  <w:tcW w:w="0" w:type="auto"/>
                  <w:vAlign w:val="center"/>
                </w:tcPr>
                <w:p w14:paraId="075C74A6">
                  <w:pPr>
                    <w:bidi w:val="0"/>
                    <w:spacing w:line="240" w:lineRule="auto"/>
                    <w:jc w:val="center"/>
                    <w:rPr>
                      <w:rFonts w:hint="eastAsia"/>
                      <w:sz w:val="21"/>
                      <w:szCs w:val="21"/>
                      <w:lang w:val="en-US" w:eastAsia="zh-CN"/>
                    </w:rPr>
                  </w:pPr>
                  <w:r>
                    <w:rPr>
                      <w:rFonts w:hint="eastAsia"/>
                      <w:sz w:val="21"/>
                      <w:szCs w:val="21"/>
                    </w:rPr>
                    <w:t>1.3</w:t>
                  </w:r>
                </w:p>
              </w:tc>
              <w:tc>
                <w:tcPr>
                  <w:tcW w:w="0" w:type="auto"/>
                  <w:vAlign w:val="center"/>
                </w:tcPr>
                <w:p w14:paraId="08BCCDD2">
                  <w:pPr>
                    <w:bidi w:val="0"/>
                    <w:spacing w:line="240" w:lineRule="auto"/>
                    <w:jc w:val="center"/>
                    <w:rPr>
                      <w:rFonts w:hint="eastAsia"/>
                      <w:sz w:val="21"/>
                      <w:szCs w:val="21"/>
                      <w:lang w:val="en-US" w:eastAsia="zh-CN"/>
                    </w:rPr>
                  </w:pPr>
                  <w:r>
                    <w:rPr>
                      <w:sz w:val="21"/>
                      <w:szCs w:val="21"/>
                    </w:rPr>
                    <w:t>0.278</w:t>
                  </w:r>
                </w:p>
              </w:tc>
              <w:tc>
                <w:tcPr>
                  <w:tcW w:w="0" w:type="auto"/>
                  <w:vAlign w:val="center"/>
                </w:tcPr>
                <w:p w14:paraId="5B695F8E">
                  <w:pPr>
                    <w:bidi w:val="0"/>
                    <w:spacing w:line="240" w:lineRule="auto"/>
                    <w:jc w:val="center"/>
                    <w:rPr>
                      <w:rFonts w:hint="eastAsia"/>
                      <w:sz w:val="21"/>
                      <w:szCs w:val="21"/>
                      <w:lang w:val="en-US" w:eastAsia="zh-CN"/>
                    </w:rPr>
                  </w:pPr>
                  <w:r>
                    <w:rPr>
                      <w:sz w:val="21"/>
                      <w:szCs w:val="21"/>
                    </w:rPr>
                    <w:t>0.05</w:t>
                  </w:r>
                </w:p>
              </w:tc>
              <w:tc>
                <w:tcPr>
                  <w:tcW w:w="0" w:type="auto"/>
                  <w:vAlign w:val="center"/>
                </w:tcPr>
                <w:p w14:paraId="6FAE2EFE">
                  <w:pPr>
                    <w:bidi w:val="0"/>
                    <w:spacing w:line="240" w:lineRule="auto"/>
                    <w:jc w:val="center"/>
                    <w:rPr>
                      <w:rFonts w:hint="eastAsia"/>
                      <w:sz w:val="21"/>
                      <w:szCs w:val="21"/>
                      <w:lang w:val="en-US" w:eastAsia="zh-CN"/>
                    </w:rPr>
                  </w:pPr>
                  <w:r>
                    <w:rPr>
                      <w:sz w:val="21"/>
                      <w:szCs w:val="21"/>
                    </w:rPr>
                    <w:t>0.93</w:t>
                  </w:r>
                </w:p>
              </w:tc>
              <w:tc>
                <w:tcPr>
                  <w:tcW w:w="0" w:type="auto"/>
                  <w:vAlign w:val="center"/>
                </w:tcPr>
                <w:p w14:paraId="590E2A49">
                  <w:pPr>
                    <w:bidi w:val="0"/>
                    <w:spacing w:line="240" w:lineRule="auto"/>
                    <w:jc w:val="center"/>
                    <w:rPr>
                      <w:rFonts w:hint="eastAsia"/>
                      <w:sz w:val="21"/>
                      <w:szCs w:val="21"/>
                      <w:lang w:val="en-US" w:eastAsia="zh-CN"/>
                    </w:rPr>
                  </w:pPr>
                  <w:r>
                    <w:rPr>
                      <w:sz w:val="21"/>
                      <w:szCs w:val="21"/>
                    </w:rPr>
                    <w:t>0.004L</w:t>
                  </w:r>
                </w:p>
              </w:tc>
              <w:tc>
                <w:tcPr>
                  <w:tcW w:w="0" w:type="auto"/>
                  <w:vAlign w:val="center"/>
                </w:tcPr>
                <w:p w14:paraId="5843079D">
                  <w:pPr>
                    <w:bidi w:val="0"/>
                    <w:spacing w:line="240" w:lineRule="auto"/>
                    <w:jc w:val="center"/>
                    <w:rPr>
                      <w:rFonts w:hint="eastAsia"/>
                      <w:sz w:val="21"/>
                      <w:szCs w:val="21"/>
                      <w:lang w:val="en-US" w:eastAsia="zh-CN"/>
                    </w:rPr>
                  </w:pPr>
                  <w:r>
                    <w:rPr>
                      <w:sz w:val="21"/>
                      <w:szCs w:val="21"/>
                    </w:rPr>
                    <w:t>0.004L</w:t>
                  </w:r>
                </w:p>
              </w:tc>
            </w:tr>
          </w:tbl>
          <w:p w14:paraId="64E2D4D6">
            <w:pPr>
              <w:ind w:firstLine="480"/>
              <w:rPr>
                <w:rFonts w:hint="eastAsia"/>
                <w:color w:val="auto"/>
              </w:rPr>
            </w:pPr>
            <w:r>
              <w:rPr>
                <w:rFonts w:hint="eastAsia"/>
                <w:color w:val="auto"/>
              </w:rPr>
              <w:t>由上表可见，监测期间地表水龙河各水质断面各监测因子均可满足《地表水环境质量标准》（GB3838-2002）中Ⅳ类标准要求。</w:t>
            </w:r>
          </w:p>
          <w:p w14:paraId="2A79BA5E">
            <w:pPr>
              <w:numPr>
                <w:ilvl w:val="0"/>
                <w:numId w:val="3"/>
              </w:numPr>
              <w:ind w:firstLine="0" w:firstLineChars="0"/>
              <w:rPr>
                <w:rFonts w:hint="eastAsia"/>
                <w:b/>
                <w:bCs/>
                <w:color w:val="auto"/>
              </w:rPr>
            </w:pPr>
            <w:r>
              <w:rPr>
                <w:rFonts w:hint="eastAsia"/>
                <w:b/>
                <w:bCs/>
                <w:color w:val="auto"/>
              </w:rPr>
              <w:t>声环境质量现状</w:t>
            </w:r>
          </w:p>
          <w:p w14:paraId="03FE3A45">
            <w:pPr>
              <w:ind w:firstLine="480"/>
              <w:rPr>
                <w:rFonts w:cs="宋体"/>
                <w:b/>
                <w:bCs/>
                <w:color w:val="auto"/>
                <w:kern w:val="0"/>
              </w:rPr>
            </w:pPr>
            <w:r>
              <w:rPr>
                <w:rFonts w:hint="eastAsia"/>
                <w:bCs/>
                <w:color w:val="auto"/>
                <w:kern w:val="0"/>
                <w:sz w:val="24"/>
              </w:rPr>
              <w:t>本项目厂界外50m范围内无声环境保护目标，根据《建设项目环境影响报告表编制技术指南》</w:t>
            </w:r>
            <w:r>
              <w:rPr>
                <w:rFonts w:hint="eastAsia"/>
                <w:bCs/>
                <w:color w:val="auto"/>
                <w:kern w:val="0"/>
                <w:sz w:val="24"/>
                <w:lang w:eastAsia="zh-CN"/>
              </w:rPr>
              <w:t>（</w:t>
            </w:r>
            <w:r>
              <w:rPr>
                <w:rFonts w:hint="eastAsia"/>
                <w:bCs/>
                <w:color w:val="auto"/>
                <w:kern w:val="0"/>
                <w:sz w:val="24"/>
              </w:rPr>
              <w:t>污染影响类</w:t>
            </w:r>
            <w:r>
              <w:rPr>
                <w:rFonts w:hint="eastAsia"/>
                <w:bCs/>
                <w:color w:val="auto"/>
                <w:kern w:val="0"/>
                <w:sz w:val="24"/>
                <w:lang w:eastAsia="zh-CN"/>
              </w:rPr>
              <w:t>）</w:t>
            </w:r>
            <w:r>
              <w:rPr>
                <w:rFonts w:hint="eastAsia"/>
                <w:bCs/>
                <w:color w:val="auto"/>
                <w:kern w:val="0"/>
                <w:sz w:val="24"/>
              </w:rPr>
              <w:t>可不开展现状调查。</w:t>
            </w:r>
          </w:p>
          <w:p w14:paraId="1E3FAA8B">
            <w:pPr>
              <w:numPr>
                <w:ilvl w:val="0"/>
                <w:numId w:val="3"/>
              </w:numPr>
              <w:ind w:firstLine="0" w:firstLineChars="0"/>
              <w:rPr>
                <w:rFonts w:hint="eastAsia" w:cs="宋体"/>
                <w:b/>
                <w:bCs/>
                <w:color w:val="auto"/>
                <w:kern w:val="0"/>
              </w:rPr>
            </w:pPr>
            <w:r>
              <w:rPr>
                <w:rFonts w:hint="eastAsia" w:cs="宋体"/>
                <w:b/>
                <w:bCs/>
                <w:color w:val="auto"/>
                <w:kern w:val="0"/>
              </w:rPr>
              <w:t>地下水和土壤环境质量现状</w:t>
            </w:r>
          </w:p>
          <w:p w14:paraId="1BC4BB79">
            <w:pPr>
              <w:ind w:firstLine="480"/>
              <w:rPr>
                <w:rFonts w:cs="宋体"/>
                <w:color w:val="auto"/>
                <w:kern w:val="0"/>
              </w:rPr>
            </w:pPr>
            <w:r>
              <w:rPr>
                <w:rFonts w:hint="eastAsia" w:ascii="宋体" w:hAnsi="宋体" w:cs="宋体"/>
                <w:color w:val="auto"/>
              </w:rPr>
              <w:t>本项目建设的污水收集管网采取严格的防泄漏、防渗措施</w:t>
            </w:r>
            <w:r>
              <w:rPr>
                <w:rFonts w:hint="eastAsia"/>
                <w:color w:val="auto"/>
              </w:rPr>
              <w:t>，对地下水、土壤无不利影响，根据《建设项目环境影响报告表编制技术指南（污染影响类）》（试行），无需对地下水、土壤背景值进行调查。</w:t>
            </w:r>
          </w:p>
        </w:tc>
      </w:tr>
      <w:tr w14:paraId="54B935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521" w:type="dxa"/>
            <w:noWrap w:val="0"/>
            <w:vAlign w:val="center"/>
          </w:tcPr>
          <w:p w14:paraId="1F6F730F">
            <w:pPr>
              <w:adjustRightInd w:val="0"/>
              <w:snapToGrid w:val="0"/>
              <w:ind w:firstLine="0" w:firstLineChars="0"/>
              <w:jc w:val="center"/>
              <w:rPr>
                <w:color w:val="auto"/>
                <w:kern w:val="0"/>
                <w:szCs w:val="21"/>
              </w:rPr>
            </w:pPr>
            <w:r>
              <w:rPr>
                <w:color w:val="auto"/>
                <w:kern w:val="0"/>
                <w:szCs w:val="21"/>
              </w:rPr>
              <w:t>环境</w:t>
            </w:r>
          </w:p>
          <w:p w14:paraId="4527F5CA">
            <w:pPr>
              <w:adjustRightInd w:val="0"/>
              <w:snapToGrid w:val="0"/>
              <w:ind w:firstLine="0" w:firstLineChars="0"/>
              <w:jc w:val="center"/>
              <w:rPr>
                <w:color w:val="auto"/>
                <w:kern w:val="0"/>
                <w:szCs w:val="21"/>
              </w:rPr>
            </w:pPr>
            <w:r>
              <w:rPr>
                <w:color w:val="auto"/>
                <w:kern w:val="0"/>
                <w:szCs w:val="21"/>
              </w:rPr>
              <w:t>保护</w:t>
            </w:r>
          </w:p>
          <w:p w14:paraId="2185484A">
            <w:pPr>
              <w:adjustRightInd w:val="0"/>
              <w:snapToGrid w:val="0"/>
              <w:ind w:firstLine="0" w:firstLineChars="0"/>
              <w:jc w:val="center"/>
              <w:rPr>
                <w:color w:val="auto"/>
                <w:kern w:val="0"/>
                <w:szCs w:val="21"/>
              </w:rPr>
            </w:pPr>
            <w:r>
              <w:rPr>
                <w:color w:val="auto"/>
                <w:kern w:val="0"/>
                <w:szCs w:val="21"/>
              </w:rPr>
              <w:t>目标</w:t>
            </w:r>
          </w:p>
        </w:tc>
        <w:tc>
          <w:tcPr>
            <w:tcW w:w="8469" w:type="dxa"/>
            <w:noWrap w:val="0"/>
            <w:vAlign w:val="top"/>
          </w:tcPr>
          <w:p w14:paraId="093F11D5">
            <w:pPr>
              <w:numPr>
                <w:ilvl w:val="0"/>
                <w:numId w:val="5"/>
              </w:numPr>
              <w:ind w:firstLine="0" w:firstLineChars="0"/>
              <w:rPr>
                <w:rFonts w:hint="eastAsia"/>
                <w:b/>
                <w:bCs/>
                <w:color w:val="auto"/>
                <w:kern w:val="0"/>
                <w:szCs w:val="21"/>
              </w:rPr>
            </w:pPr>
            <w:r>
              <w:rPr>
                <w:rFonts w:hint="eastAsia"/>
                <w:b/>
                <w:bCs/>
                <w:color w:val="auto"/>
                <w:kern w:val="0"/>
                <w:szCs w:val="21"/>
              </w:rPr>
              <w:t>大气环境保护目标</w:t>
            </w:r>
          </w:p>
          <w:p w14:paraId="239D4644">
            <w:pPr>
              <w:ind w:firstLine="480"/>
              <w:rPr>
                <w:rFonts w:hint="eastAsia"/>
                <w:color w:val="auto"/>
                <w:kern w:val="0"/>
                <w:szCs w:val="21"/>
              </w:rPr>
            </w:pPr>
            <w:r>
              <w:rPr>
                <w:rFonts w:hint="eastAsia"/>
                <w:color w:val="auto"/>
                <w:kern w:val="0"/>
                <w:szCs w:val="21"/>
              </w:rPr>
              <w:t>项目厂界外500m范围内大气环境保护目标如下。</w:t>
            </w:r>
          </w:p>
          <w:p w14:paraId="3BCF9250">
            <w:pPr>
              <w:ind w:firstLine="0" w:firstLineChars="0"/>
              <w:jc w:val="center"/>
              <w:rPr>
                <w:color w:val="auto"/>
                <w:kern w:val="0"/>
                <w:szCs w:val="21"/>
              </w:rPr>
            </w:pPr>
            <w:r>
              <w:rPr>
                <w:rFonts w:hint="eastAsia"/>
                <w:b/>
                <w:bCs/>
                <w:color w:val="auto"/>
                <w:kern w:val="0"/>
                <w:szCs w:val="21"/>
              </w:rPr>
              <w:t>表</w:t>
            </w:r>
            <w:r>
              <w:rPr>
                <w:rFonts w:hint="eastAsia"/>
                <w:b/>
                <w:bCs/>
                <w:color w:val="auto"/>
                <w:kern w:val="0"/>
                <w:szCs w:val="21"/>
                <w:lang w:val="en-US" w:eastAsia="zh-CN"/>
              </w:rPr>
              <w:t>3-5</w:t>
            </w:r>
            <w:r>
              <w:rPr>
                <w:rFonts w:hint="eastAsia"/>
                <w:b/>
                <w:bCs/>
                <w:color w:val="auto"/>
                <w:kern w:val="0"/>
                <w:szCs w:val="21"/>
              </w:rPr>
              <w:t xml:space="preserve"> 项目大气环境保护目标一览表</w:t>
            </w:r>
          </w:p>
          <w:tbl>
            <w:tblPr>
              <w:tblStyle w:val="23"/>
              <w:tblW w:w="8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657"/>
              <w:gridCol w:w="697"/>
              <w:gridCol w:w="928"/>
              <w:gridCol w:w="832"/>
              <w:gridCol w:w="843"/>
              <w:gridCol w:w="1308"/>
              <w:gridCol w:w="985"/>
              <w:gridCol w:w="1086"/>
            </w:tblGrid>
            <w:tr w14:paraId="3E955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Merge w:val="restart"/>
                  <w:noWrap w:val="0"/>
                  <w:vAlign w:val="center"/>
                </w:tcPr>
                <w:p w14:paraId="66FDC7D2">
                  <w:pPr>
                    <w:spacing w:line="240" w:lineRule="auto"/>
                    <w:ind w:firstLine="0" w:firstLineChars="0"/>
                    <w:jc w:val="center"/>
                    <w:rPr>
                      <w:b/>
                      <w:bCs/>
                      <w:color w:val="auto"/>
                      <w:kern w:val="0"/>
                      <w:sz w:val="21"/>
                      <w:szCs w:val="18"/>
                    </w:rPr>
                  </w:pPr>
                  <w:r>
                    <w:rPr>
                      <w:rFonts w:hint="eastAsia"/>
                      <w:b/>
                      <w:bCs/>
                      <w:color w:val="auto"/>
                      <w:kern w:val="0"/>
                      <w:sz w:val="21"/>
                      <w:szCs w:val="18"/>
                    </w:rPr>
                    <w:t>名称</w:t>
                  </w:r>
                </w:p>
              </w:tc>
              <w:tc>
                <w:tcPr>
                  <w:tcW w:w="1354" w:type="dxa"/>
                  <w:gridSpan w:val="2"/>
                  <w:noWrap w:val="0"/>
                  <w:vAlign w:val="center"/>
                </w:tcPr>
                <w:p w14:paraId="07E6A92E">
                  <w:pPr>
                    <w:spacing w:line="240" w:lineRule="auto"/>
                    <w:ind w:firstLine="0" w:firstLineChars="0"/>
                    <w:jc w:val="center"/>
                    <w:rPr>
                      <w:b/>
                      <w:bCs/>
                      <w:color w:val="auto"/>
                      <w:kern w:val="0"/>
                      <w:sz w:val="21"/>
                      <w:szCs w:val="18"/>
                    </w:rPr>
                  </w:pPr>
                  <w:r>
                    <w:rPr>
                      <w:rFonts w:hint="eastAsia"/>
                      <w:b/>
                      <w:bCs/>
                      <w:color w:val="auto"/>
                      <w:kern w:val="0"/>
                      <w:sz w:val="21"/>
                      <w:szCs w:val="18"/>
                    </w:rPr>
                    <w:t>坐标/m</w:t>
                  </w:r>
                </w:p>
              </w:tc>
              <w:tc>
                <w:tcPr>
                  <w:tcW w:w="928" w:type="dxa"/>
                  <w:vMerge w:val="restart"/>
                  <w:noWrap w:val="0"/>
                  <w:vAlign w:val="center"/>
                </w:tcPr>
                <w:p w14:paraId="3709CB67">
                  <w:pPr>
                    <w:spacing w:line="240" w:lineRule="auto"/>
                    <w:ind w:firstLine="0" w:firstLineChars="0"/>
                    <w:jc w:val="center"/>
                    <w:rPr>
                      <w:b/>
                      <w:bCs/>
                      <w:color w:val="auto"/>
                      <w:kern w:val="0"/>
                      <w:sz w:val="21"/>
                      <w:szCs w:val="18"/>
                    </w:rPr>
                  </w:pPr>
                  <w:r>
                    <w:rPr>
                      <w:rFonts w:hint="eastAsia"/>
                      <w:b/>
                      <w:bCs/>
                      <w:color w:val="auto"/>
                      <w:kern w:val="0"/>
                      <w:sz w:val="21"/>
                      <w:szCs w:val="18"/>
                    </w:rPr>
                    <w:t>保护对象</w:t>
                  </w:r>
                </w:p>
              </w:tc>
              <w:tc>
                <w:tcPr>
                  <w:tcW w:w="832" w:type="dxa"/>
                  <w:vMerge w:val="restart"/>
                  <w:noWrap w:val="0"/>
                  <w:vAlign w:val="center"/>
                </w:tcPr>
                <w:p w14:paraId="40F7220D">
                  <w:pPr>
                    <w:spacing w:line="240" w:lineRule="auto"/>
                    <w:ind w:firstLine="0" w:firstLineChars="0"/>
                    <w:jc w:val="center"/>
                    <w:rPr>
                      <w:b/>
                      <w:bCs/>
                      <w:color w:val="auto"/>
                      <w:kern w:val="0"/>
                      <w:sz w:val="21"/>
                      <w:szCs w:val="18"/>
                    </w:rPr>
                  </w:pPr>
                  <w:r>
                    <w:rPr>
                      <w:rFonts w:hint="eastAsia"/>
                      <w:b/>
                      <w:bCs/>
                      <w:color w:val="auto"/>
                      <w:kern w:val="0"/>
                      <w:sz w:val="21"/>
                      <w:szCs w:val="18"/>
                    </w:rPr>
                    <w:t>保护内容</w:t>
                  </w:r>
                </w:p>
              </w:tc>
              <w:tc>
                <w:tcPr>
                  <w:tcW w:w="843" w:type="dxa"/>
                  <w:vMerge w:val="restart"/>
                  <w:noWrap w:val="0"/>
                  <w:vAlign w:val="center"/>
                </w:tcPr>
                <w:p w14:paraId="4733DCF9">
                  <w:pPr>
                    <w:spacing w:line="240" w:lineRule="auto"/>
                    <w:ind w:firstLine="0" w:firstLineChars="0"/>
                    <w:jc w:val="center"/>
                    <w:rPr>
                      <w:b/>
                      <w:bCs/>
                      <w:color w:val="auto"/>
                      <w:kern w:val="0"/>
                      <w:sz w:val="21"/>
                      <w:szCs w:val="18"/>
                    </w:rPr>
                  </w:pPr>
                  <w:r>
                    <w:rPr>
                      <w:rFonts w:hint="eastAsia"/>
                      <w:b/>
                      <w:bCs/>
                      <w:color w:val="auto"/>
                      <w:kern w:val="0"/>
                      <w:sz w:val="21"/>
                      <w:szCs w:val="18"/>
                    </w:rPr>
                    <w:t>规模</w:t>
                  </w:r>
                </w:p>
              </w:tc>
              <w:tc>
                <w:tcPr>
                  <w:tcW w:w="1308" w:type="dxa"/>
                  <w:vMerge w:val="restart"/>
                  <w:noWrap w:val="0"/>
                  <w:vAlign w:val="center"/>
                </w:tcPr>
                <w:p w14:paraId="6E45604C">
                  <w:pPr>
                    <w:spacing w:line="240" w:lineRule="auto"/>
                    <w:ind w:firstLine="0" w:firstLineChars="0"/>
                    <w:jc w:val="center"/>
                    <w:rPr>
                      <w:b/>
                      <w:bCs/>
                      <w:color w:val="auto"/>
                      <w:kern w:val="0"/>
                      <w:sz w:val="21"/>
                      <w:szCs w:val="18"/>
                    </w:rPr>
                  </w:pPr>
                  <w:r>
                    <w:rPr>
                      <w:rFonts w:hint="eastAsia"/>
                      <w:b/>
                      <w:bCs/>
                      <w:color w:val="auto"/>
                      <w:kern w:val="0"/>
                      <w:sz w:val="21"/>
                      <w:szCs w:val="18"/>
                    </w:rPr>
                    <w:t>环境功能区</w:t>
                  </w:r>
                </w:p>
              </w:tc>
              <w:tc>
                <w:tcPr>
                  <w:tcW w:w="985" w:type="dxa"/>
                  <w:vMerge w:val="restart"/>
                  <w:noWrap w:val="0"/>
                  <w:vAlign w:val="center"/>
                </w:tcPr>
                <w:p w14:paraId="334C0AD0">
                  <w:pPr>
                    <w:spacing w:line="240" w:lineRule="auto"/>
                    <w:ind w:firstLine="0" w:firstLineChars="0"/>
                    <w:jc w:val="center"/>
                    <w:rPr>
                      <w:b/>
                      <w:bCs/>
                      <w:color w:val="auto"/>
                      <w:kern w:val="0"/>
                      <w:sz w:val="21"/>
                      <w:szCs w:val="18"/>
                    </w:rPr>
                  </w:pPr>
                  <w:r>
                    <w:rPr>
                      <w:rFonts w:hint="eastAsia"/>
                      <w:b/>
                      <w:bCs/>
                      <w:color w:val="auto"/>
                      <w:kern w:val="0"/>
                      <w:sz w:val="21"/>
                      <w:szCs w:val="18"/>
                    </w:rPr>
                    <w:t>相对厂址方位</w:t>
                  </w:r>
                </w:p>
              </w:tc>
              <w:tc>
                <w:tcPr>
                  <w:tcW w:w="1086" w:type="dxa"/>
                  <w:vMerge w:val="restart"/>
                  <w:noWrap w:val="0"/>
                  <w:vAlign w:val="center"/>
                </w:tcPr>
                <w:p w14:paraId="6B5CD531">
                  <w:pPr>
                    <w:spacing w:line="240" w:lineRule="auto"/>
                    <w:ind w:firstLine="0" w:firstLineChars="0"/>
                    <w:jc w:val="center"/>
                    <w:rPr>
                      <w:b/>
                      <w:bCs/>
                      <w:color w:val="auto"/>
                      <w:kern w:val="0"/>
                      <w:sz w:val="21"/>
                      <w:szCs w:val="18"/>
                    </w:rPr>
                  </w:pPr>
                  <w:r>
                    <w:rPr>
                      <w:rFonts w:hint="eastAsia"/>
                      <w:b/>
                      <w:bCs/>
                      <w:color w:val="auto"/>
                      <w:kern w:val="0"/>
                      <w:sz w:val="21"/>
                      <w:szCs w:val="18"/>
                    </w:rPr>
                    <w:t>相对厂址距离/m</w:t>
                  </w:r>
                </w:p>
              </w:tc>
            </w:tr>
            <w:tr w14:paraId="1040D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Merge w:val="continue"/>
                  <w:noWrap w:val="0"/>
                  <w:vAlign w:val="center"/>
                </w:tcPr>
                <w:p w14:paraId="44CD4B4E">
                  <w:pPr>
                    <w:spacing w:line="240" w:lineRule="auto"/>
                    <w:ind w:firstLine="0" w:firstLineChars="0"/>
                    <w:jc w:val="center"/>
                    <w:rPr>
                      <w:color w:val="auto"/>
                      <w:kern w:val="0"/>
                      <w:sz w:val="21"/>
                      <w:szCs w:val="18"/>
                    </w:rPr>
                  </w:pPr>
                </w:p>
              </w:tc>
              <w:tc>
                <w:tcPr>
                  <w:tcW w:w="657" w:type="dxa"/>
                  <w:noWrap w:val="0"/>
                  <w:vAlign w:val="center"/>
                </w:tcPr>
                <w:p w14:paraId="115DA2BB">
                  <w:pPr>
                    <w:spacing w:line="240" w:lineRule="auto"/>
                    <w:ind w:firstLine="0" w:firstLineChars="0"/>
                    <w:jc w:val="center"/>
                    <w:rPr>
                      <w:b/>
                      <w:bCs/>
                      <w:color w:val="auto"/>
                      <w:kern w:val="0"/>
                      <w:sz w:val="21"/>
                      <w:szCs w:val="18"/>
                    </w:rPr>
                  </w:pPr>
                  <w:r>
                    <w:rPr>
                      <w:rFonts w:hint="eastAsia"/>
                      <w:b/>
                      <w:bCs/>
                      <w:color w:val="auto"/>
                      <w:kern w:val="0"/>
                      <w:sz w:val="21"/>
                      <w:szCs w:val="18"/>
                    </w:rPr>
                    <w:t>X</w:t>
                  </w:r>
                </w:p>
              </w:tc>
              <w:tc>
                <w:tcPr>
                  <w:tcW w:w="697" w:type="dxa"/>
                  <w:noWrap w:val="0"/>
                  <w:vAlign w:val="center"/>
                </w:tcPr>
                <w:p w14:paraId="5111497D">
                  <w:pPr>
                    <w:spacing w:line="240" w:lineRule="auto"/>
                    <w:ind w:firstLine="0" w:firstLineChars="0"/>
                    <w:jc w:val="center"/>
                    <w:rPr>
                      <w:b/>
                      <w:bCs/>
                      <w:color w:val="auto"/>
                      <w:kern w:val="0"/>
                      <w:sz w:val="21"/>
                      <w:szCs w:val="18"/>
                    </w:rPr>
                  </w:pPr>
                  <w:r>
                    <w:rPr>
                      <w:rFonts w:hint="eastAsia"/>
                      <w:b/>
                      <w:bCs/>
                      <w:color w:val="auto"/>
                      <w:kern w:val="0"/>
                      <w:sz w:val="21"/>
                      <w:szCs w:val="18"/>
                    </w:rPr>
                    <w:t>Y</w:t>
                  </w:r>
                </w:p>
              </w:tc>
              <w:tc>
                <w:tcPr>
                  <w:tcW w:w="928" w:type="dxa"/>
                  <w:vMerge w:val="continue"/>
                  <w:noWrap w:val="0"/>
                  <w:vAlign w:val="center"/>
                </w:tcPr>
                <w:p w14:paraId="70E79478">
                  <w:pPr>
                    <w:spacing w:line="240" w:lineRule="auto"/>
                    <w:ind w:firstLine="0" w:firstLineChars="0"/>
                    <w:jc w:val="center"/>
                    <w:rPr>
                      <w:color w:val="auto"/>
                      <w:kern w:val="0"/>
                      <w:sz w:val="21"/>
                      <w:szCs w:val="18"/>
                    </w:rPr>
                  </w:pPr>
                </w:p>
              </w:tc>
              <w:tc>
                <w:tcPr>
                  <w:tcW w:w="832" w:type="dxa"/>
                  <w:vMerge w:val="continue"/>
                  <w:noWrap w:val="0"/>
                  <w:vAlign w:val="center"/>
                </w:tcPr>
                <w:p w14:paraId="7D269A7E">
                  <w:pPr>
                    <w:spacing w:line="240" w:lineRule="auto"/>
                    <w:ind w:firstLine="0" w:firstLineChars="0"/>
                    <w:jc w:val="center"/>
                    <w:rPr>
                      <w:color w:val="auto"/>
                      <w:kern w:val="0"/>
                      <w:sz w:val="21"/>
                      <w:szCs w:val="18"/>
                    </w:rPr>
                  </w:pPr>
                </w:p>
              </w:tc>
              <w:tc>
                <w:tcPr>
                  <w:tcW w:w="843" w:type="dxa"/>
                  <w:vMerge w:val="continue"/>
                  <w:noWrap w:val="0"/>
                  <w:vAlign w:val="center"/>
                </w:tcPr>
                <w:p w14:paraId="55FC99D2">
                  <w:pPr>
                    <w:spacing w:line="240" w:lineRule="auto"/>
                    <w:ind w:firstLine="0" w:firstLineChars="0"/>
                    <w:jc w:val="center"/>
                    <w:rPr>
                      <w:color w:val="auto"/>
                      <w:kern w:val="0"/>
                      <w:sz w:val="21"/>
                      <w:szCs w:val="18"/>
                    </w:rPr>
                  </w:pPr>
                </w:p>
              </w:tc>
              <w:tc>
                <w:tcPr>
                  <w:tcW w:w="1308" w:type="dxa"/>
                  <w:vMerge w:val="continue"/>
                  <w:noWrap w:val="0"/>
                  <w:vAlign w:val="center"/>
                </w:tcPr>
                <w:p w14:paraId="3966906B">
                  <w:pPr>
                    <w:spacing w:line="240" w:lineRule="auto"/>
                    <w:ind w:firstLine="0" w:firstLineChars="0"/>
                    <w:jc w:val="center"/>
                    <w:rPr>
                      <w:color w:val="auto"/>
                      <w:kern w:val="0"/>
                      <w:sz w:val="21"/>
                      <w:szCs w:val="18"/>
                    </w:rPr>
                  </w:pPr>
                </w:p>
              </w:tc>
              <w:tc>
                <w:tcPr>
                  <w:tcW w:w="985" w:type="dxa"/>
                  <w:vMerge w:val="continue"/>
                  <w:noWrap w:val="0"/>
                  <w:vAlign w:val="center"/>
                </w:tcPr>
                <w:p w14:paraId="2B7A4421">
                  <w:pPr>
                    <w:spacing w:line="240" w:lineRule="auto"/>
                    <w:ind w:firstLine="0" w:firstLineChars="0"/>
                    <w:jc w:val="center"/>
                    <w:rPr>
                      <w:color w:val="auto"/>
                      <w:kern w:val="0"/>
                      <w:sz w:val="21"/>
                      <w:szCs w:val="18"/>
                    </w:rPr>
                  </w:pPr>
                </w:p>
              </w:tc>
              <w:tc>
                <w:tcPr>
                  <w:tcW w:w="1086" w:type="dxa"/>
                  <w:vMerge w:val="continue"/>
                  <w:noWrap w:val="0"/>
                  <w:vAlign w:val="center"/>
                </w:tcPr>
                <w:p w14:paraId="0E4FEE49">
                  <w:pPr>
                    <w:spacing w:line="240" w:lineRule="auto"/>
                    <w:ind w:firstLine="0" w:firstLineChars="0"/>
                    <w:jc w:val="center"/>
                    <w:rPr>
                      <w:color w:val="auto"/>
                      <w:kern w:val="0"/>
                      <w:sz w:val="21"/>
                      <w:szCs w:val="18"/>
                    </w:rPr>
                  </w:pPr>
                </w:p>
              </w:tc>
            </w:tr>
            <w:tr w14:paraId="29E72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Merge w:val="restart"/>
                  <w:noWrap w:val="0"/>
                  <w:vAlign w:val="center"/>
                </w:tcPr>
                <w:p w14:paraId="188D69EB">
                  <w:pPr>
                    <w:spacing w:line="240" w:lineRule="auto"/>
                    <w:ind w:firstLine="0" w:firstLineChars="0"/>
                    <w:jc w:val="center"/>
                    <w:rPr>
                      <w:color w:val="auto"/>
                      <w:kern w:val="0"/>
                      <w:sz w:val="21"/>
                      <w:szCs w:val="18"/>
                    </w:rPr>
                  </w:pPr>
                  <w:r>
                    <w:rPr>
                      <w:rFonts w:hint="eastAsia"/>
                      <w:color w:val="auto"/>
                      <w:kern w:val="0"/>
                      <w:sz w:val="21"/>
                      <w:szCs w:val="18"/>
                    </w:rPr>
                    <w:t>环境空气保护目标</w:t>
                  </w:r>
                </w:p>
              </w:tc>
              <w:tc>
                <w:tcPr>
                  <w:tcW w:w="657" w:type="dxa"/>
                  <w:noWrap w:val="0"/>
                  <w:vAlign w:val="center"/>
                </w:tcPr>
                <w:p w14:paraId="06B262CC">
                  <w:pPr>
                    <w:spacing w:line="240" w:lineRule="auto"/>
                    <w:ind w:firstLine="0" w:firstLineChars="0"/>
                    <w:jc w:val="center"/>
                    <w:rPr>
                      <w:rFonts w:hint="default" w:eastAsia="宋体"/>
                      <w:color w:val="auto"/>
                      <w:kern w:val="0"/>
                      <w:sz w:val="21"/>
                      <w:szCs w:val="18"/>
                      <w:lang w:val="en-US" w:eastAsia="zh-CN"/>
                    </w:rPr>
                  </w:pPr>
                  <w:r>
                    <w:rPr>
                      <w:rFonts w:hint="eastAsia"/>
                      <w:color w:val="auto"/>
                      <w:kern w:val="0"/>
                      <w:sz w:val="21"/>
                      <w:szCs w:val="18"/>
                    </w:rPr>
                    <w:t>-</w:t>
                  </w:r>
                  <w:r>
                    <w:rPr>
                      <w:rFonts w:hint="eastAsia"/>
                      <w:color w:val="auto"/>
                      <w:kern w:val="0"/>
                      <w:sz w:val="21"/>
                      <w:szCs w:val="18"/>
                      <w:lang w:val="en-US" w:eastAsia="zh-CN"/>
                    </w:rPr>
                    <w:t>219</w:t>
                  </w:r>
                </w:p>
              </w:tc>
              <w:tc>
                <w:tcPr>
                  <w:tcW w:w="697" w:type="dxa"/>
                  <w:noWrap w:val="0"/>
                  <w:vAlign w:val="center"/>
                </w:tcPr>
                <w:p w14:paraId="16399E42">
                  <w:pPr>
                    <w:spacing w:line="240" w:lineRule="auto"/>
                    <w:ind w:firstLine="0" w:firstLineChars="0"/>
                    <w:jc w:val="center"/>
                    <w:rPr>
                      <w:rFonts w:hint="default" w:eastAsia="宋体"/>
                      <w:color w:val="auto"/>
                      <w:kern w:val="0"/>
                      <w:sz w:val="21"/>
                      <w:szCs w:val="18"/>
                      <w:lang w:val="en-US" w:eastAsia="zh-CN"/>
                    </w:rPr>
                  </w:pPr>
                  <w:r>
                    <w:rPr>
                      <w:rFonts w:hint="eastAsia"/>
                      <w:color w:val="auto"/>
                      <w:kern w:val="0"/>
                      <w:sz w:val="21"/>
                      <w:szCs w:val="18"/>
                      <w:lang w:val="en-US" w:eastAsia="zh-CN"/>
                    </w:rPr>
                    <w:t>-95</w:t>
                  </w:r>
                </w:p>
              </w:tc>
              <w:tc>
                <w:tcPr>
                  <w:tcW w:w="928" w:type="dxa"/>
                  <w:noWrap w:val="0"/>
                  <w:vAlign w:val="center"/>
                </w:tcPr>
                <w:p w14:paraId="52B5A832">
                  <w:pPr>
                    <w:spacing w:line="240" w:lineRule="auto"/>
                    <w:ind w:firstLine="0" w:firstLineChars="0"/>
                    <w:jc w:val="center"/>
                    <w:rPr>
                      <w:rFonts w:hint="eastAsia" w:eastAsia="宋体"/>
                      <w:color w:val="auto"/>
                      <w:kern w:val="0"/>
                      <w:sz w:val="21"/>
                      <w:szCs w:val="18"/>
                      <w:lang w:val="en-US" w:eastAsia="zh-CN"/>
                    </w:rPr>
                  </w:pPr>
                  <w:r>
                    <w:rPr>
                      <w:rFonts w:hint="eastAsia"/>
                      <w:color w:val="auto"/>
                      <w:kern w:val="0"/>
                      <w:sz w:val="21"/>
                      <w:szCs w:val="18"/>
                      <w:lang w:val="en-US" w:eastAsia="zh-CN"/>
                    </w:rPr>
                    <w:t>和谐新家园</w:t>
                  </w:r>
                </w:p>
              </w:tc>
              <w:tc>
                <w:tcPr>
                  <w:tcW w:w="832" w:type="dxa"/>
                  <w:noWrap w:val="0"/>
                  <w:vAlign w:val="center"/>
                </w:tcPr>
                <w:p w14:paraId="5F1A603D">
                  <w:pPr>
                    <w:spacing w:line="240" w:lineRule="auto"/>
                    <w:ind w:firstLine="0" w:firstLineChars="0"/>
                    <w:jc w:val="center"/>
                    <w:rPr>
                      <w:color w:val="auto"/>
                      <w:kern w:val="0"/>
                      <w:sz w:val="21"/>
                      <w:szCs w:val="18"/>
                    </w:rPr>
                  </w:pPr>
                  <w:r>
                    <w:rPr>
                      <w:rFonts w:hint="eastAsia"/>
                      <w:color w:val="auto"/>
                      <w:kern w:val="0"/>
                      <w:sz w:val="21"/>
                      <w:szCs w:val="18"/>
                    </w:rPr>
                    <w:t>居民</w:t>
                  </w:r>
                </w:p>
              </w:tc>
              <w:tc>
                <w:tcPr>
                  <w:tcW w:w="843" w:type="dxa"/>
                  <w:noWrap w:val="0"/>
                  <w:vAlign w:val="center"/>
                </w:tcPr>
                <w:p w14:paraId="5A32BCDD">
                  <w:pPr>
                    <w:spacing w:line="240" w:lineRule="auto"/>
                    <w:ind w:firstLine="0" w:firstLineChars="0"/>
                    <w:jc w:val="center"/>
                    <w:rPr>
                      <w:color w:val="auto"/>
                      <w:kern w:val="0"/>
                      <w:sz w:val="21"/>
                      <w:szCs w:val="18"/>
                    </w:rPr>
                  </w:pPr>
                  <w:r>
                    <w:rPr>
                      <w:rFonts w:hint="eastAsia"/>
                      <w:color w:val="auto"/>
                      <w:kern w:val="0"/>
                      <w:sz w:val="21"/>
                      <w:szCs w:val="18"/>
                      <w:lang w:val="en-US" w:eastAsia="zh-CN"/>
                    </w:rPr>
                    <w:t>12</w:t>
                  </w:r>
                  <w:r>
                    <w:rPr>
                      <w:rFonts w:hint="eastAsia"/>
                      <w:color w:val="auto"/>
                      <w:kern w:val="0"/>
                      <w:sz w:val="21"/>
                      <w:szCs w:val="18"/>
                    </w:rPr>
                    <w:t>00人</w:t>
                  </w:r>
                </w:p>
              </w:tc>
              <w:tc>
                <w:tcPr>
                  <w:tcW w:w="1308" w:type="dxa"/>
                  <w:vMerge w:val="restart"/>
                  <w:noWrap w:val="0"/>
                  <w:vAlign w:val="center"/>
                </w:tcPr>
                <w:p w14:paraId="2D2D2F55">
                  <w:pPr>
                    <w:spacing w:line="240" w:lineRule="auto"/>
                    <w:ind w:firstLine="0" w:firstLineChars="0"/>
                    <w:jc w:val="center"/>
                    <w:rPr>
                      <w:color w:val="auto"/>
                      <w:kern w:val="0"/>
                      <w:sz w:val="21"/>
                      <w:szCs w:val="18"/>
                    </w:rPr>
                  </w:pPr>
                  <w:r>
                    <w:rPr>
                      <w:color w:val="auto"/>
                      <w:kern w:val="0"/>
                      <w:sz w:val="21"/>
                      <w:szCs w:val="18"/>
                    </w:rPr>
                    <w:t>《环境空气质量标准》</w:t>
                  </w:r>
                  <w:r>
                    <w:rPr>
                      <w:rFonts w:hint="eastAsia"/>
                      <w:color w:val="auto"/>
                      <w:kern w:val="0"/>
                      <w:sz w:val="21"/>
                      <w:szCs w:val="18"/>
                    </w:rPr>
                    <w:t>（</w:t>
                  </w:r>
                  <w:r>
                    <w:rPr>
                      <w:color w:val="auto"/>
                      <w:kern w:val="0"/>
                      <w:sz w:val="21"/>
                      <w:szCs w:val="18"/>
                    </w:rPr>
                    <w:t>GB3095-20</w:t>
                  </w:r>
                  <w:r>
                    <w:rPr>
                      <w:rFonts w:hint="eastAsia"/>
                      <w:color w:val="auto"/>
                      <w:kern w:val="0"/>
                      <w:sz w:val="21"/>
                      <w:szCs w:val="18"/>
                      <w:lang w:val="en-US" w:eastAsia="zh-CN"/>
                    </w:rPr>
                    <w:t>26</w:t>
                  </w:r>
                  <w:r>
                    <w:rPr>
                      <w:rFonts w:hint="eastAsia"/>
                      <w:color w:val="auto"/>
                      <w:kern w:val="0"/>
                      <w:sz w:val="21"/>
                      <w:szCs w:val="18"/>
                    </w:rPr>
                    <w:t>）</w:t>
                  </w:r>
                  <w:r>
                    <w:rPr>
                      <w:color w:val="auto"/>
                      <w:kern w:val="0"/>
                      <w:sz w:val="21"/>
                      <w:szCs w:val="18"/>
                    </w:rPr>
                    <w:t xml:space="preserve">中二级标准 </w:t>
                  </w:r>
                </w:p>
              </w:tc>
              <w:tc>
                <w:tcPr>
                  <w:tcW w:w="985" w:type="dxa"/>
                  <w:noWrap w:val="0"/>
                  <w:vAlign w:val="center"/>
                </w:tcPr>
                <w:p w14:paraId="466D64C8">
                  <w:pPr>
                    <w:spacing w:line="240" w:lineRule="auto"/>
                    <w:ind w:firstLine="0" w:firstLineChars="0"/>
                    <w:jc w:val="center"/>
                    <w:rPr>
                      <w:color w:val="auto"/>
                      <w:kern w:val="0"/>
                      <w:sz w:val="21"/>
                      <w:szCs w:val="18"/>
                    </w:rPr>
                  </w:pPr>
                  <w:r>
                    <w:rPr>
                      <w:rFonts w:hint="eastAsia"/>
                      <w:color w:val="auto"/>
                      <w:kern w:val="0"/>
                      <w:sz w:val="21"/>
                      <w:szCs w:val="18"/>
                    </w:rPr>
                    <w:t>西南</w:t>
                  </w:r>
                </w:p>
              </w:tc>
              <w:tc>
                <w:tcPr>
                  <w:tcW w:w="1086" w:type="dxa"/>
                  <w:noWrap w:val="0"/>
                  <w:vAlign w:val="center"/>
                </w:tcPr>
                <w:p w14:paraId="2C0999E3">
                  <w:pPr>
                    <w:spacing w:line="240" w:lineRule="auto"/>
                    <w:ind w:firstLine="0" w:firstLineChars="0"/>
                    <w:jc w:val="center"/>
                    <w:rPr>
                      <w:rFonts w:hint="default" w:eastAsia="宋体"/>
                      <w:color w:val="auto"/>
                      <w:kern w:val="0"/>
                      <w:sz w:val="21"/>
                      <w:szCs w:val="18"/>
                      <w:lang w:val="en-US" w:eastAsia="zh-CN"/>
                    </w:rPr>
                  </w:pPr>
                  <w:r>
                    <w:rPr>
                      <w:rFonts w:hint="eastAsia"/>
                      <w:color w:val="auto"/>
                      <w:kern w:val="0"/>
                      <w:sz w:val="21"/>
                      <w:szCs w:val="18"/>
                      <w:lang w:val="en-US" w:eastAsia="zh-CN"/>
                    </w:rPr>
                    <w:t>95</w:t>
                  </w:r>
                </w:p>
              </w:tc>
            </w:tr>
            <w:tr w14:paraId="4623B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Merge w:val="continue"/>
                  <w:noWrap w:val="0"/>
                  <w:vAlign w:val="center"/>
                </w:tcPr>
                <w:p w14:paraId="6A2EFB31">
                  <w:pPr>
                    <w:spacing w:line="240" w:lineRule="auto"/>
                    <w:ind w:firstLine="0" w:firstLineChars="0"/>
                    <w:jc w:val="center"/>
                    <w:rPr>
                      <w:rFonts w:hint="eastAsia"/>
                      <w:color w:val="auto"/>
                      <w:kern w:val="0"/>
                      <w:sz w:val="21"/>
                      <w:szCs w:val="18"/>
                    </w:rPr>
                  </w:pPr>
                </w:p>
              </w:tc>
              <w:tc>
                <w:tcPr>
                  <w:tcW w:w="657" w:type="dxa"/>
                  <w:noWrap w:val="0"/>
                  <w:vAlign w:val="center"/>
                </w:tcPr>
                <w:p w14:paraId="5CE24B5A">
                  <w:pPr>
                    <w:spacing w:line="240" w:lineRule="auto"/>
                    <w:ind w:firstLine="0" w:firstLineChars="0"/>
                    <w:jc w:val="center"/>
                    <w:rPr>
                      <w:rFonts w:hint="default" w:eastAsia="宋体"/>
                      <w:color w:val="auto"/>
                      <w:kern w:val="0"/>
                      <w:sz w:val="21"/>
                      <w:szCs w:val="18"/>
                      <w:lang w:val="en-US" w:eastAsia="zh-CN"/>
                    </w:rPr>
                  </w:pPr>
                  <w:r>
                    <w:rPr>
                      <w:rFonts w:hint="eastAsia"/>
                      <w:color w:val="auto"/>
                      <w:kern w:val="0"/>
                      <w:sz w:val="21"/>
                      <w:szCs w:val="18"/>
                      <w:lang w:val="en-US" w:eastAsia="zh-CN"/>
                    </w:rPr>
                    <w:t>172</w:t>
                  </w:r>
                </w:p>
              </w:tc>
              <w:tc>
                <w:tcPr>
                  <w:tcW w:w="697" w:type="dxa"/>
                  <w:noWrap w:val="0"/>
                  <w:vAlign w:val="center"/>
                </w:tcPr>
                <w:p w14:paraId="5FAC83CE">
                  <w:pPr>
                    <w:spacing w:line="240" w:lineRule="auto"/>
                    <w:ind w:firstLine="0" w:firstLineChars="0"/>
                    <w:jc w:val="center"/>
                    <w:rPr>
                      <w:rFonts w:hint="default" w:eastAsia="宋体"/>
                      <w:color w:val="auto"/>
                      <w:kern w:val="0"/>
                      <w:sz w:val="21"/>
                      <w:szCs w:val="18"/>
                      <w:lang w:val="en-US" w:eastAsia="zh-CN"/>
                    </w:rPr>
                  </w:pPr>
                  <w:r>
                    <w:rPr>
                      <w:rFonts w:hint="eastAsia"/>
                      <w:color w:val="auto"/>
                      <w:kern w:val="0"/>
                      <w:sz w:val="21"/>
                      <w:szCs w:val="18"/>
                    </w:rPr>
                    <w:t>-</w:t>
                  </w:r>
                  <w:r>
                    <w:rPr>
                      <w:rFonts w:hint="eastAsia"/>
                      <w:color w:val="auto"/>
                      <w:kern w:val="0"/>
                      <w:sz w:val="21"/>
                      <w:szCs w:val="18"/>
                      <w:lang w:val="en-US" w:eastAsia="zh-CN"/>
                    </w:rPr>
                    <w:t>449</w:t>
                  </w:r>
                </w:p>
              </w:tc>
              <w:tc>
                <w:tcPr>
                  <w:tcW w:w="928" w:type="dxa"/>
                  <w:noWrap w:val="0"/>
                  <w:vAlign w:val="center"/>
                </w:tcPr>
                <w:p w14:paraId="3BE18E93">
                  <w:pPr>
                    <w:spacing w:line="240" w:lineRule="auto"/>
                    <w:ind w:firstLine="0" w:firstLineChars="0"/>
                    <w:jc w:val="center"/>
                    <w:rPr>
                      <w:color w:val="auto"/>
                      <w:kern w:val="0"/>
                      <w:sz w:val="21"/>
                      <w:szCs w:val="18"/>
                    </w:rPr>
                  </w:pPr>
                  <w:r>
                    <w:rPr>
                      <w:rFonts w:hint="eastAsia"/>
                      <w:color w:val="auto"/>
                      <w:kern w:val="0"/>
                      <w:sz w:val="21"/>
                      <w:szCs w:val="18"/>
                    </w:rPr>
                    <w:t>石台实验学校</w:t>
                  </w:r>
                </w:p>
              </w:tc>
              <w:tc>
                <w:tcPr>
                  <w:tcW w:w="832" w:type="dxa"/>
                  <w:noWrap w:val="0"/>
                  <w:vAlign w:val="center"/>
                </w:tcPr>
                <w:p w14:paraId="022C6C2A">
                  <w:pPr>
                    <w:spacing w:line="240" w:lineRule="auto"/>
                    <w:ind w:firstLine="0" w:firstLineChars="0"/>
                    <w:jc w:val="center"/>
                    <w:rPr>
                      <w:rFonts w:hint="eastAsia" w:eastAsia="宋体"/>
                      <w:color w:val="auto"/>
                      <w:kern w:val="0"/>
                      <w:sz w:val="21"/>
                      <w:szCs w:val="18"/>
                      <w:lang w:eastAsia="zh-CN"/>
                    </w:rPr>
                  </w:pPr>
                  <w:r>
                    <w:rPr>
                      <w:rFonts w:hint="eastAsia"/>
                      <w:color w:val="auto"/>
                      <w:kern w:val="0"/>
                      <w:sz w:val="21"/>
                      <w:szCs w:val="18"/>
                      <w:lang w:val="en-US" w:eastAsia="zh-CN"/>
                    </w:rPr>
                    <w:t>学生</w:t>
                  </w:r>
                </w:p>
              </w:tc>
              <w:tc>
                <w:tcPr>
                  <w:tcW w:w="843" w:type="dxa"/>
                  <w:noWrap w:val="0"/>
                  <w:vAlign w:val="center"/>
                </w:tcPr>
                <w:p w14:paraId="7E3C8E45">
                  <w:pPr>
                    <w:spacing w:line="240" w:lineRule="auto"/>
                    <w:ind w:firstLine="0" w:firstLineChars="0"/>
                    <w:jc w:val="center"/>
                    <w:rPr>
                      <w:color w:val="auto"/>
                      <w:kern w:val="0"/>
                      <w:sz w:val="21"/>
                      <w:szCs w:val="18"/>
                    </w:rPr>
                  </w:pPr>
                  <w:r>
                    <w:rPr>
                      <w:rFonts w:hint="eastAsia"/>
                      <w:color w:val="auto"/>
                      <w:kern w:val="0"/>
                      <w:sz w:val="21"/>
                      <w:szCs w:val="18"/>
                      <w:lang w:val="en-US" w:eastAsia="zh-CN"/>
                    </w:rPr>
                    <w:t>6</w:t>
                  </w:r>
                  <w:r>
                    <w:rPr>
                      <w:rFonts w:hint="eastAsia"/>
                      <w:color w:val="auto"/>
                      <w:kern w:val="0"/>
                      <w:sz w:val="21"/>
                      <w:szCs w:val="18"/>
                    </w:rPr>
                    <w:t>00人</w:t>
                  </w:r>
                </w:p>
              </w:tc>
              <w:tc>
                <w:tcPr>
                  <w:tcW w:w="1308" w:type="dxa"/>
                  <w:vMerge w:val="continue"/>
                  <w:noWrap w:val="0"/>
                  <w:vAlign w:val="center"/>
                </w:tcPr>
                <w:p w14:paraId="75288A55">
                  <w:pPr>
                    <w:spacing w:line="240" w:lineRule="auto"/>
                    <w:ind w:firstLine="0" w:firstLineChars="0"/>
                    <w:jc w:val="center"/>
                    <w:rPr>
                      <w:color w:val="auto"/>
                      <w:kern w:val="0"/>
                      <w:sz w:val="21"/>
                      <w:szCs w:val="18"/>
                    </w:rPr>
                  </w:pPr>
                </w:p>
              </w:tc>
              <w:tc>
                <w:tcPr>
                  <w:tcW w:w="985" w:type="dxa"/>
                  <w:noWrap w:val="0"/>
                  <w:vAlign w:val="center"/>
                </w:tcPr>
                <w:p w14:paraId="347D6541">
                  <w:pPr>
                    <w:spacing w:line="240" w:lineRule="auto"/>
                    <w:ind w:firstLine="0" w:firstLineChars="0"/>
                    <w:jc w:val="center"/>
                    <w:rPr>
                      <w:color w:val="auto"/>
                      <w:kern w:val="0"/>
                      <w:sz w:val="21"/>
                      <w:szCs w:val="18"/>
                    </w:rPr>
                  </w:pPr>
                  <w:r>
                    <w:rPr>
                      <w:rFonts w:hint="eastAsia"/>
                      <w:color w:val="auto"/>
                      <w:kern w:val="0"/>
                      <w:sz w:val="21"/>
                      <w:szCs w:val="18"/>
                      <w:lang w:val="en-US" w:eastAsia="zh-CN"/>
                    </w:rPr>
                    <w:t>东</w:t>
                  </w:r>
                  <w:r>
                    <w:rPr>
                      <w:rFonts w:hint="eastAsia"/>
                      <w:color w:val="auto"/>
                      <w:kern w:val="0"/>
                      <w:sz w:val="21"/>
                      <w:szCs w:val="18"/>
                    </w:rPr>
                    <w:t>南</w:t>
                  </w:r>
                </w:p>
              </w:tc>
              <w:tc>
                <w:tcPr>
                  <w:tcW w:w="1086" w:type="dxa"/>
                  <w:noWrap w:val="0"/>
                  <w:vAlign w:val="center"/>
                </w:tcPr>
                <w:p w14:paraId="3DA1B08C">
                  <w:pPr>
                    <w:spacing w:line="240" w:lineRule="auto"/>
                    <w:ind w:firstLine="0" w:firstLineChars="0"/>
                    <w:jc w:val="center"/>
                    <w:rPr>
                      <w:rFonts w:hint="default" w:eastAsia="宋体"/>
                      <w:color w:val="auto"/>
                      <w:kern w:val="0"/>
                      <w:sz w:val="21"/>
                      <w:szCs w:val="18"/>
                      <w:lang w:val="en-US" w:eastAsia="zh-CN"/>
                    </w:rPr>
                  </w:pPr>
                  <w:r>
                    <w:rPr>
                      <w:rFonts w:hint="eastAsia"/>
                      <w:color w:val="auto"/>
                      <w:kern w:val="0"/>
                      <w:sz w:val="21"/>
                      <w:szCs w:val="18"/>
                    </w:rPr>
                    <w:t>4</w:t>
                  </w:r>
                  <w:r>
                    <w:rPr>
                      <w:rFonts w:hint="eastAsia"/>
                      <w:color w:val="auto"/>
                      <w:kern w:val="0"/>
                      <w:sz w:val="21"/>
                      <w:szCs w:val="18"/>
                      <w:lang w:val="en-US" w:eastAsia="zh-CN"/>
                    </w:rPr>
                    <w:t>36</w:t>
                  </w:r>
                </w:p>
              </w:tc>
            </w:tr>
            <w:tr w14:paraId="4B6C3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Merge w:val="continue"/>
                  <w:noWrap w:val="0"/>
                  <w:vAlign w:val="center"/>
                </w:tcPr>
                <w:p w14:paraId="4B140060">
                  <w:pPr>
                    <w:spacing w:line="240" w:lineRule="auto"/>
                    <w:ind w:firstLine="0" w:firstLineChars="0"/>
                    <w:jc w:val="center"/>
                    <w:rPr>
                      <w:rFonts w:hint="eastAsia"/>
                      <w:color w:val="auto"/>
                      <w:kern w:val="0"/>
                      <w:sz w:val="21"/>
                      <w:szCs w:val="18"/>
                    </w:rPr>
                  </w:pPr>
                </w:p>
              </w:tc>
              <w:tc>
                <w:tcPr>
                  <w:tcW w:w="657" w:type="dxa"/>
                  <w:noWrap w:val="0"/>
                  <w:vAlign w:val="center"/>
                </w:tcPr>
                <w:p w14:paraId="3916E1FB">
                  <w:pPr>
                    <w:spacing w:line="240" w:lineRule="auto"/>
                    <w:ind w:firstLine="0" w:firstLineChars="0"/>
                    <w:jc w:val="center"/>
                    <w:rPr>
                      <w:rFonts w:hint="default" w:eastAsia="宋体"/>
                      <w:color w:val="auto"/>
                      <w:kern w:val="0"/>
                      <w:sz w:val="21"/>
                      <w:szCs w:val="18"/>
                      <w:lang w:val="en-US" w:eastAsia="zh-CN"/>
                    </w:rPr>
                  </w:pPr>
                  <w:r>
                    <w:rPr>
                      <w:rFonts w:hint="eastAsia"/>
                      <w:color w:val="auto"/>
                      <w:kern w:val="0"/>
                      <w:sz w:val="21"/>
                      <w:szCs w:val="18"/>
                      <w:lang w:val="en-US" w:eastAsia="zh-CN"/>
                    </w:rPr>
                    <w:t>328</w:t>
                  </w:r>
                </w:p>
              </w:tc>
              <w:tc>
                <w:tcPr>
                  <w:tcW w:w="697" w:type="dxa"/>
                  <w:noWrap w:val="0"/>
                  <w:vAlign w:val="center"/>
                </w:tcPr>
                <w:p w14:paraId="2BFDF1F1">
                  <w:pPr>
                    <w:spacing w:line="240" w:lineRule="auto"/>
                    <w:ind w:firstLine="0" w:firstLineChars="0"/>
                    <w:jc w:val="center"/>
                    <w:rPr>
                      <w:rFonts w:hint="default" w:eastAsia="宋体"/>
                      <w:color w:val="auto"/>
                      <w:kern w:val="0"/>
                      <w:sz w:val="21"/>
                      <w:szCs w:val="18"/>
                      <w:lang w:val="en-US" w:eastAsia="zh-CN"/>
                    </w:rPr>
                  </w:pPr>
                  <w:r>
                    <w:rPr>
                      <w:rFonts w:hint="eastAsia"/>
                      <w:color w:val="auto"/>
                      <w:kern w:val="0"/>
                      <w:sz w:val="21"/>
                      <w:szCs w:val="18"/>
                      <w:lang w:val="en-US" w:eastAsia="zh-CN"/>
                    </w:rPr>
                    <w:t>-330</w:t>
                  </w:r>
                </w:p>
              </w:tc>
              <w:tc>
                <w:tcPr>
                  <w:tcW w:w="928" w:type="dxa"/>
                  <w:noWrap w:val="0"/>
                  <w:vAlign w:val="center"/>
                </w:tcPr>
                <w:p w14:paraId="714E0B8D">
                  <w:pPr>
                    <w:spacing w:line="240" w:lineRule="auto"/>
                    <w:ind w:firstLine="0" w:firstLineChars="0"/>
                    <w:jc w:val="center"/>
                    <w:rPr>
                      <w:rFonts w:hint="eastAsia"/>
                      <w:color w:val="auto"/>
                      <w:kern w:val="0"/>
                      <w:sz w:val="21"/>
                      <w:szCs w:val="18"/>
                    </w:rPr>
                  </w:pPr>
                  <w:r>
                    <w:rPr>
                      <w:rFonts w:hint="eastAsia"/>
                      <w:color w:val="auto"/>
                      <w:kern w:val="0"/>
                      <w:sz w:val="21"/>
                      <w:szCs w:val="18"/>
                    </w:rPr>
                    <w:t>程台村</w:t>
                  </w:r>
                </w:p>
              </w:tc>
              <w:tc>
                <w:tcPr>
                  <w:tcW w:w="832" w:type="dxa"/>
                  <w:noWrap w:val="0"/>
                  <w:vAlign w:val="center"/>
                </w:tcPr>
                <w:p w14:paraId="004EFE41">
                  <w:pPr>
                    <w:spacing w:line="240" w:lineRule="auto"/>
                    <w:ind w:firstLine="0" w:firstLineChars="0"/>
                    <w:jc w:val="center"/>
                    <w:rPr>
                      <w:rFonts w:hint="eastAsia"/>
                      <w:color w:val="auto"/>
                      <w:kern w:val="0"/>
                      <w:sz w:val="21"/>
                      <w:szCs w:val="18"/>
                    </w:rPr>
                  </w:pPr>
                  <w:r>
                    <w:rPr>
                      <w:rFonts w:hint="eastAsia"/>
                      <w:color w:val="auto"/>
                      <w:kern w:val="0"/>
                      <w:sz w:val="21"/>
                      <w:szCs w:val="18"/>
                    </w:rPr>
                    <w:t>居民</w:t>
                  </w:r>
                </w:p>
              </w:tc>
              <w:tc>
                <w:tcPr>
                  <w:tcW w:w="843" w:type="dxa"/>
                  <w:noWrap w:val="0"/>
                  <w:vAlign w:val="center"/>
                </w:tcPr>
                <w:p w14:paraId="7491BFD7">
                  <w:pPr>
                    <w:spacing w:line="240" w:lineRule="auto"/>
                    <w:ind w:firstLine="0" w:firstLineChars="0"/>
                    <w:jc w:val="center"/>
                    <w:rPr>
                      <w:rFonts w:hint="default" w:eastAsia="宋体"/>
                      <w:color w:val="auto"/>
                      <w:kern w:val="0"/>
                      <w:sz w:val="21"/>
                      <w:szCs w:val="18"/>
                      <w:lang w:val="en-US" w:eastAsia="zh-CN"/>
                    </w:rPr>
                  </w:pPr>
                  <w:r>
                    <w:rPr>
                      <w:rFonts w:hint="eastAsia"/>
                      <w:color w:val="auto"/>
                      <w:kern w:val="0"/>
                      <w:sz w:val="21"/>
                      <w:szCs w:val="18"/>
                      <w:lang w:val="en-US" w:eastAsia="zh-CN"/>
                    </w:rPr>
                    <w:t>400</w:t>
                  </w:r>
                  <w:r>
                    <w:rPr>
                      <w:rFonts w:hint="eastAsia"/>
                      <w:color w:val="auto"/>
                      <w:kern w:val="0"/>
                      <w:sz w:val="21"/>
                      <w:szCs w:val="18"/>
                    </w:rPr>
                    <w:t>人</w:t>
                  </w:r>
                </w:p>
              </w:tc>
              <w:tc>
                <w:tcPr>
                  <w:tcW w:w="1308" w:type="dxa"/>
                  <w:vMerge w:val="continue"/>
                  <w:noWrap w:val="0"/>
                  <w:vAlign w:val="center"/>
                </w:tcPr>
                <w:p w14:paraId="5418536A">
                  <w:pPr>
                    <w:spacing w:line="240" w:lineRule="auto"/>
                    <w:ind w:firstLine="0" w:firstLineChars="0"/>
                    <w:jc w:val="center"/>
                    <w:rPr>
                      <w:color w:val="auto"/>
                      <w:kern w:val="0"/>
                      <w:sz w:val="21"/>
                      <w:szCs w:val="18"/>
                    </w:rPr>
                  </w:pPr>
                </w:p>
              </w:tc>
              <w:tc>
                <w:tcPr>
                  <w:tcW w:w="985" w:type="dxa"/>
                  <w:noWrap w:val="0"/>
                  <w:vAlign w:val="center"/>
                </w:tcPr>
                <w:p w14:paraId="5AFAB18D">
                  <w:pPr>
                    <w:spacing w:line="240" w:lineRule="auto"/>
                    <w:ind w:firstLine="0" w:firstLineChars="0"/>
                    <w:jc w:val="center"/>
                    <w:rPr>
                      <w:rFonts w:hint="eastAsia"/>
                      <w:color w:val="auto"/>
                      <w:kern w:val="0"/>
                      <w:sz w:val="21"/>
                      <w:szCs w:val="18"/>
                    </w:rPr>
                  </w:pPr>
                  <w:r>
                    <w:rPr>
                      <w:rFonts w:hint="eastAsia"/>
                      <w:color w:val="auto"/>
                      <w:kern w:val="0"/>
                      <w:sz w:val="21"/>
                      <w:szCs w:val="18"/>
                      <w:lang w:val="en-US" w:eastAsia="zh-CN"/>
                    </w:rPr>
                    <w:t>东</w:t>
                  </w:r>
                  <w:r>
                    <w:rPr>
                      <w:rFonts w:hint="eastAsia"/>
                      <w:color w:val="auto"/>
                      <w:kern w:val="0"/>
                      <w:sz w:val="21"/>
                      <w:szCs w:val="18"/>
                    </w:rPr>
                    <w:t>南</w:t>
                  </w:r>
                </w:p>
              </w:tc>
              <w:tc>
                <w:tcPr>
                  <w:tcW w:w="1086" w:type="dxa"/>
                  <w:noWrap w:val="0"/>
                  <w:vAlign w:val="center"/>
                </w:tcPr>
                <w:p w14:paraId="60241357">
                  <w:pPr>
                    <w:spacing w:line="240" w:lineRule="auto"/>
                    <w:ind w:firstLine="0" w:firstLineChars="0"/>
                    <w:jc w:val="center"/>
                    <w:rPr>
                      <w:rFonts w:hint="default" w:eastAsia="宋体"/>
                      <w:color w:val="auto"/>
                      <w:kern w:val="0"/>
                      <w:sz w:val="21"/>
                      <w:szCs w:val="18"/>
                      <w:lang w:val="en-US" w:eastAsia="zh-CN"/>
                    </w:rPr>
                  </w:pPr>
                  <w:r>
                    <w:rPr>
                      <w:rFonts w:hint="eastAsia"/>
                      <w:color w:val="auto"/>
                      <w:kern w:val="0"/>
                      <w:sz w:val="21"/>
                      <w:szCs w:val="18"/>
                      <w:lang w:val="en-US" w:eastAsia="zh-CN"/>
                    </w:rPr>
                    <w:t>383</w:t>
                  </w:r>
                </w:p>
              </w:tc>
            </w:tr>
            <w:tr w14:paraId="73FFD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Merge w:val="continue"/>
                  <w:noWrap w:val="0"/>
                  <w:vAlign w:val="center"/>
                </w:tcPr>
                <w:p w14:paraId="42887203">
                  <w:pPr>
                    <w:spacing w:line="240" w:lineRule="auto"/>
                    <w:ind w:firstLine="0" w:firstLineChars="0"/>
                    <w:jc w:val="center"/>
                    <w:rPr>
                      <w:rFonts w:hint="eastAsia"/>
                      <w:color w:val="auto"/>
                      <w:kern w:val="0"/>
                      <w:sz w:val="21"/>
                      <w:szCs w:val="18"/>
                    </w:rPr>
                  </w:pPr>
                </w:p>
              </w:tc>
              <w:tc>
                <w:tcPr>
                  <w:tcW w:w="657" w:type="dxa"/>
                  <w:noWrap w:val="0"/>
                  <w:vAlign w:val="center"/>
                </w:tcPr>
                <w:p w14:paraId="0522EE79">
                  <w:pPr>
                    <w:spacing w:line="240" w:lineRule="auto"/>
                    <w:ind w:firstLine="0" w:firstLineChars="0"/>
                    <w:jc w:val="center"/>
                    <w:rPr>
                      <w:rFonts w:hint="eastAsia" w:eastAsia="宋体"/>
                      <w:color w:val="auto"/>
                      <w:kern w:val="0"/>
                      <w:sz w:val="21"/>
                      <w:szCs w:val="18"/>
                      <w:lang w:val="en-US" w:eastAsia="zh-CN"/>
                    </w:rPr>
                  </w:pPr>
                  <w:r>
                    <w:rPr>
                      <w:rFonts w:hint="eastAsia"/>
                      <w:color w:val="auto"/>
                      <w:kern w:val="0"/>
                      <w:sz w:val="21"/>
                      <w:szCs w:val="18"/>
                      <w:lang w:val="en-US" w:eastAsia="zh-CN"/>
                    </w:rPr>
                    <w:t>0</w:t>
                  </w:r>
                </w:p>
              </w:tc>
              <w:tc>
                <w:tcPr>
                  <w:tcW w:w="697" w:type="dxa"/>
                  <w:noWrap w:val="0"/>
                  <w:vAlign w:val="center"/>
                </w:tcPr>
                <w:p w14:paraId="271D838E">
                  <w:pPr>
                    <w:spacing w:line="240" w:lineRule="auto"/>
                    <w:ind w:firstLine="0" w:firstLineChars="0"/>
                    <w:jc w:val="center"/>
                    <w:rPr>
                      <w:rFonts w:hint="default" w:eastAsia="宋体"/>
                      <w:color w:val="auto"/>
                      <w:kern w:val="0"/>
                      <w:sz w:val="21"/>
                      <w:szCs w:val="18"/>
                      <w:lang w:val="en-US" w:eastAsia="zh-CN"/>
                    </w:rPr>
                  </w:pPr>
                  <w:r>
                    <w:rPr>
                      <w:rFonts w:hint="eastAsia"/>
                      <w:color w:val="auto"/>
                      <w:kern w:val="0"/>
                      <w:sz w:val="21"/>
                      <w:szCs w:val="18"/>
                      <w:lang w:val="en-US" w:eastAsia="zh-CN"/>
                    </w:rPr>
                    <w:t>510</w:t>
                  </w:r>
                </w:p>
              </w:tc>
              <w:tc>
                <w:tcPr>
                  <w:tcW w:w="928" w:type="dxa"/>
                  <w:noWrap w:val="0"/>
                  <w:vAlign w:val="center"/>
                </w:tcPr>
                <w:p w14:paraId="75E5626C">
                  <w:pPr>
                    <w:spacing w:line="240" w:lineRule="auto"/>
                    <w:ind w:firstLine="0" w:firstLineChars="0"/>
                    <w:jc w:val="center"/>
                    <w:rPr>
                      <w:rFonts w:hint="eastAsia"/>
                      <w:color w:val="auto"/>
                      <w:kern w:val="0"/>
                      <w:sz w:val="21"/>
                      <w:szCs w:val="18"/>
                    </w:rPr>
                  </w:pPr>
                  <w:r>
                    <w:rPr>
                      <w:rFonts w:hint="eastAsia"/>
                      <w:color w:val="auto"/>
                      <w:kern w:val="0"/>
                      <w:sz w:val="21"/>
                      <w:szCs w:val="18"/>
                    </w:rPr>
                    <w:t>王庄</w:t>
                  </w:r>
                </w:p>
              </w:tc>
              <w:tc>
                <w:tcPr>
                  <w:tcW w:w="832" w:type="dxa"/>
                  <w:noWrap w:val="0"/>
                  <w:vAlign w:val="center"/>
                </w:tcPr>
                <w:p w14:paraId="758FEDF3">
                  <w:pPr>
                    <w:spacing w:line="240" w:lineRule="auto"/>
                    <w:ind w:firstLine="0" w:firstLineChars="0"/>
                    <w:jc w:val="center"/>
                    <w:rPr>
                      <w:rFonts w:hint="eastAsia"/>
                      <w:color w:val="auto"/>
                      <w:kern w:val="0"/>
                      <w:sz w:val="21"/>
                      <w:szCs w:val="18"/>
                    </w:rPr>
                  </w:pPr>
                  <w:r>
                    <w:rPr>
                      <w:rFonts w:hint="eastAsia"/>
                      <w:color w:val="auto"/>
                      <w:kern w:val="0"/>
                      <w:sz w:val="21"/>
                      <w:szCs w:val="18"/>
                    </w:rPr>
                    <w:t>居民</w:t>
                  </w:r>
                </w:p>
              </w:tc>
              <w:tc>
                <w:tcPr>
                  <w:tcW w:w="843" w:type="dxa"/>
                  <w:noWrap w:val="0"/>
                  <w:vAlign w:val="center"/>
                </w:tcPr>
                <w:p w14:paraId="4D57FD5C">
                  <w:pPr>
                    <w:spacing w:line="240" w:lineRule="auto"/>
                    <w:ind w:firstLine="0" w:firstLineChars="0"/>
                    <w:jc w:val="center"/>
                    <w:rPr>
                      <w:rFonts w:hint="eastAsia"/>
                      <w:color w:val="auto"/>
                      <w:kern w:val="0"/>
                      <w:sz w:val="21"/>
                      <w:szCs w:val="18"/>
                    </w:rPr>
                  </w:pPr>
                  <w:r>
                    <w:rPr>
                      <w:rFonts w:hint="eastAsia"/>
                      <w:color w:val="auto"/>
                      <w:kern w:val="0"/>
                      <w:sz w:val="21"/>
                      <w:szCs w:val="18"/>
                      <w:lang w:val="en-US" w:eastAsia="zh-CN"/>
                    </w:rPr>
                    <w:t>1000</w:t>
                  </w:r>
                  <w:r>
                    <w:rPr>
                      <w:rFonts w:hint="eastAsia"/>
                      <w:color w:val="auto"/>
                      <w:kern w:val="0"/>
                      <w:sz w:val="21"/>
                      <w:szCs w:val="18"/>
                    </w:rPr>
                    <w:t>人</w:t>
                  </w:r>
                </w:p>
              </w:tc>
              <w:tc>
                <w:tcPr>
                  <w:tcW w:w="1308" w:type="dxa"/>
                  <w:vMerge w:val="continue"/>
                  <w:noWrap w:val="0"/>
                  <w:vAlign w:val="center"/>
                </w:tcPr>
                <w:p w14:paraId="17E57D4C">
                  <w:pPr>
                    <w:spacing w:line="240" w:lineRule="auto"/>
                    <w:ind w:firstLine="0" w:firstLineChars="0"/>
                    <w:jc w:val="center"/>
                    <w:rPr>
                      <w:color w:val="auto"/>
                      <w:kern w:val="0"/>
                      <w:sz w:val="21"/>
                      <w:szCs w:val="18"/>
                    </w:rPr>
                  </w:pPr>
                </w:p>
              </w:tc>
              <w:tc>
                <w:tcPr>
                  <w:tcW w:w="985" w:type="dxa"/>
                  <w:noWrap w:val="0"/>
                  <w:vAlign w:val="center"/>
                </w:tcPr>
                <w:p w14:paraId="142B1919">
                  <w:pPr>
                    <w:spacing w:line="240" w:lineRule="auto"/>
                    <w:ind w:firstLine="0" w:firstLineChars="0"/>
                    <w:jc w:val="center"/>
                    <w:rPr>
                      <w:rFonts w:hint="eastAsia" w:eastAsia="宋体"/>
                      <w:color w:val="auto"/>
                      <w:kern w:val="0"/>
                      <w:sz w:val="21"/>
                      <w:szCs w:val="18"/>
                      <w:lang w:val="en-US" w:eastAsia="zh-CN"/>
                    </w:rPr>
                  </w:pPr>
                  <w:r>
                    <w:rPr>
                      <w:rFonts w:hint="eastAsia"/>
                      <w:color w:val="auto"/>
                      <w:kern w:val="0"/>
                      <w:sz w:val="21"/>
                      <w:szCs w:val="18"/>
                      <w:lang w:val="en-US" w:eastAsia="zh-CN"/>
                    </w:rPr>
                    <w:t>北</w:t>
                  </w:r>
                </w:p>
              </w:tc>
              <w:tc>
                <w:tcPr>
                  <w:tcW w:w="1086" w:type="dxa"/>
                  <w:noWrap w:val="0"/>
                  <w:vAlign w:val="center"/>
                </w:tcPr>
                <w:p w14:paraId="461BF9CD">
                  <w:pPr>
                    <w:spacing w:line="240" w:lineRule="auto"/>
                    <w:ind w:firstLine="0" w:firstLineChars="0"/>
                    <w:jc w:val="center"/>
                    <w:rPr>
                      <w:rFonts w:hint="default" w:eastAsia="宋体"/>
                      <w:color w:val="auto"/>
                      <w:kern w:val="0"/>
                      <w:sz w:val="21"/>
                      <w:szCs w:val="18"/>
                      <w:lang w:val="en-US" w:eastAsia="zh-CN"/>
                    </w:rPr>
                  </w:pPr>
                  <w:r>
                    <w:rPr>
                      <w:rFonts w:hint="eastAsia"/>
                      <w:color w:val="auto"/>
                      <w:kern w:val="0"/>
                      <w:sz w:val="21"/>
                      <w:szCs w:val="18"/>
                      <w:lang w:val="en-US" w:eastAsia="zh-CN"/>
                    </w:rPr>
                    <w:t>465</w:t>
                  </w:r>
                </w:p>
              </w:tc>
            </w:tr>
            <w:tr w14:paraId="62000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Merge w:val="continue"/>
                  <w:noWrap w:val="0"/>
                  <w:vAlign w:val="center"/>
                </w:tcPr>
                <w:p w14:paraId="260DA9CD">
                  <w:pPr>
                    <w:spacing w:line="240" w:lineRule="auto"/>
                    <w:ind w:firstLine="0" w:firstLineChars="0"/>
                    <w:jc w:val="center"/>
                    <w:rPr>
                      <w:rFonts w:hint="eastAsia"/>
                      <w:color w:val="auto"/>
                      <w:kern w:val="0"/>
                      <w:sz w:val="21"/>
                      <w:szCs w:val="18"/>
                    </w:rPr>
                  </w:pPr>
                </w:p>
              </w:tc>
              <w:tc>
                <w:tcPr>
                  <w:tcW w:w="657" w:type="dxa"/>
                  <w:noWrap w:val="0"/>
                  <w:vAlign w:val="center"/>
                </w:tcPr>
                <w:p w14:paraId="5791F19D">
                  <w:pPr>
                    <w:spacing w:line="240" w:lineRule="auto"/>
                    <w:ind w:firstLine="0" w:firstLineChars="0"/>
                    <w:jc w:val="center"/>
                    <w:rPr>
                      <w:rFonts w:hint="eastAsia" w:eastAsia="宋体"/>
                      <w:color w:val="auto"/>
                      <w:kern w:val="0"/>
                      <w:sz w:val="21"/>
                      <w:szCs w:val="18"/>
                      <w:lang w:val="en-US" w:eastAsia="zh-CN"/>
                    </w:rPr>
                  </w:pPr>
                  <w:r>
                    <w:rPr>
                      <w:rFonts w:hint="eastAsia"/>
                      <w:color w:val="auto"/>
                      <w:kern w:val="0"/>
                      <w:sz w:val="21"/>
                      <w:szCs w:val="18"/>
                      <w:lang w:val="en-US" w:eastAsia="zh-CN"/>
                    </w:rPr>
                    <w:t>0</w:t>
                  </w:r>
                </w:p>
              </w:tc>
              <w:tc>
                <w:tcPr>
                  <w:tcW w:w="697" w:type="dxa"/>
                  <w:noWrap w:val="0"/>
                  <w:vAlign w:val="center"/>
                </w:tcPr>
                <w:p w14:paraId="32A447D6">
                  <w:pPr>
                    <w:spacing w:line="240" w:lineRule="auto"/>
                    <w:ind w:firstLine="0" w:firstLineChars="0"/>
                    <w:jc w:val="center"/>
                    <w:rPr>
                      <w:rFonts w:hint="default" w:eastAsia="宋体"/>
                      <w:color w:val="auto"/>
                      <w:kern w:val="0"/>
                      <w:sz w:val="21"/>
                      <w:szCs w:val="18"/>
                      <w:lang w:val="en-US" w:eastAsia="zh-CN"/>
                    </w:rPr>
                  </w:pPr>
                  <w:r>
                    <w:rPr>
                      <w:rFonts w:hint="eastAsia"/>
                      <w:color w:val="auto"/>
                      <w:kern w:val="0"/>
                      <w:sz w:val="21"/>
                      <w:szCs w:val="18"/>
                      <w:lang w:val="en-US" w:eastAsia="zh-CN"/>
                    </w:rPr>
                    <w:t>146</w:t>
                  </w:r>
                </w:p>
              </w:tc>
              <w:tc>
                <w:tcPr>
                  <w:tcW w:w="928" w:type="dxa"/>
                  <w:noWrap w:val="0"/>
                  <w:vAlign w:val="center"/>
                </w:tcPr>
                <w:p w14:paraId="6C510BAC">
                  <w:pPr>
                    <w:spacing w:line="240" w:lineRule="auto"/>
                    <w:ind w:firstLine="0" w:firstLineChars="0"/>
                    <w:jc w:val="center"/>
                    <w:rPr>
                      <w:rFonts w:hint="eastAsia"/>
                      <w:color w:val="auto"/>
                      <w:kern w:val="0"/>
                      <w:sz w:val="21"/>
                      <w:szCs w:val="18"/>
                    </w:rPr>
                  </w:pPr>
                  <w:r>
                    <w:rPr>
                      <w:rFonts w:hint="eastAsia"/>
                      <w:color w:val="auto"/>
                      <w:kern w:val="0"/>
                      <w:sz w:val="21"/>
                      <w:szCs w:val="18"/>
                    </w:rPr>
                    <w:t>西孙庄</w:t>
                  </w:r>
                </w:p>
              </w:tc>
              <w:tc>
                <w:tcPr>
                  <w:tcW w:w="832" w:type="dxa"/>
                  <w:noWrap w:val="0"/>
                  <w:vAlign w:val="center"/>
                </w:tcPr>
                <w:p w14:paraId="143F5BB3">
                  <w:pPr>
                    <w:spacing w:line="240" w:lineRule="auto"/>
                    <w:ind w:firstLine="0" w:firstLineChars="0"/>
                    <w:jc w:val="center"/>
                    <w:rPr>
                      <w:rFonts w:hint="eastAsia"/>
                      <w:color w:val="auto"/>
                      <w:kern w:val="0"/>
                      <w:sz w:val="21"/>
                      <w:szCs w:val="18"/>
                    </w:rPr>
                  </w:pPr>
                  <w:r>
                    <w:rPr>
                      <w:rFonts w:hint="eastAsia"/>
                      <w:color w:val="auto"/>
                      <w:kern w:val="0"/>
                      <w:sz w:val="21"/>
                      <w:szCs w:val="18"/>
                    </w:rPr>
                    <w:t>居民</w:t>
                  </w:r>
                </w:p>
              </w:tc>
              <w:tc>
                <w:tcPr>
                  <w:tcW w:w="843" w:type="dxa"/>
                  <w:noWrap w:val="0"/>
                  <w:vAlign w:val="center"/>
                </w:tcPr>
                <w:p w14:paraId="7FB75F81">
                  <w:pPr>
                    <w:spacing w:line="240" w:lineRule="auto"/>
                    <w:ind w:firstLine="0" w:firstLineChars="0"/>
                    <w:jc w:val="center"/>
                    <w:rPr>
                      <w:rFonts w:hint="eastAsia"/>
                      <w:color w:val="auto"/>
                      <w:kern w:val="0"/>
                      <w:sz w:val="21"/>
                      <w:szCs w:val="18"/>
                    </w:rPr>
                  </w:pPr>
                  <w:r>
                    <w:rPr>
                      <w:rFonts w:hint="eastAsia"/>
                      <w:color w:val="auto"/>
                      <w:kern w:val="0"/>
                      <w:sz w:val="21"/>
                      <w:szCs w:val="18"/>
                      <w:lang w:val="en-US" w:eastAsia="zh-CN"/>
                    </w:rPr>
                    <w:t>300</w:t>
                  </w:r>
                  <w:r>
                    <w:rPr>
                      <w:rFonts w:hint="eastAsia"/>
                      <w:color w:val="auto"/>
                      <w:kern w:val="0"/>
                      <w:sz w:val="21"/>
                      <w:szCs w:val="18"/>
                    </w:rPr>
                    <w:t>人</w:t>
                  </w:r>
                </w:p>
              </w:tc>
              <w:tc>
                <w:tcPr>
                  <w:tcW w:w="1308" w:type="dxa"/>
                  <w:vMerge w:val="continue"/>
                  <w:noWrap w:val="0"/>
                  <w:vAlign w:val="center"/>
                </w:tcPr>
                <w:p w14:paraId="45E9A32C">
                  <w:pPr>
                    <w:spacing w:line="240" w:lineRule="auto"/>
                    <w:ind w:firstLine="0" w:firstLineChars="0"/>
                    <w:jc w:val="center"/>
                    <w:rPr>
                      <w:color w:val="auto"/>
                      <w:kern w:val="0"/>
                      <w:sz w:val="21"/>
                      <w:szCs w:val="18"/>
                    </w:rPr>
                  </w:pPr>
                </w:p>
              </w:tc>
              <w:tc>
                <w:tcPr>
                  <w:tcW w:w="985" w:type="dxa"/>
                  <w:noWrap w:val="0"/>
                  <w:vAlign w:val="center"/>
                </w:tcPr>
                <w:p w14:paraId="5B077AB0">
                  <w:pPr>
                    <w:spacing w:line="240" w:lineRule="auto"/>
                    <w:ind w:firstLine="0" w:firstLineChars="0"/>
                    <w:jc w:val="center"/>
                    <w:rPr>
                      <w:rFonts w:hint="eastAsia"/>
                      <w:color w:val="auto"/>
                      <w:kern w:val="0"/>
                      <w:sz w:val="21"/>
                      <w:szCs w:val="18"/>
                    </w:rPr>
                  </w:pPr>
                  <w:r>
                    <w:rPr>
                      <w:rFonts w:hint="eastAsia"/>
                      <w:color w:val="auto"/>
                      <w:kern w:val="0"/>
                      <w:sz w:val="21"/>
                      <w:szCs w:val="18"/>
                      <w:lang w:val="en-US" w:eastAsia="zh-CN"/>
                    </w:rPr>
                    <w:t>北</w:t>
                  </w:r>
                </w:p>
              </w:tc>
              <w:tc>
                <w:tcPr>
                  <w:tcW w:w="1086" w:type="dxa"/>
                  <w:noWrap w:val="0"/>
                  <w:vAlign w:val="center"/>
                </w:tcPr>
                <w:p w14:paraId="1E98C696">
                  <w:pPr>
                    <w:spacing w:line="240" w:lineRule="auto"/>
                    <w:ind w:firstLine="0" w:firstLineChars="0"/>
                    <w:jc w:val="center"/>
                    <w:rPr>
                      <w:rFonts w:hint="default" w:eastAsia="宋体"/>
                      <w:color w:val="auto"/>
                      <w:kern w:val="0"/>
                      <w:sz w:val="21"/>
                      <w:szCs w:val="18"/>
                      <w:lang w:val="en-US" w:eastAsia="zh-CN"/>
                    </w:rPr>
                  </w:pPr>
                  <w:r>
                    <w:rPr>
                      <w:rFonts w:hint="eastAsia"/>
                      <w:color w:val="auto"/>
                      <w:kern w:val="0"/>
                      <w:sz w:val="21"/>
                      <w:szCs w:val="18"/>
                      <w:lang w:val="en-US" w:eastAsia="zh-CN"/>
                    </w:rPr>
                    <w:t>123</w:t>
                  </w:r>
                </w:p>
              </w:tc>
            </w:tr>
            <w:tr w14:paraId="18987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Merge w:val="continue"/>
                  <w:noWrap w:val="0"/>
                  <w:vAlign w:val="center"/>
                </w:tcPr>
                <w:p w14:paraId="207FACDA">
                  <w:pPr>
                    <w:spacing w:line="240" w:lineRule="auto"/>
                    <w:ind w:firstLine="0" w:firstLineChars="0"/>
                    <w:jc w:val="center"/>
                    <w:rPr>
                      <w:rFonts w:hint="eastAsia"/>
                      <w:color w:val="auto"/>
                      <w:kern w:val="0"/>
                      <w:sz w:val="21"/>
                      <w:szCs w:val="18"/>
                    </w:rPr>
                  </w:pPr>
                </w:p>
              </w:tc>
              <w:tc>
                <w:tcPr>
                  <w:tcW w:w="657" w:type="dxa"/>
                  <w:noWrap w:val="0"/>
                  <w:vAlign w:val="center"/>
                </w:tcPr>
                <w:p w14:paraId="6DCD854B">
                  <w:pPr>
                    <w:spacing w:line="240" w:lineRule="auto"/>
                    <w:ind w:firstLine="0" w:firstLineChars="0"/>
                    <w:jc w:val="center"/>
                    <w:rPr>
                      <w:rFonts w:hint="default" w:eastAsia="宋体"/>
                      <w:color w:val="auto"/>
                      <w:kern w:val="0"/>
                      <w:sz w:val="21"/>
                      <w:szCs w:val="18"/>
                      <w:lang w:val="en-US" w:eastAsia="zh-CN"/>
                    </w:rPr>
                  </w:pPr>
                  <w:r>
                    <w:rPr>
                      <w:rFonts w:hint="eastAsia"/>
                      <w:color w:val="auto"/>
                      <w:kern w:val="0"/>
                      <w:sz w:val="21"/>
                      <w:szCs w:val="18"/>
                      <w:lang w:val="en-US" w:eastAsia="zh-CN"/>
                    </w:rPr>
                    <w:t>-465</w:t>
                  </w:r>
                </w:p>
              </w:tc>
              <w:tc>
                <w:tcPr>
                  <w:tcW w:w="697" w:type="dxa"/>
                  <w:noWrap w:val="0"/>
                  <w:vAlign w:val="center"/>
                </w:tcPr>
                <w:p w14:paraId="7D13FA5B">
                  <w:pPr>
                    <w:spacing w:line="240" w:lineRule="auto"/>
                    <w:ind w:firstLine="0" w:firstLineChars="0"/>
                    <w:jc w:val="center"/>
                    <w:rPr>
                      <w:rFonts w:hint="default" w:eastAsia="宋体"/>
                      <w:color w:val="auto"/>
                      <w:kern w:val="0"/>
                      <w:sz w:val="21"/>
                      <w:szCs w:val="18"/>
                      <w:lang w:val="en-US" w:eastAsia="zh-CN"/>
                    </w:rPr>
                  </w:pPr>
                  <w:r>
                    <w:rPr>
                      <w:rFonts w:hint="eastAsia"/>
                      <w:color w:val="auto"/>
                      <w:kern w:val="0"/>
                      <w:sz w:val="21"/>
                      <w:szCs w:val="18"/>
                      <w:lang w:val="en-US" w:eastAsia="zh-CN"/>
                    </w:rPr>
                    <w:t>243</w:t>
                  </w:r>
                </w:p>
              </w:tc>
              <w:tc>
                <w:tcPr>
                  <w:tcW w:w="928" w:type="dxa"/>
                  <w:noWrap w:val="0"/>
                  <w:vAlign w:val="center"/>
                </w:tcPr>
                <w:p w14:paraId="7072C42F">
                  <w:pPr>
                    <w:spacing w:line="240" w:lineRule="auto"/>
                    <w:ind w:firstLine="0" w:firstLineChars="0"/>
                    <w:jc w:val="center"/>
                    <w:rPr>
                      <w:rFonts w:hint="eastAsia"/>
                      <w:color w:val="auto"/>
                      <w:kern w:val="0"/>
                      <w:sz w:val="21"/>
                      <w:szCs w:val="18"/>
                    </w:rPr>
                  </w:pPr>
                  <w:r>
                    <w:rPr>
                      <w:rFonts w:hint="eastAsia"/>
                      <w:color w:val="auto"/>
                      <w:kern w:val="0"/>
                      <w:sz w:val="21"/>
                      <w:szCs w:val="18"/>
                    </w:rPr>
                    <w:t>朔东村</w:t>
                  </w:r>
                </w:p>
              </w:tc>
              <w:tc>
                <w:tcPr>
                  <w:tcW w:w="832" w:type="dxa"/>
                  <w:noWrap w:val="0"/>
                  <w:vAlign w:val="center"/>
                </w:tcPr>
                <w:p w14:paraId="2E67BBAF">
                  <w:pPr>
                    <w:spacing w:line="240" w:lineRule="auto"/>
                    <w:ind w:firstLine="0" w:firstLineChars="0"/>
                    <w:jc w:val="center"/>
                    <w:rPr>
                      <w:rFonts w:hint="eastAsia"/>
                      <w:color w:val="auto"/>
                      <w:kern w:val="0"/>
                      <w:sz w:val="21"/>
                      <w:szCs w:val="18"/>
                    </w:rPr>
                  </w:pPr>
                  <w:r>
                    <w:rPr>
                      <w:rFonts w:hint="eastAsia"/>
                      <w:color w:val="auto"/>
                      <w:kern w:val="0"/>
                      <w:sz w:val="21"/>
                      <w:szCs w:val="18"/>
                    </w:rPr>
                    <w:t>居民</w:t>
                  </w:r>
                </w:p>
              </w:tc>
              <w:tc>
                <w:tcPr>
                  <w:tcW w:w="843" w:type="dxa"/>
                  <w:noWrap w:val="0"/>
                  <w:vAlign w:val="center"/>
                </w:tcPr>
                <w:p w14:paraId="1628CC97">
                  <w:pPr>
                    <w:spacing w:line="240" w:lineRule="auto"/>
                    <w:ind w:firstLine="0" w:firstLineChars="0"/>
                    <w:jc w:val="center"/>
                    <w:rPr>
                      <w:rFonts w:hint="eastAsia"/>
                      <w:color w:val="auto"/>
                      <w:kern w:val="0"/>
                      <w:sz w:val="21"/>
                      <w:szCs w:val="18"/>
                    </w:rPr>
                  </w:pPr>
                  <w:r>
                    <w:rPr>
                      <w:rFonts w:hint="eastAsia"/>
                      <w:color w:val="auto"/>
                      <w:kern w:val="0"/>
                      <w:sz w:val="21"/>
                      <w:szCs w:val="18"/>
                      <w:lang w:val="en-US" w:eastAsia="zh-CN"/>
                    </w:rPr>
                    <w:t>350</w:t>
                  </w:r>
                  <w:r>
                    <w:rPr>
                      <w:rFonts w:hint="eastAsia"/>
                      <w:color w:val="auto"/>
                      <w:kern w:val="0"/>
                      <w:sz w:val="21"/>
                      <w:szCs w:val="18"/>
                    </w:rPr>
                    <w:t>人</w:t>
                  </w:r>
                </w:p>
              </w:tc>
              <w:tc>
                <w:tcPr>
                  <w:tcW w:w="1308" w:type="dxa"/>
                  <w:vMerge w:val="continue"/>
                  <w:noWrap w:val="0"/>
                  <w:vAlign w:val="center"/>
                </w:tcPr>
                <w:p w14:paraId="4BFDCC83">
                  <w:pPr>
                    <w:spacing w:line="240" w:lineRule="auto"/>
                    <w:ind w:firstLine="0" w:firstLineChars="0"/>
                    <w:jc w:val="center"/>
                    <w:rPr>
                      <w:color w:val="auto"/>
                      <w:kern w:val="0"/>
                      <w:sz w:val="21"/>
                      <w:szCs w:val="18"/>
                    </w:rPr>
                  </w:pPr>
                </w:p>
              </w:tc>
              <w:tc>
                <w:tcPr>
                  <w:tcW w:w="985" w:type="dxa"/>
                  <w:noWrap w:val="0"/>
                  <w:vAlign w:val="center"/>
                </w:tcPr>
                <w:p w14:paraId="15D6DD3B">
                  <w:pPr>
                    <w:spacing w:line="240" w:lineRule="auto"/>
                    <w:ind w:firstLine="0" w:firstLineChars="0"/>
                    <w:jc w:val="center"/>
                    <w:rPr>
                      <w:rFonts w:hint="eastAsia" w:eastAsia="宋体"/>
                      <w:color w:val="auto"/>
                      <w:kern w:val="0"/>
                      <w:sz w:val="21"/>
                      <w:szCs w:val="18"/>
                      <w:lang w:val="en-US" w:eastAsia="zh-CN"/>
                    </w:rPr>
                  </w:pPr>
                  <w:r>
                    <w:rPr>
                      <w:rFonts w:hint="eastAsia"/>
                      <w:color w:val="auto"/>
                      <w:kern w:val="0"/>
                      <w:sz w:val="21"/>
                      <w:szCs w:val="18"/>
                      <w:lang w:val="en-US" w:eastAsia="zh-CN"/>
                    </w:rPr>
                    <w:t>西北</w:t>
                  </w:r>
                </w:p>
              </w:tc>
              <w:tc>
                <w:tcPr>
                  <w:tcW w:w="1086" w:type="dxa"/>
                  <w:noWrap w:val="0"/>
                  <w:vAlign w:val="center"/>
                </w:tcPr>
                <w:p w14:paraId="2111A452">
                  <w:pPr>
                    <w:spacing w:line="240" w:lineRule="auto"/>
                    <w:ind w:firstLine="0" w:firstLineChars="0"/>
                    <w:jc w:val="center"/>
                    <w:rPr>
                      <w:rFonts w:hint="default" w:eastAsia="宋体"/>
                      <w:color w:val="auto"/>
                      <w:kern w:val="0"/>
                      <w:sz w:val="21"/>
                      <w:szCs w:val="18"/>
                      <w:lang w:val="en-US" w:eastAsia="zh-CN"/>
                    </w:rPr>
                  </w:pPr>
                  <w:r>
                    <w:rPr>
                      <w:rFonts w:hint="eastAsia"/>
                      <w:color w:val="auto"/>
                      <w:kern w:val="0"/>
                      <w:sz w:val="21"/>
                      <w:szCs w:val="18"/>
                      <w:lang w:val="en-US" w:eastAsia="zh-CN"/>
                    </w:rPr>
                    <w:t>381</w:t>
                  </w:r>
                </w:p>
              </w:tc>
            </w:tr>
            <w:tr w14:paraId="4FDD1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Merge w:val="continue"/>
                  <w:noWrap w:val="0"/>
                  <w:vAlign w:val="center"/>
                </w:tcPr>
                <w:p w14:paraId="1840729A">
                  <w:pPr>
                    <w:spacing w:line="240" w:lineRule="auto"/>
                    <w:ind w:firstLine="0" w:firstLineChars="0"/>
                    <w:jc w:val="center"/>
                    <w:rPr>
                      <w:rFonts w:hint="eastAsia"/>
                      <w:color w:val="auto"/>
                      <w:kern w:val="0"/>
                      <w:sz w:val="21"/>
                      <w:szCs w:val="18"/>
                    </w:rPr>
                  </w:pPr>
                </w:p>
              </w:tc>
              <w:tc>
                <w:tcPr>
                  <w:tcW w:w="657" w:type="dxa"/>
                  <w:noWrap w:val="0"/>
                  <w:vAlign w:val="center"/>
                </w:tcPr>
                <w:p w14:paraId="648572E3">
                  <w:pPr>
                    <w:spacing w:line="240" w:lineRule="auto"/>
                    <w:ind w:firstLine="0" w:firstLineChars="0"/>
                    <w:jc w:val="center"/>
                    <w:rPr>
                      <w:rFonts w:hint="default" w:eastAsia="宋体"/>
                      <w:color w:val="auto"/>
                      <w:kern w:val="0"/>
                      <w:sz w:val="21"/>
                      <w:szCs w:val="18"/>
                      <w:lang w:val="en-US" w:eastAsia="zh-CN"/>
                    </w:rPr>
                  </w:pPr>
                  <w:r>
                    <w:rPr>
                      <w:rFonts w:hint="eastAsia"/>
                      <w:color w:val="auto"/>
                      <w:kern w:val="0"/>
                      <w:sz w:val="21"/>
                      <w:szCs w:val="18"/>
                      <w:lang w:val="en-US" w:eastAsia="zh-CN"/>
                    </w:rPr>
                    <w:t>-536</w:t>
                  </w:r>
                </w:p>
              </w:tc>
              <w:tc>
                <w:tcPr>
                  <w:tcW w:w="697" w:type="dxa"/>
                  <w:noWrap w:val="0"/>
                  <w:vAlign w:val="center"/>
                </w:tcPr>
                <w:p w14:paraId="6D769591">
                  <w:pPr>
                    <w:spacing w:line="240" w:lineRule="auto"/>
                    <w:ind w:firstLine="0" w:firstLineChars="0"/>
                    <w:jc w:val="center"/>
                    <w:rPr>
                      <w:rFonts w:hint="default" w:eastAsia="宋体"/>
                      <w:color w:val="auto"/>
                      <w:kern w:val="0"/>
                      <w:sz w:val="21"/>
                      <w:szCs w:val="18"/>
                      <w:lang w:val="en-US" w:eastAsia="zh-CN"/>
                    </w:rPr>
                  </w:pPr>
                  <w:r>
                    <w:rPr>
                      <w:rFonts w:hint="eastAsia"/>
                      <w:color w:val="auto"/>
                      <w:kern w:val="0"/>
                      <w:sz w:val="21"/>
                      <w:szCs w:val="18"/>
                      <w:lang w:val="en-US" w:eastAsia="zh-CN"/>
                    </w:rPr>
                    <w:t>122</w:t>
                  </w:r>
                </w:p>
              </w:tc>
              <w:tc>
                <w:tcPr>
                  <w:tcW w:w="928" w:type="dxa"/>
                  <w:noWrap w:val="0"/>
                  <w:vAlign w:val="center"/>
                </w:tcPr>
                <w:p w14:paraId="6A2443CB">
                  <w:pPr>
                    <w:spacing w:line="240" w:lineRule="auto"/>
                    <w:ind w:firstLine="0" w:firstLineChars="0"/>
                    <w:jc w:val="center"/>
                    <w:rPr>
                      <w:rFonts w:hint="eastAsia"/>
                      <w:color w:val="auto"/>
                      <w:kern w:val="0"/>
                      <w:sz w:val="21"/>
                      <w:szCs w:val="18"/>
                    </w:rPr>
                  </w:pPr>
                  <w:r>
                    <w:rPr>
                      <w:rFonts w:hint="eastAsia"/>
                      <w:color w:val="auto"/>
                      <w:kern w:val="0"/>
                      <w:sz w:val="21"/>
                      <w:szCs w:val="18"/>
                    </w:rPr>
                    <w:t>淮北市朔里高级职业中学</w:t>
                  </w:r>
                </w:p>
              </w:tc>
              <w:tc>
                <w:tcPr>
                  <w:tcW w:w="832" w:type="dxa"/>
                  <w:noWrap w:val="0"/>
                  <w:vAlign w:val="center"/>
                </w:tcPr>
                <w:p w14:paraId="24320A17">
                  <w:pPr>
                    <w:spacing w:line="240" w:lineRule="auto"/>
                    <w:ind w:firstLine="0" w:firstLineChars="0"/>
                    <w:jc w:val="center"/>
                    <w:rPr>
                      <w:rFonts w:hint="eastAsia"/>
                      <w:color w:val="auto"/>
                      <w:kern w:val="0"/>
                      <w:sz w:val="21"/>
                      <w:szCs w:val="18"/>
                    </w:rPr>
                  </w:pPr>
                  <w:r>
                    <w:rPr>
                      <w:rFonts w:hint="eastAsia"/>
                      <w:color w:val="auto"/>
                      <w:kern w:val="0"/>
                      <w:sz w:val="21"/>
                      <w:szCs w:val="18"/>
                      <w:lang w:val="en-US" w:eastAsia="zh-CN"/>
                    </w:rPr>
                    <w:t>学生</w:t>
                  </w:r>
                </w:p>
              </w:tc>
              <w:tc>
                <w:tcPr>
                  <w:tcW w:w="843" w:type="dxa"/>
                  <w:noWrap w:val="0"/>
                  <w:vAlign w:val="center"/>
                </w:tcPr>
                <w:p w14:paraId="4AEA081F">
                  <w:pPr>
                    <w:spacing w:line="240" w:lineRule="auto"/>
                    <w:ind w:firstLine="0" w:firstLineChars="0"/>
                    <w:jc w:val="center"/>
                    <w:rPr>
                      <w:rFonts w:hint="default" w:eastAsia="宋体"/>
                      <w:color w:val="auto"/>
                      <w:kern w:val="0"/>
                      <w:sz w:val="21"/>
                      <w:szCs w:val="18"/>
                      <w:lang w:val="en-US" w:eastAsia="zh-CN"/>
                    </w:rPr>
                  </w:pPr>
                  <w:r>
                    <w:rPr>
                      <w:rFonts w:hint="eastAsia"/>
                      <w:color w:val="auto"/>
                      <w:kern w:val="0"/>
                      <w:sz w:val="21"/>
                      <w:szCs w:val="18"/>
                      <w:lang w:val="en-US" w:eastAsia="zh-CN"/>
                    </w:rPr>
                    <w:t>800</w:t>
                  </w:r>
                  <w:r>
                    <w:rPr>
                      <w:rFonts w:hint="eastAsia"/>
                      <w:color w:val="auto"/>
                      <w:kern w:val="0"/>
                      <w:sz w:val="21"/>
                      <w:szCs w:val="18"/>
                    </w:rPr>
                    <w:t>人</w:t>
                  </w:r>
                </w:p>
              </w:tc>
              <w:tc>
                <w:tcPr>
                  <w:tcW w:w="1308" w:type="dxa"/>
                  <w:vMerge w:val="continue"/>
                  <w:noWrap w:val="0"/>
                  <w:vAlign w:val="center"/>
                </w:tcPr>
                <w:p w14:paraId="0081B9E9">
                  <w:pPr>
                    <w:spacing w:line="240" w:lineRule="auto"/>
                    <w:ind w:firstLine="0" w:firstLineChars="0"/>
                    <w:jc w:val="center"/>
                    <w:rPr>
                      <w:color w:val="auto"/>
                      <w:kern w:val="0"/>
                      <w:sz w:val="21"/>
                      <w:szCs w:val="18"/>
                    </w:rPr>
                  </w:pPr>
                </w:p>
              </w:tc>
              <w:tc>
                <w:tcPr>
                  <w:tcW w:w="985" w:type="dxa"/>
                  <w:noWrap w:val="0"/>
                  <w:vAlign w:val="center"/>
                </w:tcPr>
                <w:p w14:paraId="2E54EE4C">
                  <w:pPr>
                    <w:spacing w:line="240" w:lineRule="auto"/>
                    <w:ind w:firstLine="0" w:firstLineChars="0"/>
                    <w:jc w:val="center"/>
                    <w:rPr>
                      <w:rFonts w:hint="eastAsia"/>
                      <w:color w:val="auto"/>
                      <w:kern w:val="0"/>
                      <w:sz w:val="21"/>
                      <w:szCs w:val="18"/>
                    </w:rPr>
                  </w:pPr>
                  <w:r>
                    <w:rPr>
                      <w:rFonts w:hint="eastAsia"/>
                      <w:color w:val="auto"/>
                      <w:kern w:val="0"/>
                      <w:sz w:val="21"/>
                      <w:szCs w:val="18"/>
                      <w:lang w:val="en-US" w:eastAsia="zh-CN"/>
                    </w:rPr>
                    <w:t>西北</w:t>
                  </w:r>
                </w:p>
              </w:tc>
              <w:tc>
                <w:tcPr>
                  <w:tcW w:w="1086" w:type="dxa"/>
                  <w:noWrap w:val="0"/>
                  <w:vAlign w:val="center"/>
                </w:tcPr>
                <w:p w14:paraId="1356B5C4">
                  <w:pPr>
                    <w:spacing w:line="240" w:lineRule="auto"/>
                    <w:ind w:firstLine="0" w:firstLineChars="0"/>
                    <w:jc w:val="center"/>
                    <w:rPr>
                      <w:rFonts w:hint="default" w:eastAsia="宋体"/>
                      <w:color w:val="auto"/>
                      <w:kern w:val="0"/>
                      <w:sz w:val="21"/>
                      <w:szCs w:val="18"/>
                      <w:lang w:val="en-US" w:eastAsia="zh-CN"/>
                    </w:rPr>
                  </w:pPr>
                  <w:r>
                    <w:rPr>
                      <w:rFonts w:hint="eastAsia"/>
                      <w:color w:val="auto"/>
                      <w:kern w:val="0"/>
                      <w:sz w:val="21"/>
                      <w:szCs w:val="18"/>
                      <w:lang w:val="en-US" w:eastAsia="zh-CN"/>
                    </w:rPr>
                    <w:t>387</w:t>
                  </w:r>
                </w:p>
              </w:tc>
            </w:tr>
          </w:tbl>
          <w:p w14:paraId="4B7DDC71">
            <w:pPr>
              <w:ind w:firstLine="0" w:firstLineChars="0"/>
              <w:rPr>
                <w:rFonts w:hint="eastAsia"/>
                <w:b/>
                <w:bCs/>
                <w:color w:val="auto"/>
              </w:rPr>
            </w:pPr>
            <w:r>
              <w:rPr>
                <w:b/>
                <w:bCs/>
                <w:color w:val="auto"/>
                <w:sz w:val="21"/>
                <w:szCs w:val="21"/>
              </w:rPr>
              <w:t>注：以厂址</w:t>
            </w:r>
            <w:r>
              <w:rPr>
                <w:rFonts w:hint="eastAsia"/>
                <w:b/>
                <w:bCs/>
                <w:color w:val="auto"/>
                <w:sz w:val="21"/>
                <w:szCs w:val="21"/>
              </w:rPr>
              <w:t>中心（经度：116°55′03.222″，纬度：34°02′37.6037″）</w:t>
            </w:r>
            <w:r>
              <w:rPr>
                <w:b/>
                <w:bCs/>
                <w:color w:val="auto"/>
                <w:sz w:val="21"/>
                <w:szCs w:val="21"/>
              </w:rPr>
              <w:t>为坐标原点，正东为X轴正方向，正北为Y轴正方向</w:t>
            </w:r>
            <w:r>
              <w:rPr>
                <w:rFonts w:hint="eastAsia"/>
                <w:b/>
                <w:bCs/>
                <w:color w:val="auto"/>
                <w:sz w:val="21"/>
                <w:szCs w:val="21"/>
              </w:rPr>
              <w:t>，</w:t>
            </w:r>
            <w:r>
              <w:rPr>
                <w:b/>
                <w:bCs/>
                <w:color w:val="auto"/>
                <w:sz w:val="21"/>
                <w:szCs w:val="21"/>
              </w:rPr>
              <w:t>敏感保护目标坐标为距离项目厂界最近一点，其中环境空气保护目标坐标取距离厂址最近点位置。</w:t>
            </w:r>
          </w:p>
          <w:p w14:paraId="2F21963C">
            <w:pPr>
              <w:ind w:firstLine="0" w:firstLineChars="0"/>
              <w:rPr>
                <w:rFonts w:hint="eastAsia"/>
                <w:b/>
                <w:bCs/>
                <w:color w:val="auto"/>
              </w:rPr>
            </w:pPr>
            <w:r>
              <w:rPr>
                <w:rFonts w:hint="eastAsia"/>
                <w:b/>
                <w:bCs/>
                <w:color w:val="auto"/>
              </w:rPr>
              <w:t>2、声环境保护目标</w:t>
            </w:r>
          </w:p>
          <w:p w14:paraId="58C3AF48">
            <w:pPr>
              <w:ind w:left="480" w:leftChars="200" w:firstLine="0" w:firstLineChars="0"/>
              <w:rPr>
                <w:color w:val="auto"/>
              </w:rPr>
            </w:pPr>
            <w:r>
              <w:rPr>
                <w:rFonts w:hint="eastAsia"/>
                <w:color w:val="auto"/>
              </w:rPr>
              <w:t>项目</w:t>
            </w:r>
            <w:r>
              <w:rPr>
                <w:color w:val="auto"/>
              </w:rPr>
              <w:t>厂界外50米范围内无声环境保护目标。</w:t>
            </w:r>
          </w:p>
          <w:p w14:paraId="2CFEAF71">
            <w:pPr>
              <w:ind w:firstLine="0" w:firstLineChars="0"/>
              <w:rPr>
                <w:rFonts w:hint="eastAsia"/>
                <w:b/>
                <w:bCs/>
                <w:color w:val="auto"/>
              </w:rPr>
            </w:pPr>
            <w:r>
              <w:rPr>
                <w:rFonts w:hint="eastAsia"/>
                <w:b/>
                <w:bCs/>
                <w:color w:val="auto"/>
              </w:rPr>
              <w:t>3、地下水环境保护目标</w:t>
            </w:r>
          </w:p>
          <w:p w14:paraId="43FC4A41">
            <w:pPr>
              <w:ind w:firstLine="480"/>
              <w:rPr>
                <w:color w:val="auto"/>
              </w:rPr>
            </w:pPr>
            <w:r>
              <w:rPr>
                <w:rFonts w:hint="eastAsia"/>
                <w:color w:val="auto"/>
              </w:rPr>
              <w:t>项目</w:t>
            </w:r>
            <w:r>
              <w:rPr>
                <w:color w:val="auto"/>
              </w:rPr>
              <w:t>厂界外500米范围内无地下水集中式饮用水水源和热水、矿泉水、温泉等特殊地下水资源。</w:t>
            </w:r>
          </w:p>
          <w:p w14:paraId="0319D61B">
            <w:pPr>
              <w:ind w:firstLine="0" w:firstLineChars="0"/>
              <w:rPr>
                <w:rFonts w:hint="eastAsia"/>
                <w:b/>
                <w:bCs/>
                <w:color w:val="auto"/>
              </w:rPr>
            </w:pPr>
            <w:r>
              <w:rPr>
                <w:rFonts w:hint="eastAsia"/>
                <w:b/>
                <w:bCs/>
                <w:color w:val="auto"/>
              </w:rPr>
              <w:t>4、生态环境保护目标</w:t>
            </w:r>
          </w:p>
          <w:p w14:paraId="78BE74B6">
            <w:pPr>
              <w:ind w:firstLine="480"/>
              <w:rPr>
                <w:color w:val="auto"/>
                <w:kern w:val="0"/>
                <w:szCs w:val="21"/>
              </w:rPr>
            </w:pPr>
            <w:r>
              <w:rPr>
                <w:color w:val="auto"/>
              </w:rPr>
              <w:t>本项目用地范围内不涉及生态环境保护目标。</w:t>
            </w:r>
          </w:p>
        </w:tc>
      </w:tr>
      <w:tr w14:paraId="5765DF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68" w:hRule="atLeast"/>
          <w:jc w:val="center"/>
        </w:trPr>
        <w:tc>
          <w:tcPr>
            <w:tcW w:w="521" w:type="dxa"/>
            <w:noWrap w:val="0"/>
            <w:tcMar>
              <w:left w:w="28" w:type="dxa"/>
              <w:right w:w="28" w:type="dxa"/>
            </w:tcMar>
            <w:vAlign w:val="center"/>
          </w:tcPr>
          <w:p w14:paraId="6B5A30CD">
            <w:pPr>
              <w:adjustRightInd w:val="0"/>
              <w:snapToGrid w:val="0"/>
              <w:ind w:firstLine="0" w:firstLineChars="0"/>
              <w:jc w:val="center"/>
              <w:rPr>
                <w:color w:val="auto"/>
                <w:kern w:val="0"/>
                <w:szCs w:val="21"/>
              </w:rPr>
            </w:pPr>
            <w:r>
              <w:rPr>
                <w:color w:val="auto"/>
                <w:kern w:val="0"/>
                <w:szCs w:val="21"/>
              </w:rPr>
              <w:t>污染</w:t>
            </w:r>
          </w:p>
          <w:p w14:paraId="3D99D3C6">
            <w:pPr>
              <w:adjustRightInd w:val="0"/>
              <w:snapToGrid w:val="0"/>
              <w:ind w:firstLine="0" w:firstLineChars="0"/>
              <w:jc w:val="center"/>
              <w:rPr>
                <w:color w:val="auto"/>
                <w:kern w:val="0"/>
                <w:szCs w:val="21"/>
              </w:rPr>
            </w:pPr>
            <w:r>
              <w:rPr>
                <w:color w:val="auto"/>
                <w:kern w:val="0"/>
                <w:szCs w:val="21"/>
              </w:rPr>
              <w:t>物排</w:t>
            </w:r>
          </w:p>
          <w:p w14:paraId="4FFCD582">
            <w:pPr>
              <w:adjustRightInd w:val="0"/>
              <w:snapToGrid w:val="0"/>
              <w:ind w:firstLine="0" w:firstLineChars="0"/>
              <w:jc w:val="center"/>
              <w:rPr>
                <w:color w:val="auto"/>
                <w:kern w:val="0"/>
                <w:szCs w:val="21"/>
              </w:rPr>
            </w:pPr>
            <w:r>
              <w:rPr>
                <w:color w:val="auto"/>
                <w:kern w:val="0"/>
                <w:szCs w:val="21"/>
              </w:rPr>
              <w:t>放控</w:t>
            </w:r>
          </w:p>
          <w:p w14:paraId="40CF15A9">
            <w:pPr>
              <w:adjustRightInd w:val="0"/>
              <w:snapToGrid w:val="0"/>
              <w:ind w:firstLine="0" w:firstLineChars="0"/>
              <w:jc w:val="center"/>
              <w:rPr>
                <w:color w:val="auto"/>
                <w:kern w:val="0"/>
                <w:szCs w:val="21"/>
              </w:rPr>
            </w:pPr>
            <w:r>
              <w:rPr>
                <w:color w:val="auto"/>
                <w:kern w:val="0"/>
                <w:szCs w:val="21"/>
              </w:rPr>
              <w:t>制标</w:t>
            </w:r>
          </w:p>
          <w:p w14:paraId="5FC6734A">
            <w:pPr>
              <w:adjustRightInd w:val="0"/>
              <w:snapToGrid w:val="0"/>
              <w:ind w:firstLine="0" w:firstLineChars="0"/>
              <w:jc w:val="center"/>
              <w:rPr>
                <w:color w:val="auto"/>
                <w:kern w:val="0"/>
                <w:szCs w:val="21"/>
              </w:rPr>
            </w:pPr>
            <w:r>
              <w:rPr>
                <w:color w:val="auto"/>
                <w:kern w:val="0"/>
                <w:szCs w:val="21"/>
              </w:rPr>
              <w:t>准</w:t>
            </w:r>
          </w:p>
        </w:tc>
        <w:tc>
          <w:tcPr>
            <w:tcW w:w="8469" w:type="dxa"/>
            <w:noWrap w:val="0"/>
            <w:vAlign w:val="top"/>
          </w:tcPr>
          <w:p w14:paraId="3F54917A">
            <w:pPr>
              <w:numPr>
                <w:ilvl w:val="0"/>
                <w:numId w:val="6"/>
              </w:numPr>
              <w:ind w:firstLine="0" w:firstLineChars="0"/>
              <w:rPr>
                <w:rFonts w:hint="eastAsia"/>
                <w:b/>
                <w:bCs/>
                <w:color w:val="auto"/>
                <w:kern w:val="0"/>
                <w:szCs w:val="21"/>
              </w:rPr>
            </w:pPr>
            <w:r>
              <w:rPr>
                <w:rFonts w:hint="eastAsia"/>
                <w:b/>
                <w:bCs/>
                <w:color w:val="auto"/>
                <w:kern w:val="0"/>
                <w:szCs w:val="21"/>
              </w:rPr>
              <w:t>废气</w:t>
            </w:r>
          </w:p>
          <w:p w14:paraId="3284F29D">
            <w:pPr>
              <w:ind w:firstLine="480"/>
              <w:rPr>
                <w:rFonts w:hint="default" w:eastAsia="宋体"/>
                <w:color w:val="auto"/>
                <w:lang w:val="en-US" w:eastAsia="zh-CN"/>
              </w:rPr>
            </w:pPr>
            <w:r>
              <w:rPr>
                <w:rFonts w:hint="eastAsia"/>
                <w:color w:val="auto"/>
                <w:sz w:val="24"/>
              </w:rPr>
              <w:t>本项目施工期施工场地颗粒物排放执行《施工场地颗粒物排放标准》（DB34/4811-2024）表1排放限值要求；</w:t>
            </w:r>
            <w:r>
              <w:rPr>
                <w:rFonts w:hint="eastAsia"/>
                <w:color w:val="auto"/>
              </w:rPr>
              <w:t>本项目</w:t>
            </w:r>
            <w:r>
              <w:rPr>
                <w:rFonts w:hint="eastAsia"/>
                <w:color w:val="auto"/>
                <w:lang w:val="en-US" w:eastAsia="zh-CN"/>
              </w:rPr>
              <w:t>运营期机加工工序</w:t>
            </w:r>
            <w:r>
              <w:rPr>
                <w:rFonts w:hint="eastAsia"/>
                <w:color w:val="auto"/>
              </w:rPr>
              <w:t>大气污染物排放执行</w:t>
            </w:r>
            <w:r>
              <w:rPr>
                <w:color w:val="auto"/>
              </w:rPr>
              <w:t>《大气污染物综合排放标准》（</w:t>
            </w:r>
            <w:r>
              <w:rPr>
                <w:rFonts w:hint="eastAsia"/>
                <w:color w:val="auto"/>
              </w:rPr>
              <w:t>GB16297-1996</w:t>
            </w:r>
            <w:r>
              <w:rPr>
                <w:color w:val="auto"/>
              </w:rPr>
              <w:t>）</w:t>
            </w:r>
            <w:r>
              <w:rPr>
                <w:rFonts w:hint="eastAsia"/>
                <w:color w:val="auto"/>
              </w:rPr>
              <w:t>表</w:t>
            </w:r>
            <w:r>
              <w:rPr>
                <w:rFonts w:hint="eastAsia"/>
                <w:color w:val="auto"/>
                <w:lang w:val="en-US" w:eastAsia="zh-CN"/>
              </w:rPr>
              <w:t>2</w:t>
            </w:r>
            <w:r>
              <w:rPr>
                <w:rFonts w:hint="eastAsia"/>
                <w:color w:val="auto"/>
              </w:rPr>
              <w:t>中大气污染物排放限值</w:t>
            </w:r>
            <w:r>
              <w:rPr>
                <w:rFonts w:hint="eastAsia"/>
                <w:color w:val="auto"/>
                <w:lang w:eastAsia="zh-CN"/>
              </w:rPr>
              <w:t>。</w:t>
            </w:r>
            <w:r>
              <w:rPr>
                <w:rFonts w:hint="eastAsia"/>
                <w:color w:val="auto"/>
                <w:lang w:val="en-US" w:eastAsia="zh-CN"/>
              </w:rPr>
              <w:t>根据对</w:t>
            </w:r>
            <w:r>
              <w:rPr>
                <w:rFonts w:hint="eastAsia"/>
                <w:color w:val="auto"/>
              </w:rPr>
              <w:t>《橡胶制品工业污染物排放标准》</w:t>
            </w:r>
            <w:r>
              <w:rPr>
                <w:rFonts w:hint="eastAsia"/>
                <w:color w:val="auto"/>
                <w:lang w:eastAsia="zh-CN"/>
              </w:rPr>
              <w:t>（</w:t>
            </w:r>
            <w:r>
              <w:rPr>
                <w:rFonts w:hint="eastAsia"/>
                <w:color w:val="auto"/>
              </w:rPr>
              <w:t>GB27632-2011</w:t>
            </w:r>
            <w:r>
              <w:rPr>
                <w:rFonts w:hint="eastAsia"/>
                <w:color w:val="auto"/>
                <w:lang w:eastAsia="zh-CN"/>
              </w:rPr>
              <w:t>）</w:t>
            </w:r>
            <w:r>
              <w:rPr>
                <w:rFonts w:hint="eastAsia"/>
                <w:color w:val="auto"/>
                <w:lang w:val="en-US" w:eastAsia="zh-CN"/>
              </w:rPr>
              <w:t>以及安徽省《固定源挥发性有机物综合排放标准 第6部分 其他行业》（DB34/4812.6-2024）从严对比可知：本项目橡胶加工配料、投料、密炼工序颗粒物</w:t>
            </w:r>
            <w:r>
              <w:rPr>
                <w:rFonts w:hint="eastAsia"/>
                <w:color w:val="auto"/>
              </w:rPr>
              <w:t>排放执行《橡胶制品工业污染物排放标准》</w:t>
            </w:r>
            <w:r>
              <w:rPr>
                <w:rFonts w:hint="eastAsia"/>
                <w:color w:val="auto"/>
                <w:lang w:eastAsia="zh-CN"/>
              </w:rPr>
              <w:t>（</w:t>
            </w:r>
            <w:r>
              <w:rPr>
                <w:rFonts w:hint="eastAsia"/>
                <w:color w:val="auto"/>
              </w:rPr>
              <w:t>GB27632-2011</w:t>
            </w:r>
            <w:r>
              <w:rPr>
                <w:rFonts w:hint="eastAsia"/>
                <w:color w:val="auto"/>
                <w:lang w:eastAsia="zh-CN"/>
              </w:rPr>
              <w:t>）</w:t>
            </w:r>
            <w:r>
              <w:rPr>
                <w:rFonts w:hint="eastAsia"/>
                <w:color w:val="auto"/>
                <w:lang w:val="en-US" w:eastAsia="zh-CN"/>
              </w:rPr>
              <w:t>表5</w:t>
            </w:r>
            <w:r>
              <w:rPr>
                <w:rFonts w:hint="eastAsia"/>
                <w:color w:val="auto"/>
              </w:rPr>
              <w:t>排放限值</w:t>
            </w:r>
            <w:r>
              <w:rPr>
                <w:rFonts w:hint="eastAsia"/>
                <w:color w:val="auto"/>
                <w:lang w:eastAsia="zh-CN"/>
              </w:rPr>
              <w:t>；</w:t>
            </w:r>
            <w:r>
              <w:rPr>
                <w:rFonts w:hint="eastAsia"/>
                <w:color w:val="auto"/>
                <w:lang w:val="en-US" w:eastAsia="zh-CN"/>
              </w:rPr>
              <w:t>橡胶加工密炼、开炼、硫化、刷胶工序非甲烷总烃、二甲苯</w:t>
            </w:r>
            <w:r>
              <w:rPr>
                <w:rFonts w:hint="eastAsia"/>
                <w:color w:val="auto"/>
              </w:rPr>
              <w:t>排放执行</w:t>
            </w:r>
            <w:r>
              <w:rPr>
                <w:rFonts w:hint="eastAsia"/>
                <w:color w:val="auto"/>
                <w:lang w:val="en-US" w:eastAsia="zh-CN"/>
              </w:rPr>
              <w:t>安徽省《固定源挥发性有机物综合排放标准 第6部分 其他行业》（DB34/4812.6-2024）表1</w:t>
            </w:r>
            <w:r>
              <w:rPr>
                <w:rFonts w:hint="eastAsia"/>
                <w:color w:val="auto"/>
              </w:rPr>
              <w:t>排放限值</w:t>
            </w:r>
            <w:r>
              <w:rPr>
                <w:rFonts w:hint="eastAsia"/>
                <w:color w:val="auto"/>
                <w:lang w:eastAsia="zh-CN"/>
              </w:rPr>
              <w:t>；</w:t>
            </w:r>
            <w:r>
              <w:rPr>
                <w:rFonts w:hint="eastAsia"/>
                <w:color w:val="auto"/>
                <w:lang w:val="en-US" w:eastAsia="zh-CN"/>
              </w:rPr>
              <w:t>硫化氢和臭气浓度执行《恶臭污染物排放标准》（GB14554-93）表2中相关标准要求。</w:t>
            </w:r>
          </w:p>
          <w:p w14:paraId="0088030C">
            <w:pPr>
              <w:ind w:firstLine="480"/>
              <w:rPr>
                <w:rFonts w:hint="eastAsia"/>
                <w:color w:val="auto"/>
              </w:rPr>
            </w:pPr>
            <w:r>
              <w:rPr>
                <w:rFonts w:hint="eastAsia"/>
                <w:color w:val="auto"/>
              </w:rPr>
              <w:t>厂界颗粒物执行《橡胶制品工业污染物排放标准》</w:t>
            </w:r>
            <w:r>
              <w:rPr>
                <w:rFonts w:hint="eastAsia"/>
                <w:color w:val="auto"/>
                <w:lang w:eastAsia="zh-CN"/>
              </w:rPr>
              <w:t>（</w:t>
            </w:r>
            <w:r>
              <w:rPr>
                <w:rFonts w:hint="eastAsia"/>
                <w:color w:val="auto"/>
              </w:rPr>
              <w:t>GB27632-2011</w:t>
            </w:r>
            <w:r>
              <w:rPr>
                <w:rFonts w:hint="eastAsia"/>
                <w:color w:val="auto"/>
                <w:lang w:eastAsia="zh-CN"/>
              </w:rPr>
              <w:t>）</w:t>
            </w:r>
            <w:r>
              <w:rPr>
                <w:rFonts w:hint="eastAsia"/>
                <w:color w:val="auto"/>
              </w:rPr>
              <w:t>表6标准</w:t>
            </w:r>
            <w:r>
              <w:rPr>
                <w:rFonts w:hint="eastAsia"/>
                <w:color w:val="auto"/>
                <w:lang w:eastAsia="zh-CN"/>
              </w:rPr>
              <w:t>；</w:t>
            </w:r>
            <w:r>
              <w:rPr>
                <w:rFonts w:hint="eastAsia"/>
                <w:color w:val="auto"/>
                <w:lang w:val="en-US" w:eastAsia="zh-CN"/>
              </w:rPr>
              <w:t>厂界非甲烷总烃、二甲苯执行</w:t>
            </w:r>
            <w:r>
              <w:rPr>
                <w:rFonts w:hint="eastAsia"/>
                <w:color w:val="auto"/>
              </w:rPr>
              <w:t>《橡胶制品工业污染物排放标准》</w:t>
            </w:r>
            <w:r>
              <w:rPr>
                <w:rFonts w:hint="eastAsia"/>
                <w:color w:val="auto"/>
                <w:lang w:eastAsia="zh-CN"/>
              </w:rPr>
              <w:t>（</w:t>
            </w:r>
            <w:r>
              <w:rPr>
                <w:rFonts w:hint="eastAsia"/>
                <w:color w:val="auto"/>
              </w:rPr>
              <w:t>GB27632-2011</w:t>
            </w:r>
            <w:r>
              <w:rPr>
                <w:rFonts w:hint="eastAsia"/>
                <w:color w:val="auto"/>
                <w:lang w:eastAsia="zh-CN"/>
              </w:rPr>
              <w:t>）</w:t>
            </w:r>
            <w:r>
              <w:rPr>
                <w:rFonts w:hint="eastAsia"/>
                <w:color w:val="auto"/>
                <w:lang w:val="en-US" w:eastAsia="zh-CN"/>
              </w:rPr>
              <w:t>表6标准；厂界硫化氢、臭气浓度执行《恶臭污染物排放标准》（GB14554-93）表1标准；</w:t>
            </w:r>
            <w:r>
              <w:rPr>
                <w:rFonts w:hint="eastAsia"/>
                <w:color w:val="auto"/>
              </w:rPr>
              <w:t>厂区内</w:t>
            </w:r>
            <w:r>
              <w:rPr>
                <w:rFonts w:hint="eastAsia"/>
                <w:color w:val="auto"/>
                <w:lang w:val="en-US" w:eastAsia="zh-CN"/>
              </w:rPr>
              <w:t>挥发性有机物</w:t>
            </w:r>
            <w:r>
              <w:rPr>
                <w:rFonts w:hint="eastAsia"/>
                <w:color w:val="auto"/>
              </w:rPr>
              <w:t>无组织排放执行</w:t>
            </w:r>
            <w:r>
              <w:rPr>
                <w:rFonts w:hint="eastAsia"/>
                <w:color w:val="auto"/>
                <w:lang w:val="en-US" w:eastAsia="zh-CN"/>
              </w:rPr>
              <w:t>安徽省《固定源挥发性有机物综合排放标准 第6部分 其他行业》（DB34/4812.6-2024）</w:t>
            </w:r>
            <w:r>
              <w:rPr>
                <w:rFonts w:hint="eastAsia"/>
                <w:color w:val="auto"/>
                <w:kern w:val="0"/>
                <w:lang w:val="en-US" w:eastAsia="zh-CN"/>
              </w:rPr>
              <w:t>表4限值</w:t>
            </w:r>
            <w:r>
              <w:rPr>
                <w:rFonts w:hint="eastAsia"/>
                <w:color w:val="auto"/>
                <w:kern w:val="0"/>
              </w:rPr>
              <w:t>要求，</w:t>
            </w:r>
            <w:r>
              <w:rPr>
                <w:rFonts w:hint="eastAsia"/>
                <w:color w:val="auto"/>
              </w:rPr>
              <w:t>具体标准见下表。</w:t>
            </w:r>
          </w:p>
          <w:p w14:paraId="75B48118">
            <w:pPr>
              <w:widowControl/>
              <w:numPr>
                <w:ilvl w:val="0"/>
                <w:numId w:val="0"/>
              </w:numPr>
              <w:ind w:left="0" w:leftChars="0" w:firstLine="0" w:firstLineChars="0"/>
              <w:jc w:val="center"/>
              <w:rPr>
                <w:b/>
                <w:color w:val="auto"/>
                <w:kern w:val="0"/>
                <w:szCs w:val="21"/>
              </w:rPr>
            </w:pPr>
            <w:r>
              <w:rPr>
                <w:rFonts w:hint="eastAsia"/>
                <w:b/>
                <w:color w:val="auto"/>
                <w:kern w:val="0"/>
                <w:szCs w:val="21"/>
                <w:lang w:val="en-US" w:eastAsia="zh-CN"/>
              </w:rPr>
              <w:t xml:space="preserve">表3-6 </w:t>
            </w:r>
            <w:r>
              <w:rPr>
                <w:rFonts w:hint="eastAsia"/>
                <w:b/>
                <w:color w:val="auto"/>
                <w:kern w:val="0"/>
                <w:szCs w:val="21"/>
              </w:rPr>
              <w:t>施工期颗粒物</w:t>
            </w:r>
            <w:r>
              <w:rPr>
                <w:b/>
                <w:color w:val="auto"/>
                <w:kern w:val="0"/>
                <w:szCs w:val="21"/>
              </w:rPr>
              <w:t>排放标准一览表</w:t>
            </w:r>
          </w:p>
          <w:tbl>
            <w:tblPr>
              <w:tblStyle w:val="50"/>
              <w:tblpPr w:leftFromText="180" w:rightFromText="180" w:vertAnchor="text" w:horzAnchor="page" w:tblpXSpec="center" w:tblpY="111"/>
              <w:tblOverlap w:val="never"/>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21"/>
              <w:gridCol w:w="1131"/>
              <w:gridCol w:w="1800"/>
              <w:gridCol w:w="1995"/>
              <w:gridCol w:w="1993"/>
            </w:tblGrid>
            <w:tr w14:paraId="0D423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02" w:type="pct"/>
                  <w:vAlign w:val="center"/>
                </w:tcPr>
                <w:p w14:paraId="04D8B1A6">
                  <w:pPr>
                    <w:pStyle w:val="69"/>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pacing w:val="8"/>
                      <w:sz w:val="21"/>
                      <w:szCs w:val="21"/>
                    </w:rPr>
                    <w:t>控制项目</w:t>
                  </w:r>
                </w:p>
              </w:tc>
              <w:tc>
                <w:tcPr>
                  <w:tcW w:w="686" w:type="pct"/>
                  <w:vAlign w:val="center"/>
                </w:tcPr>
                <w:p w14:paraId="49510853">
                  <w:pPr>
                    <w:pStyle w:val="69"/>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pacing w:val="-3"/>
                      <w:sz w:val="21"/>
                      <w:szCs w:val="21"/>
                    </w:rPr>
                    <w:t>单位</w:t>
                  </w:r>
                </w:p>
              </w:tc>
              <w:tc>
                <w:tcPr>
                  <w:tcW w:w="1092" w:type="pct"/>
                  <w:vAlign w:val="center"/>
                </w:tcPr>
                <w:p w14:paraId="41E2B0A3">
                  <w:pPr>
                    <w:pStyle w:val="69"/>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pacing w:val="-1"/>
                      <w:sz w:val="21"/>
                      <w:szCs w:val="21"/>
                    </w:rPr>
                    <w:t>监测点浓度限值</w:t>
                  </w:r>
                </w:p>
              </w:tc>
              <w:tc>
                <w:tcPr>
                  <w:tcW w:w="1210" w:type="pct"/>
                  <w:vAlign w:val="center"/>
                </w:tcPr>
                <w:p w14:paraId="76286A6B">
                  <w:pPr>
                    <w:pStyle w:val="69"/>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pacing w:val="-1"/>
                      <w:sz w:val="21"/>
                      <w:szCs w:val="21"/>
                    </w:rPr>
                    <w:t>达标判定依据</w:t>
                  </w:r>
                </w:p>
              </w:tc>
              <w:tc>
                <w:tcPr>
                  <w:tcW w:w="1209" w:type="pct"/>
                  <w:vAlign w:val="center"/>
                </w:tcPr>
                <w:p w14:paraId="2F3DF589">
                  <w:pPr>
                    <w:pStyle w:val="69"/>
                    <w:spacing w:line="240" w:lineRule="auto"/>
                    <w:jc w:val="center"/>
                    <w:rPr>
                      <w:rFonts w:ascii="Times New Roman" w:hAnsi="Times New Roman" w:cs="Times New Roman"/>
                      <w:b/>
                      <w:bCs/>
                      <w:color w:val="auto"/>
                      <w:spacing w:val="-1"/>
                      <w:sz w:val="21"/>
                      <w:szCs w:val="21"/>
                    </w:rPr>
                  </w:pPr>
                  <w:r>
                    <w:rPr>
                      <w:b/>
                      <w:bCs/>
                      <w:snapToGrid w:val="0"/>
                      <w:color w:val="auto"/>
                      <w:kern w:val="0"/>
                      <w:sz w:val="21"/>
                      <w:szCs w:val="21"/>
                    </w:rPr>
                    <w:t>执行标准</w:t>
                  </w:r>
                </w:p>
              </w:tc>
            </w:tr>
            <w:tr w14:paraId="70E7CF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02" w:type="pct"/>
                  <w:vMerge w:val="restart"/>
                  <w:tcBorders>
                    <w:bottom w:val="nil"/>
                  </w:tcBorders>
                  <w:vAlign w:val="center"/>
                </w:tcPr>
                <w:p w14:paraId="08263F9B">
                  <w:pPr>
                    <w:pStyle w:val="69"/>
                    <w:spacing w:line="240" w:lineRule="auto"/>
                    <w:jc w:val="center"/>
                    <w:rPr>
                      <w:rFonts w:ascii="Times New Roman" w:hAnsi="Times New Roman" w:cs="Times New Roman"/>
                      <w:color w:val="auto"/>
                      <w:sz w:val="21"/>
                      <w:szCs w:val="21"/>
                    </w:rPr>
                  </w:pPr>
                  <w:r>
                    <w:rPr>
                      <w:rFonts w:ascii="Times New Roman" w:hAnsi="Times New Roman" w:cs="Times New Roman"/>
                      <w:color w:val="auto"/>
                      <w:spacing w:val="-2"/>
                      <w:sz w:val="21"/>
                      <w:szCs w:val="21"/>
                    </w:rPr>
                    <w:t>TSP</w:t>
                  </w:r>
                </w:p>
              </w:tc>
              <w:tc>
                <w:tcPr>
                  <w:tcW w:w="686" w:type="pct"/>
                  <w:vMerge w:val="restart"/>
                  <w:tcBorders>
                    <w:bottom w:val="nil"/>
                  </w:tcBorders>
                  <w:vAlign w:val="center"/>
                </w:tcPr>
                <w:p w14:paraId="086F897F">
                  <w:pPr>
                    <w:pStyle w:val="69"/>
                    <w:spacing w:line="240" w:lineRule="auto"/>
                    <w:jc w:val="center"/>
                    <w:rPr>
                      <w:rFonts w:ascii="Times New Roman" w:hAnsi="Times New Roman" w:cs="Times New Roman"/>
                      <w:color w:val="auto"/>
                      <w:sz w:val="21"/>
                      <w:szCs w:val="21"/>
                    </w:rPr>
                  </w:pPr>
                  <w:r>
                    <w:rPr>
                      <w:rFonts w:ascii="Times New Roman" w:hAnsi="Times New Roman" w:cs="Times New Roman"/>
                      <w:color w:val="auto"/>
                      <w:spacing w:val="-9"/>
                      <w:sz w:val="21"/>
                      <w:szCs w:val="21"/>
                    </w:rPr>
                    <w:t>μg/m³</w:t>
                  </w:r>
                </w:p>
              </w:tc>
              <w:tc>
                <w:tcPr>
                  <w:tcW w:w="1092" w:type="pct"/>
                  <w:vAlign w:val="center"/>
                </w:tcPr>
                <w:p w14:paraId="0E12D5B2">
                  <w:pPr>
                    <w:pStyle w:val="69"/>
                    <w:spacing w:line="240" w:lineRule="auto"/>
                    <w:jc w:val="center"/>
                    <w:rPr>
                      <w:rFonts w:ascii="Times New Roman" w:hAnsi="Times New Roman" w:cs="Times New Roman"/>
                      <w:color w:val="auto"/>
                      <w:sz w:val="21"/>
                      <w:szCs w:val="21"/>
                    </w:rPr>
                  </w:pPr>
                  <w:r>
                    <w:rPr>
                      <w:rFonts w:ascii="Times New Roman" w:hAnsi="Times New Roman" w:cs="Times New Roman"/>
                      <w:color w:val="auto"/>
                      <w:spacing w:val="-4"/>
                      <w:sz w:val="21"/>
                      <w:szCs w:val="21"/>
                    </w:rPr>
                    <w:t>1000</w:t>
                  </w:r>
                </w:p>
              </w:tc>
              <w:tc>
                <w:tcPr>
                  <w:tcW w:w="1210" w:type="pct"/>
                  <w:vAlign w:val="center"/>
                </w:tcPr>
                <w:p w14:paraId="6F7A62EF">
                  <w:pPr>
                    <w:pStyle w:val="69"/>
                    <w:spacing w:line="240" w:lineRule="auto"/>
                    <w:jc w:val="center"/>
                    <w:rPr>
                      <w:rFonts w:ascii="Times New Roman" w:hAnsi="Times New Roman" w:cs="Times New Roman"/>
                      <w:color w:val="auto"/>
                      <w:sz w:val="21"/>
                      <w:szCs w:val="21"/>
                    </w:rPr>
                  </w:pPr>
                  <w:r>
                    <w:rPr>
                      <w:rFonts w:ascii="Times New Roman" w:hAnsi="Times New Roman" w:cs="Times New Roman"/>
                      <w:color w:val="auto"/>
                      <w:spacing w:val="3"/>
                      <w:sz w:val="21"/>
                      <w:szCs w:val="21"/>
                    </w:rPr>
                    <w:t>超标次数≤1次/日</w:t>
                  </w:r>
                </w:p>
              </w:tc>
              <w:tc>
                <w:tcPr>
                  <w:tcW w:w="1209" w:type="pct"/>
                  <w:vMerge w:val="restart"/>
                  <w:vAlign w:val="center"/>
                </w:tcPr>
                <w:p w14:paraId="67842AB6">
                  <w:pPr>
                    <w:pStyle w:val="69"/>
                    <w:spacing w:line="240" w:lineRule="auto"/>
                    <w:jc w:val="center"/>
                    <w:rPr>
                      <w:rFonts w:ascii="Times New Roman" w:hAnsi="Times New Roman" w:cs="Times New Roman"/>
                      <w:color w:val="auto"/>
                      <w:spacing w:val="3"/>
                      <w:sz w:val="21"/>
                      <w:szCs w:val="21"/>
                      <w:lang w:eastAsia="zh-CN"/>
                    </w:rPr>
                  </w:pPr>
                  <w:r>
                    <w:rPr>
                      <w:rFonts w:ascii="Times New Roman" w:hAnsi="Times New Roman" w:cs="Times New Roman"/>
                      <w:color w:val="auto"/>
                      <w:spacing w:val="3"/>
                      <w:sz w:val="21"/>
                      <w:szCs w:val="21"/>
                      <w:lang w:eastAsia="zh-CN"/>
                    </w:rPr>
                    <w:t>《施工场地颗粒物排放标准》（DB34/4811-2024）</w:t>
                  </w:r>
                </w:p>
              </w:tc>
            </w:tr>
            <w:tr w14:paraId="2C3FE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02" w:type="pct"/>
                  <w:vMerge w:val="continue"/>
                  <w:tcBorders>
                    <w:top w:val="nil"/>
                  </w:tcBorders>
                  <w:vAlign w:val="center"/>
                </w:tcPr>
                <w:p w14:paraId="437E5AF8">
                  <w:pPr>
                    <w:spacing w:line="240" w:lineRule="auto"/>
                    <w:jc w:val="center"/>
                    <w:rPr>
                      <w:color w:val="auto"/>
                      <w:sz w:val="21"/>
                      <w:szCs w:val="21"/>
                    </w:rPr>
                  </w:pPr>
                </w:p>
              </w:tc>
              <w:tc>
                <w:tcPr>
                  <w:tcW w:w="686" w:type="pct"/>
                  <w:vMerge w:val="continue"/>
                  <w:tcBorders>
                    <w:top w:val="nil"/>
                  </w:tcBorders>
                  <w:vAlign w:val="center"/>
                </w:tcPr>
                <w:p w14:paraId="3D4D95BC">
                  <w:pPr>
                    <w:spacing w:line="240" w:lineRule="auto"/>
                    <w:jc w:val="center"/>
                    <w:rPr>
                      <w:color w:val="auto"/>
                      <w:sz w:val="21"/>
                      <w:szCs w:val="21"/>
                    </w:rPr>
                  </w:pPr>
                </w:p>
              </w:tc>
              <w:tc>
                <w:tcPr>
                  <w:tcW w:w="1092" w:type="pct"/>
                  <w:vAlign w:val="center"/>
                </w:tcPr>
                <w:p w14:paraId="52431E51">
                  <w:pPr>
                    <w:pStyle w:val="69"/>
                    <w:spacing w:line="240" w:lineRule="auto"/>
                    <w:jc w:val="center"/>
                    <w:rPr>
                      <w:rFonts w:ascii="Times New Roman" w:hAnsi="Times New Roman" w:cs="Times New Roman"/>
                      <w:color w:val="auto"/>
                      <w:sz w:val="21"/>
                      <w:szCs w:val="21"/>
                    </w:rPr>
                  </w:pPr>
                  <w:r>
                    <w:rPr>
                      <w:rFonts w:ascii="Times New Roman" w:hAnsi="Times New Roman" w:cs="Times New Roman"/>
                      <w:color w:val="auto"/>
                      <w:spacing w:val="-3"/>
                      <w:sz w:val="21"/>
                      <w:szCs w:val="21"/>
                    </w:rPr>
                    <w:t>500</w:t>
                  </w:r>
                </w:p>
              </w:tc>
              <w:tc>
                <w:tcPr>
                  <w:tcW w:w="1210" w:type="pct"/>
                  <w:vAlign w:val="center"/>
                </w:tcPr>
                <w:p w14:paraId="3945B501">
                  <w:pPr>
                    <w:pStyle w:val="69"/>
                    <w:spacing w:line="240" w:lineRule="auto"/>
                    <w:jc w:val="center"/>
                    <w:rPr>
                      <w:rFonts w:ascii="Times New Roman" w:hAnsi="Times New Roman" w:cs="Times New Roman"/>
                      <w:color w:val="auto"/>
                      <w:sz w:val="21"/>
                      <w:szCs w:val="21"/>
                    </w:rPr>
                  </w:pPr>
                  <w:r>
                    <w:rPr>
                      <w:rFonts w:ascii="Times New Roman" w:hAnsi="Times New Roman" w:cs="Times New Roman"/>
                      <w:color w:val="auto"/>
                      <w:spacing w:val="3"/>
                      <w:sz w:val="21"/>
                      <w:szCs w:val="21"/>
                    </w:rPr>
                    <w:t>超标次数≤6次/日</w:t>
                  </w:r>
                </w:p>
              </w:tc>
              <w:tc>
                <w:tcPr>
                  <w:tcW w:w="1209" w:type="pct"/>
                  <w:vMerge w:val="continue"/>
                  <w:vAlign w:val="center"/>
                </w:tcPr>
                <w:p w14:paraId="0E4D3FFA">
                  <w:pPr>
                    <w:pStyle w:val="69"/>
                    <w:spacing w:line="240" w:lineRule="auto"/>
                    <w:jc w:val="center"/>
                    <w:rPr>
                      <w:rFonts w:ascii="Times New Roman" w:hAnsi="Times New Roman" w:cs="Times New Roman"/>
                      <w:color w:val="auto"/>
                      <w:spacing w:val="3"/>
                      <w:sz w:val="21"/>
                      <w:szCs w:val="21"/>
                    </w:rPr>
                  </w:pPr>
                </w:p>
              </w:tc>
            </w:tr>
            <w:tr w14:paraId="1A8C2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90" w:type="pct"/>
                  <w:gridSpan w:val="4"/>
                  <w:vAlign w:val="center"/>
                </w:tcPr>
                <w:p w14:paraId="2F393D74">
                  <w:pPr>
                    <w:pStyle w:val="69"/>
                    <w:spacing w:line="240" w:lineRule="auto"/>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任一监测点自整时起依次顺延15分钟的TSP浓度平均值不得超过的限值。超标</w:t>
                  </w:r>
                  <w:r>
                    <w:rPr>
                      <w:rFonts w:ascii="Times New Roman" w:hAnsi="Times New Roman" w:cs="Times New Roman"/>
                      <w:color w:val="auto"/>
                      <w:spacing w:val="-1"/>
                      <w:sz w:val="21"/>
                      <w:szCs w:val="21"/>
                      <w:lang w:eastAsia="zh-CN"/>
                    </w:rPr>
                    <w:t>次数指一个日历日96个TSP15分钟浓度平均值超过监测点浓度限值的次数。</w:t>
                  </w:r>
                </w:p>
                <w:p w14:paraId="2DA642BC">
                  <w:pPr>
                    <w:pStyle w:val="69"/>
                    <w:spacing w:line="240" w:lineRule="auto"/>
                    <w:jc w:val="center"/>
                    <w:rPr>
                      <w:rFonts w:ascii="Times New Roman" w:hAnsi="Times New Roman" w:cs="Times New Roman"/>
                      <w:color w:val="auto"/>
                      <w:sz w:val="21"/>
                      <w:szCs w:val="21"/>
                      <w:lang w:eastAsia="zh-CN"/>
                    </w:rPr>
                  </w:pPr>
                  <w:r>
                    <w:rPr>
                      <w:rFonts w:ascii="Times New Roman" w:hAnsi="Times New Roman" w:cs="Times New Roman"/>
                      <w:color w:val="auto"/>
                      <w:spacing w:val="4"/>
                      <w:sz w:val="21"/>
                      <w:szCs w:val="21"/>
                      <w:lang w:eastAsia="zh-CN"/>
                    </w:rPr>
                    <w:t>根据</w:t>
                  </w:r>
                  <w:r>
                    <w:rPr>
                      <w:rFonts w:ascii="Times New Roman" w:hAnsi="Times New Roman" w:cs="Times New Roman"/>
                      <w:color w:val="auto"/>
                      <w:sz w:val="21"/>
                      <w:szCs w:val="21"/>
                      <w:lang w:eastAsia="zh-CN"/>
                    </w:rPr>
                    <w:t>HJ</w:t>
                  </w:r>
                  <w:r>
                    <w:rPr>
                      <w:rFonts w:ascii="Times New Roman" w:hAnsi="Times New Roman" w:cs="Times New Roman"/>
                      <w:color w:val="auto"/>
                      <w:spacing w:val="4"/>
                      <w:sz w:val="21"/>
                      <w:szCs w:val="21"/>
                      <w:lang w:eastAsia="zh-CN"/>
                    </w:rPr>
                    <w:t>633判定设区市</w:t>
                  </w:r>
                  <w:r>
                    <w:rPr>
                      <w:rFonts w:ascii="Times New Roman" w:hAnsi="Times New Roman" w:cs="Times New Roman"/>
                      <w:color w:val="auto"/>
                      <w:sz w:val="21"/>
                      <w:szCs w:val="21"/>
                      <w:lang w:eastAsia="zh-CN"/>
                    </w:rPr>
                    <w:t>AQI</w:t>
                  </w:r>
                  <w:r>
                    <w:rPr>
                      <w:rFonts w:ascii="Times New Roman" w:hAnsi="Times New Roman" w:cs="Times New Roman"/>
                      <w:color w:val="auto"/>
                      <w:spacing w:val="4"/>
                      <w:sz w:val="21"/>
                      <w:szCs w:val="21"/>
                      <w:lang w:eastAsia="zh-CN"/>
                    </w:rPr>
                    <w:t>在200~300之间且首要污染物为</w:t>
                  </w:r>
                  <w:r>
                    <w:rPr>
                      <w:rFonts w:ascii="Times New Roman" w:hAnsi="Times New Roman" w:cs="Times New Roman"/>
                      <w:color w:val="auto"/>
                      <w:sz w:val="21"/>
                      <w:szCs w:val="21"/>
                      <w:lang w:eastAsia="zh-CN"/>
                    </w:rPr>
                    <w:t>PMn</w:t>
                  </w:r>
                  <w:r>
                    <w:rPr>
                      <w:rFonts w:ascii="Times New Roman" w:hAnsi="Times New Roman" w:cs="Times New Roman"/>
                      <w:color w:val="auto"/>
                      <w:spacing w:val="4"/>
                      <w:sz w:val="21"/>
                      <w:szCs w:val="21"/>
                      <w:lang w:eastAsia="zh-CN"/>
                    </w:rPr>
                    <w:t>或</w:t>
                  </w:r>
                  <w:r>
                    <w:rPr>
                      <w:rFonts w:ascii="Times New Roman" w:hAnsi="Times New Roman" w:cs="Times New Roman"/>
                      <w:color w:val="auto"/>
                      <w:sz w:val="21"/>
                      <w:szCs w:val="21"/>
                      <w:lang w:eastAsia="zh-CN"/>
                    </w:rPr>
                    <w:t>PM</w:t>
                  </w:r>
                  <w:r>
                    <w:rPr>
                      <w:rFonts w:ascii="Times New Roman" w:hAnsi="Times New Roman" w:cs="Times New Roman"/>
                      <w:color w:val="auto"/>
                      <w:spacing w:val="4"/>
                      <w:sz w:val="21"/>
                      <w:szCs w:val="21"/>
                      <w:lang w:eastAsia="zh-CN"/>
                    </w:rPr>
                    <w:t>₂时，</w:t>
                  </w:r>
                  <w:r>
                    <w:rPr>
                      <w:rFonts w:ascii="Times New Roman" w:hAnsi="Times New Roman" w:cs="Times New Roman"/>
                      <w:color w:val="auto"/>
                      <w:sz w:val="21"/>
                      <w:szCs w:val="21"/>
                      <w:lang w:eastAsia="zh-CN"/>
                    </w:rPr>
                    <w:t>TSP</w:t>
                  </w:r>
                  <w:r>
                    <w:rPr>
                      <w:rFonts w:ascii="Times New Roman" w:hAnsi="Times New Roman" w:cs="Times New Roman"/>
                      <w:color w:val="auto"/>
                      <w:spacing w:val="4"/>
                      <w:sz w:val="21"/>
                      <w:szCs w:val="21"/>
                      <w:lang w:eastAsia="zh-CN"/>
                    </w:rPr>
                    <w:t>实测值扣除200</w:t>
                  </w:r>
                  <w:r>
                    <w:rPr>
                      <w:rFonts w:ascii="Times New Roman" w:hAnsi="Times New Roman" w:cs="Times New Roman"/>
                      <w:color w:val="auto"/>
                      <w:spacing w:val="4"/>
                      <w:sz w:val="21"/>
                      <w:szCs w:val="21"/>
                    </w:rPr>
                    <w:t>μ</w:t>
                  </w:r>
                  <w:r>
                    <w:rPr>
                      <w:rFonts w:ascii="Times New Roman" w:hAnsi="Times New Roman" w:cs="Times New Roman"/>
                      <w:color w:val="auto"/>
                      <w:spacing w:val="4"/>
                      <w:sz w:val="21"/>
                      <w:szCs w:val="21"/>
                      <w:lang w:eastAsia="zh-CN"/>
                    </w:rPr>
                    <w:t>g/m²后</w:t>
                  </w:r>
                  <w:r>
                    <w:rPr>
                      <w:rFonts w:ascii="Times New Roman" w:hAnsi="Times New Roman" w:cs="Times New Roman"/>
                      <w:color w:val="auto"/>
                      <w:spacing w:val="3"/>
                      <w:sz w:val="21"/>
                      <w:szCs w:val="21"/>
                      <w:lang w:eastAsia="zh-CN"/>
                    </w:rPr>
                    <w:t>再进行评</w:t>
                  </w:r>
                  <w:r>
                    <w:rPr>
                      <w:rFonts w:ascii="Times New Roman" w:hAnsi="Times New Roman" w:cs="Times New Roman"/>
                      <w:color w:val="auto"/>
                      <w:sz w:val="21"/>
                      <w:szCs w:val="21"/>
                      <w:lang w:eastAsia="zh-CN"/>
                    </w:rPr>
                    <w:t>价。</w:t>
                  </w:r>
                </w:p>
              </w:tc>
              <w:tc>
                <w:tcPr>
                  <w:tcW w:w="1209" w:type="pct"/>
                  <w:vMerge w:val="continue"/>
                  <w:vAlign w:val="center"/>
                </w:tcPr>
                <w:p w14:paraId="7C86BB59">
                  <w:pPr>
                    <w:pStyle w:val="69"/>
                    <w:spacing w:line="240" w:lineRule="auto"/>
                    <w:jc w:val="center"/>
                    <w:rPr>
                      <w:rFonts w:ascii="Times New Roman" w:hAnsi="Times New Roman" w:cs="Times New Roman"/>
                      <w:color w:val="auto"/>
                      <w:spacing w:val="4"/>
                      <w:sz w:val="21"/>
                      <w:szCs w:val="21"/>
                      <w:lang w:eastAsia="zh-CN"/>
                    </w:rPr>
                  </w:pPr>
                </w:p>
              </w:tc>
            </w:tr>
          </w:tbl>
          <w:p w14:paraId="688A9A9E">
            <w:pPr>
              <w:ind w:firstLine="0" w:firstLineChars="0"/>
              <w:jc w:val="center"/>
              <w:rPr>
                <w:rFonts w:hint="eastAsia"/>
                <w:color w:val="auto"/>
              </w:rPr>
            </w:pPr>
            <w:r>
              <w:rPr>
                <w:rFonts w:hint="eastAsia"/>
                <w:b/>
                <w:bCs/>
                <w:color w:val="auto"/>
                <w:kern w:val="0"/>
                <w:szCs w:val="21"/>
              </w:rPr>
              <w:t>表</w:t>
            </w:r>
            <w:r>
              <w:rPr>
                <w:rFonts w:hint="eastAsia"/>
                <w:b/>
                <w:bCs/>
                <w:color w:val="auto"/>
                <w:kern w:val="0"/>
                <w:szCs w:val="21"/>
                <w:lang w:val="en-US" w:eastAsia="zh-CN"/>
              </w:rPr>
              <w:t>3-7</w:t>
            </w:r>
            <w:r>
              <w:rPr>
                <w:rFonts w:hint="eastAsia"/>
                <w:b/>
                <w:bCs/>
                <w:color w:val="auto"/>
              </w:rPr>
              <w:t xml:space="preserve"> 项目废气排放限值一览表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805"/>
              <w:gridCol w:w="1271"/>
              <w:gridCol w:w="955"/>
              <w:gridCol w:w="1121"/>
              <w:gridCol w:w="940"/>
              <w:gridCol w:w="2000"/>
            </w:tblGrid>
            <w:tr w14:paraId="31EF7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shd w:val="clear" w:color="auto" w:fill="auto"/>
                  <w:noWrap w:val="0"/>
                  <w:vAlign w:val="center"/>
                </w:tcPr>
                <w:p w14:paraId="28CF8FB1">
                  <w:pPr>
                    <w:spacing w:line="240" w:lineRule="auto"/>
                    <w:ind w:firstLine="0" w:firstLineChars="0"/>
                    <w:jc w:val="center"/>
                    <w:rPr>
                      <w:rFonts w:hint="eastAsia" w:ascii="Times New Roman" w:hAnsi="Times New Roman" w:eastAsia="宋体" w:cs="Times New Roman"/>
                      <w:b/>
                      <w:bCs/>
                      <w:color w:val="auto"/>
                      <w:kern w:val="2"/>
                      <w:sz w:val="21"/>
                      <w:szCs w:val="21"/>
                      <w:lang w:val="en-US" w:eastAsia="zh-CN" w:bidi="ar-SA"/>
                    </w:rPr>
                  </w:pPr>
                  <w:r>
                    <w:rPr>
                      <w:rFonts w:hint="eastAsia"/>
                      <w:b/>
                      <w:bCs/>
                      <w:color w:val="auto"/>
                      <w:sz w:val="21"/>
                      <w:szCs w:val="21"/>
                    </w:rPr>
                    <w:t>污染物</w:t>
                  </w:r>
                </w:p>
              </w:tc>
              <w:tc>
                <w:tcPr>
                  <w:tcW w:w="805" w:type="dxa"/>
                  <w:noWrap w:val="0"/>
                  <w:vAlign w:val="center"/>
                </w:tcPr>
                <w:p w14:paraId="172CAD80">
                  <w:pPr>
                    <w:spacing w:line="240" w:lineRule="auto"/>
                    <w:ind w:firstLine="0" w:firstLineChars="0"/>
                    <w:jc w:val="center"/>
                    <w:rPr>
                      <w:b/>
                      <w:bCs/>
                      <w:color w:val="auto"/>
                      <w:sz w:val="21"/>
                      <w:szCs w:val="21"/>
                    </w:rPr>
                  </w:pPr>
                  <w:r>
                    <w:rPr>
                      <w:rFonts w:hint="eastAsia"/>
                      <w:b/>
                      <w:bCs/>
                      <w:color w:val="auto"/>
                      <w:sz w:val="21"/>
                      <w:szCs w:val="21"/>
                    </w:rPr>
                    <w:t>最高允许排放浓度（</w:t>
                  </w:r>
                  <w:r>
                    <w:rPr>
                      <w:b/>
                      <w:bCs/>
                      <w:color w:val="auto"/>
                      <w:sz w:val="21"/>
                      <w:szCs w:val="21"/>
                    </w:rPr>
                    <w:t>mg/m</w:t>
                  </w:r>
                  <w:r>
                    <w:rPr>
                      <w:b/>
                      <w:bCs/>
                      <w:color w:val="auto"/>
                      <w:sz w:val="21"/>
                      <w:szCs w:val="21"/>
                      <w:vertAlign w:val="superscript"/>
                    </w:rPr>
                    <w:t>3</w:t>
                  </w:r>
                  <w:r>
                    <w:rPr>
                      <w:rFonts w:hint="eastAsia"/>
                      <w:b/>
                      <w:bCs/>
                      <w:color w:val="auto"/>
                      <w:sz w:val="21"/>
                      <w:szCs w:val="21"/>
                    </w:rPr>
                    <w:t>）</w:t>
                  </w:r>
                </w:p>
              </w:tc>
              <w:tc>
                <w:tcPr>
                  <w:tcW w:w="1271" w:type="dxa"/>
                  <w:noWrap w:val="0"/>
                  <w:vAlign w:val="center"/>
                </w:tcPr>
                <w:p w14:paraId="74BC1790">
                  <w:pPr>
                    <w:spacing w:line="240" w:lineRule="auto"/>
                    <w:ind w:firstLine="0" w:firstLineChars="0"/>
                    <w:jc w:val="center"/>
                    <w:rPr>
                      <w:b/>
                      <w:bCs/>
                      <w:color w:val="auto"/>
                      <w:sz w:val="21"/>
                      <w:szCs w:val="21"/>
                    </w:rPr>
                  </w:pPr>
                  <w:r>
                    <w:rPr>
                      <w:rFonts w:hint="eastAsia"/>
                      <w:b/>
                      <w:bCs/>
                      <w:color w:val="auto"/>
                      <w:sz w:val="21"/>
                      <w:szCs w:val="21"/>
                    </w:rPr>
                    <w:t>排气筒高度（m）</w:t>
                  </w:r>
                </w:p>
              </w:tc>
              <w:tc>
                <w:tcPr>
                  <w:tcW w:w="955" w:type="dxa"/>
                  <w:noWrap w:val="0"/>
                  <w:vAlign w:val="center"/>
                </w:tcPr>
                <w:p w14:paraId="384B627E">
                  <w:pPr>
                    <w:spacing w:line="240" w:lineRule="auto"/>
                    <w:ind w:firstLine="0" w:firstLineChars="0"/>
                    <w:jc w:val="center"/>
                    <w:rPr>
                      <w:b/>
                      <w:bCs/>
                      <w:color w:val="auto"/>
                      <w:sz w:val="21"/>
                      <w:szCs w:val="21"/>
                    </w:rPr>
                  </w:pPr>
                  <w:r>
                    <w:rPr>
                      <w:rFonts w:hint="eastAsia"/>
                      <w:b/>
                      <w:bCs/>
                      <w:color w:val="auto"/>
                      <w:sz w:val="21"/>
                      <w:szCs w:val="21"/>
                    </w:rPr>
                    <w:t>最高允许排放速率（</w:t>
                  </w:r>
                  <w:r>
                    <w:rPr>
                      <w:b/>
                      <w:bCs/>
                      <w:color w:val="auto"/>
                      <w:sz w:val="21"/>
                      <w:szCs w:val="21"/>
                    </w:rPr>
                    <w:t>kg/h</w:t>
                  </w:r>
                  <w:r>
                    <w:rPr>
                      <w:rFonts w:hint="eastAsia"/>
                      <w:b/>
                      <w:bCs/>
                      <w:color w:val="auto"/>
                      <w:sz w:val="21"/>
                      <w:szCs w:val="21"/>
                    </w:rPr>
                    <w:t>）</w:t>
                  </w:r>
                </w:p>
              </w:tc>
              <w:tc>
                <w:tcPr>
                  <w:tcW w:w="1121" w:type="dxa"/>
                  <w:noWrap w:val="0"/>
                  <w:vAlign w:val="center"/>
                </w:tcPr>
                <w:p w14:paraId="5AE76551">
                  <w:pPr>
                    <w:spacing w:line="240" w:lineRule="auto"/>
                    <w:ind w:firstLine="0" w:firstLineChars="0"/>
                    <w:jc w:val="center"/>
                    <w:rPr>
                      <w:b/>
                      <w:bCs/>
                      <w:color w:val="auto"/>
                      <w:sz w:val="21"/>
                      <w:szCs w:val="21"/>
                    </w:rPr>
                  </w:pPr>
                  <w:r>
                    <w:rPr>
                      <w:rFonts w:hint="eastAsia"/>
                      <w:b/>
                      <w:bCs/>
                      <w:color w:val="auto"/>
                      <w:sz w:val="21"/>
                      <w:szCs w:val="21"/>
                    </w:rPr>
                    <w:t>厂界无组织排放监控浓度限值（</w:t>
                  </w:r>
                  <w:r>
                    <w:rPr>
                      <w:b/>
                      <w:bCs/>
                      <w:color w:val="auto"/>
                      <w:sz w:val="21"/>
                      <w:szCs w:val="21"/>
                    </w:rPr>
                    <w:t>mg/m</w:t>
                  </w:r>
                  <w:r>
                    <w:rPr>
                      <w:b/>
                      <w:bCs/>
                      <w:color w:val="auto"/>
                      <w:sz w:val="21"/>
                      <w:szCs w:val="21"/>
                      <w:vertAlign w:val="superscript"/>
                    </w:rPr>
                    <w:t>3</w:t>
                  </w:r>
                  <w:r>
                    <w:rPr>
                      <w:rFonts w:hint="eastAsia"/>
                      <w:b/>
                      <w:bCs/>
                      <w:color w:val="auto"/>
                      <w:sz w:val="21"/>
                      <w:szCs w:val="21"/>
                    </w:rPr>
                    <w:t>）</w:t>
                  </w:r>
                </w:p>
              </w:tc>
              <w:tc>
                <w:tcPr>
                  <w:tcW w:w="940" w:type="dxa"/>
                  <w:noWrap w:val="0"/>
                  <w:vAlign w:val="center"/>
                </w:tcPr>
                <w:p w14:paraId="3F4EA1E1">
                  <w:pPr>
                    <w:spacing w:line="240" w:lineRule="auto"/>
                    <w:ind w:firstLine="0" w:firstLineChars="0"/>
                    <w:jc w:val="center"/>
                    <w:rPr>
                      <w:rFonts w:hint="eastAsia" w:eastAsia="宋体"/>
                      <w:b/>
                      <w:bCs/>
                      <w:color w:val="auto"/>
                      <w:sz w:val="21"/>
                      <w:szCs w:val="21"/>
                      <w:lang w:val="en-US" w:eastAsia="zh-CN"/>
                    </w:rPr>
                  </w:pPr>
                  <w:r>
                    <w:rPr>
                      <w:rFonts w:hint="eastAsia"/>
                      <w:b/>
                      <w:bCs/>
                      <w:color w:val="auto"/>
                      <w:sz w:val="21"/>
                      <w:szCs w:val="21"/>
                      <w:lang w:val="en-US" w:eastAsia="zh-CN"/>
                    </w:rPr>
                    <w:t>基准排气量</w:t>
                  </w:r>
                  <w:r>
                    <w:rPr>
                      <w:rFonts w:hint="eastAsia"/>
                      <w:b/>
                      <w:bCs/>
                      <w:color w:val="auto"/>
                      <w:sz w:val="21"/>
                      <w:szCs w:val="21"/>
                    </w:rPr>
                    <w:t>（</w:t>
                  </w:r>
                  <w:r>
                    <w:rPr>
                      <w:b/>
                      <w:bCs/>
                      <w:color w:val="auto"/>
                      <w:sz w:val="21"/>
                      <w:szCs w:val="21"/>
                    </w:rPr>
                    <w:t>m</w:t>
                  </w:r>
                  <w:r>
                    <w:rPr>
                      <w:b/>
                      <w:bCs/>
                      <w:color w:val="auto"/>
                      <w:sz w:val="21"/>
                      <w:szCs w:val="21"/>
                      <w:vertAlign w:val="superscript"/>
                    </w:rPr>
                    <w:t>3</w:t>
                  </w:r>
                  <w:r>
                    <w:rPr>
                      <w:b/>
                      <w:bCs/>
                      <w:color w:val="auto"/>
                      <w:sz w:val="21"/>
                      <w:szCs w:val="21"/>
                    </w:rPr>
                    <w:t>/</w:t>
                  </w:r>
                  <w:r>
                    <w:rPr>
                      <w:rFonts w:hint="eastAsia"/>
                      <w:b/>
                      <w:bCs/>
                      <w:color w:val="auto"/>
                      <w:sz w:val="21"/>
                      <w:szCs w:val="21"/>
                      <w:lang w:val="en-US" w:eastAsia="zh-CN"/>
                    </w:rPr>
                    <w:t>t胶</w:t>
                  </w:r>
                  <w:r>
                    <w:rPr>
                      <w:rFonts w:hint="eastAsia"/>
                      <w:b/>
                      <w:bCs/>
                      <w:color w:val="auto"/>
                      <w:sz w:val="21"/>
                      <w:szCs w:val="21"/>
                    </w:rPr>
                    <w:t>）</w:t>
                  </w:r>
                </w:p>
              </w:tc>
              <w:tc>
                <w:tcPr>
                  <w:tcW w:w="2000" w:type="dxa"/>
                  <w:noWrap w:val="0"/>
                  <w:vAlign w:val="center"/>
                </w:tcPr>
                <w:p w14:paraId="05240938">
                  <w:pPr>
                    <w:spacing w:line="240" w:lineRule="auto"/>
                    <w:ind w:firstLine="0" w:firstLineChars="0"/>
                    <w:jc w:val="center"/>
                    <w:rPr>
                      <w:b/>
                      <w:bCs/>
                      <w:color w:val="auto"/>
                      <w:sz w:val="21"/>
                      <w:szCs w:val="21"/>
                    </w:rPr>
                  </w:pPr>
                  <w:r>
                    <w:rPr>
                      <w:rFonts w:hint="eastAsia"/>
                      <w:b/>
                      <w:bCs/>
                      <w:color w:val="auto"/>
                      <w:sz w:val="21"/>
                      <w:szCs w:val="21"/>
                    </w:rPr>
                    <w:t>标准来源</w:t>
                  </w:r>
                </w:p>
              </w:tc>
            </w:tr>
            <w:tr w14:paraId="61B05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151" w:type="dxa"/>
                  <w:shd w:val="clear" w:color="auto" w:fill="auto"/>
                  <w:noWrap w:val="0"/>
                  <w:vAlign w:val="center"/>
                </w:tcPr>
                <w:p w14:paraId="2CD75881">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非甲烷总烃</w:t>
                  </w:r>
                </w:p>
              </w:tc>
              <w:tc>
                <w:tcPr>
                  <w:tcW w:w="805" w:type="dxa"/>
                  <w:noWrap w:val="0"/>
                  <w:vAlign w:val="center"/>
                </w:tcPr>
                <w:p w14:paraId="2772DE58">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10</w:t>
                  </w:r>
                </w:p>
              </w:tc>
              <w:tc>
                <w:tcPr>
                  <w:tcW w:w="1271" w:type="dxa"/>
                  <w:vMerge w:val="restart"/>
                  <w:noWrap w:val="0"/>
                  <w:vAlign w:val="center"/>
                </w:tcPr>
                <w:p w14:paraId="2154229A">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15m</w:t>
                  </w:r>
                </w:p>
              </w:tc>
              <w:tc>
                <w:tcPr>
                  <w:tcW w:w="955" w:type="dxa"/>
                  <w:noWrap w:val="0"/>
                  <w:vAlign w:val="center"/>
                </w:tcPr>
                <w:p w14:paraId="11EB35EE">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1121" w:type="dxa"/>
                  <w:noWrap w:val="0"/>
                  <w:vAlign w:val="center"/>
                </w:tcPr>
                <w:p w14:paraId="438353F6">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4.0</w:t>
                  </w:r>
                </w:p>
              </w:tc>
              <w:tc>
                <w:tcPr>
                  <w:tcW w:w="940" w:type="dxa"/>
                  <w:noWrap w:val="0"/>
                  <w:vAlign w:val="center"/>
                </w:tcPr>
                <w:p w14:paraId="1B78D318">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2000</w:t>
                  </w:r>
                </w:p>
              </w:tc>
              <w:tc>
                <w:tcPr>
                  <w:tcW w:w="2000" w:type="dxa"/>
                  <w:vMerge w:val="restart"/>
                  <w:noWrap w:val="0"/>
                  <w:vAlign w:val="center"/>
                </w:tcPr>
                <w:p w14:paraId="29880256">
                  <w:pPr>
                    <w:spacing w:line="240" w:lineRule="auto"/>
                    <w:ind w:firstLine="0" w:firstLineChars="0"/>
                    <w:jc w:val="center"/>
                    <w:rPr>
                      <w:color w:val="auto"/>
                      <w:sz w:val="21"/>
                      <w:szCs w:val="21"/>
                    </w:rPr>
                  </w:pPr>
                  <w:r>
                    <w:rPr>
                      <w:rFonts w:hint="eastAsia"/>
                      <w:color w:val="auto"/>
                      <w:sz w:val="21"/>
                      <w:szCs w:val="21"/>
                    </w:rPr>
                    <w:t>《大气污染物综合排放标准》（DB 31/933-2015）</w:t>
                  </w:r>
                </w:p>
              </w:tc>
            </w:tr>
            <w:tr w14:paraId="6D128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151" w:type="dxa"/>
                  <w:shd w:val="clear" w:color="auto" w:fill="auto"/>
                  <w:noWrap w:val="0"/>
                  <w:vAlign w:val="center"/>
                </w:tcPr>
                <w:p w14:paraId="10CAF73A">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二甲苯</w:t>
                  </w:r>
                </w:p>
              </w:tc>
              <w:tc>
                <w:tcPr>
                  <w:tcW w:w="805" w:type="dxa"/>
                  <w:noWrap w:val="0"/>
                  <w:vAlign w:val="center"/>
                </w:tcPr>
                <w:p w14:paraId="07D02A02">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15</w:t>
                  </w:r>
                </w:p>
              </w:tc>
              <w:tc>
                <w:tcPr>
                  <w:tcW w:w="1271" w:type="dxa"/>
                  <w:vMerge w:val="continue"/>
                  <w:noWrap w:val="0"/>
                  <w:vAlign w:val="center"/>
                </w:tcPr>
                <w:p w14:paraId="03AD6911">
                  <w:pPr>
                    <w:spacing w:line="240" w:lineRule="auto"/>
                    <w:ind w:firstLine="0" w:firstLineChars="0"/>
                    <w:jc w:val="center"/>
                    <w:rPr>
                      <w:rFonts w:hint="eastAsia"/>
                      <w:color w:val="auto"/>
                      <w:sz w:val="21"/>
                      <w:szCs w:val="21"/>
                      <w:lang w:val="en-US" w:eastAsia="zh-CN"/>
                    </w:rPr>
                  </w:pPr>
                </w:p>
              </w:tc>
              <w:tc>
                <w:tcPr>
                  <w:tcW w:w="955" w:type="dxa"/>
                  <w:noWrap w:val="0"/>
                  <w:vAlign w:val="center"/>
                </w:tcPr>
                <w:p w14:paraId="1ECC9F5D">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1.5</w:t>
                  </w:r>
                </w:p>
              </w:tc>
              <w:tc>
                <w:tcPr>
                  <w:tcW w:w="1121" w:type="dxa"/>
                  <w:noWrap w:val="0"/>
                  <w:vAlign w:val="center"/>
                </w:tcPr>
                <w:p w14:paraId="5641275B">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1.2</w:t>
                  </w:r>
                </w:p>
              </w:tc>
              <w:tc>
                <w:tcPr>
                  <w:tcW w:w="940" w:type="dxa"/>
                  <w:noWrap w:val="0"/>
                  <w:vAlign w:val="center"/>
                </w:tcPr>
                <w:p w14:paraId="407BA7F1">
                  <w:pPr>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w:t>
                  </w:r>
                </w:p>
              </w:tc>
              <w:tc>
                <w:tcPr>
                  <w:tcW w:w="2000" w:type="dxa"/>
                  <w:vMerge w:val="continue"/>
                  <w:tcBorders/>
                  <w:noWrap w:val="0"/>
                  <w:vAlign w:val="center"/>
                </w:tcPr>
                <w:p w14:paraId="2009AD8A">
                  <w:pPr>
                    <w:spacing w:line="240" w:lineRule="auto"/>
                    <w:ind w:firstLine="0" w:firstLineChars="0"/>
                    <w:jc w:val="center"/>
                    <w:rPr>
                      <w:rFonts w:hint="eastAsia"/>
                      <w:color w:val="auto"/>
                      <w:sz w:val="21"/>
                      <w:szCs w:val="21"/>
                    </w:rPr>
                  </w:pPr>
                </w:p>
              </w:tc>
            </w:tr>
            <w:tr w14:paraId="16E91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1" w:type="dxa"/>
                  <w:shd w:val="clear" w:color="auto" w:fill="auto"/>
                  <w:noWrap w:val="0"/>
                  <w:vAlign w:val="center"/>
                </w:tcPr>
                <w:p w14:paraId="1F533976">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机加工颗粒物</w:t>
                  </w:r>
                </w:p>
              </w:tc>
              <w:tc>
                <w:tcPr>
                  <w:tcW w:w="805" w:type="dxa"/>
                  <w:noWrap w:val="0"/>
                  <w:vAlign w:val="center"/>
                </w:tcPr>
                <w:p w14:paraId="5A5B51FC">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120</w:t>
                  </w:r>
                </w:p>
              </w:tc>
              <w:tc>
                <w:tcPr>
                  <w:tcW w:w="1271" w:type="dxa"/>
                  <w:vMerge w:val="continue"/>
                  <w:noWrap w:val="0"/>
                  <w:vAlign w:val="center"/>
                </w:tcPr>
                <w:p w14:paraId="4231BC74">
                  <w:pPr>
                    <w:spacing w:line="240" w:lineRule="auto"/>
                    <w:ind w:firstLine="0" w:firstLineChars="0"/>
                    <w:jc w:val="center"/>
                    <w:rPr>
                      <w:rFonts w:hint="eastAsia"/>
                      <w:color w:val="auto"/>
                      <w:sz w:val="21"/>
                      <w:szCs w:val="21"/>
                    </w:rPr>
                  </w:pPr>
                </w:p>
              </w:tc>
              <w:tc>
                <w:tcPr>
                  <w:tcW w:w="955" w:type="dxa"/>
                  <w:noWrap w:val="0"/>
                  <w:vAlign w:val="center"/>
                </w:tcPr>
                <w:p w14:paraId="55608C99">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3.5</w:t>
                  </w:r>
                </w:p>
              </w:tc>
              <w:tc>
                <w:tcPr>
                  <w:tcW w:w="1121" w:type="dxa"/>
                  <w:noWrap w:val="0"/>
                  <w:vAlign w:val="center"/>
                </w:tcPr>
                <w:p w14:paraId="31CA84E0">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1.0</w:t>
                  </w:r>
                </w:p>
              </w:tc>
              <w:tc>
                <w:tcPr>
                  <w:tcW w:w="940" w:type="dxa"/>
                  <w:noWrap w:val="0"/>
                  <w:vAlign w:val="center"/>
                </w:tcPr>
                <w:p w14:paraId="4C055A12">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2000" w:type="dxa"/>
                  <w:noWrap w:val="0"/>
                  <w:vAlign w:val="top"/>
                </w:tcPr>
                <w:p w14:paraId="1CE210F8">
                  <w:pPr>
                    <w:spacing w:line="240" w:lineRule="auto"/>
                    <w:ind w:firstLine="0" w:firstLineChars="0"/>
                    <w:jc w:val="center"/>
                    <w:rPr>
                      <w:color w:val="auto"/>
                      <w:sz w:val="21"/>
                      <w:szCs w:val="21"/>
                    </w:rPr>
                  </w:pPr>
                  <w:r>
                    <w:rPr>
                      <w:color w:val="auto"/>
                      <w:sz w:val="21"/>
                      <w:szCs w:val="21"/>
                    </w:rPr>
                    <w:t>《大气污染物综合排放标准》（</w:t>
                  </w:r>
                  <w:r>
                    <w:rPr>
                      <w:rFonts w:hint="eastAsia"/>
                      <w:color w:val="auto"/>
                      <w:sz w:val="21"/>
                      <w:szCs w:val="21"/>
                    </w:rPr>
                    <w:t>GB16297-1996</w:t>
                  </w:r>
                  <w:r>
                    <w:rPr>
                      <w:color w:val="auto"/>
                      <w:sz w:val="21"/>
                      <w:szCs w:val="21"/>
                    </w:rPr>
                    <w:t>）</w:t>
                  </w:r>
                </w:p>
              </w:tc>
            </w:tr>
            <w:tr w14:paraId="2C456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shd w:val="clear" w:color="auto" w:fill="auto"/>
                  <w:noWrap w:val="0"/>
                  <w:vAlign w:val="center"/>
                </w:tcPr>
                <w:p w14:paraId="74425833">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炼胶颗粒物</w:t>
                  </w:r>
                </w:p>
              </w:tc>
              <w:tc>
                <w:tcPr>
                  <w:tcW w:w="805" w:type="dxa"/>
                  <w:noWrap w:val="0"/>
                  <w:vAlign w:val="center"/>
                </w:tcPr>
                <w:p w14:paraId="1216B865">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12</w:t>
                  </w:r>
                </w:p>
              </w:tc>
              <w:tc>
                <w:tcPr>
                  <w:tcW w:w="1271" w:type="dxa"/>
                  <w:vMerge w:val="continue"/>
                  <w:noWrap w:val="0"/>
                  <w:vAlign w:val="center"/>
                </w:tcPr>
                <w:p w14:paraId="73E1B525">
                  <w:pPr>
                    <w:spacing w:line="240" w:lineRule="auto"/>
                    <w:ind w:firstLine="0" w:firstLineChars="0"/>
                    <w:jc w:val="center"/>
                    <w:rPr>
                      <w:color w:val="auto"/>
                      <w:sz w:val="21"/>
                      <w:szCs w:val="21"/>
                    </w:rPr>
                  </w:pPr>
                </w:p>
              </w:tc>
              <w:tc>
                <w:tcPr>
                  <w:tcW w:w="955" w:type="dxa"/>
                  <w:noWrap w:val="0"/>
                  <w:vAlign w:val="center"/>
                </w:tcPr>
                <w:p w14:paraId="066281AA">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1121" w:type="dxa"/>
                  <w:noWrap w:val="0"/>
                  <w:vAlign w:val="center"/>
                </w:tcPr>
                <w:p w14:paraId="4A94F0D4">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1.0</w:t>
                  </w:r>
                </w:p>
              </w:tc>
              <w:tc>
                <w:tcPr>
                  <w:tcW w:w="940" w:type="dxa"/>
                  <w:noWrap w:val="0"/>
                  <w:vAlign w:val="center"/>
                </w:tcPr>
                <w:p w14:paraId="09F3C3FA">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2000</w:t>
                  </w:r>
                </w:p>
              </w:tc>
              <w:tc>
                <w:tcPr>
                  <w:tcW w:w="2000" w:type="dxa"/>
                  <w:noWrap w:val="0"/>
                  <w:vAlign w:val="center"/>
                </w:tcPr>
                <w:p w14:paraId="2D5BC16C">
                  <w:pPr>
                    <w:spacing w:line="240" w:lineRule="auto"/>
                    <w:ind w:firstLine="0" w:firstLineChars="0"/>
                    <w:jc w:val="center"/>
                    <w:rPr>
                      <w:color w:val="auto"/>
                      <w:sz w:val="21"/>
                      <w:szCs w:val="21"/>
                    </w:rPr>
                  </w:pPr>
                  <w:r>
                    <w:rPr>
                      <w:rFonts w:hint="eastAsia"/>
                      <w:color w:val="auto"/>
                      <w:sz w:val="21"/>
                      <w:szCs w:val="21"/>
                    </w:rPr>
                    <w:t>《橡胶制品工业污染物排放标准》</w:t>
                  </w:r>
                  <w:r>
                    <w:rPr>
                      <w:rFonts w:hint="eastAsia"/>
                      <w:color w:val="auto"/>
                      <w:sz w:val="21"/>
                      <w:szCs w:val="21"/>
                      <w:lang w:eastAsia="zh-CN"/>
                    </w:rPr>
                    <w:t>（</w:t>
                  </w:r>
                  <w:r>
                    <w:rPr>
                      <w:rFonts w:hint="eastAsia"/>
                      <w:color w:val="auto"/>
                      <w:sz w:val="21"/>
                      <w:szCs w:val="21"/>
                    </w:rPr>
                    <w:t>GB27632-2011</w:t>
                  </w:r>
                  <w:r>
                    <w:rPr>
                      <w:rFonts w:hint="eastAsia"/>
                      <w:color w:val="auto"/>
                      <w:sz w:val="21"/>
                      <w:szCs w:val="21"/>
                      <w:lang w:eastAsia="zh-CN"/>
                    </w:rPr>
                    <w:t>）</w:t>
                  </w:r>
                </w:p>
              </w:tc>
            </w:tr>
            <w:tr w14:paraId="76CA2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shd w:val="clear" w:color="auto" w:fill="auto"/>
                  <w:noWrap w:val="0"/>
                  <w:vAlign w:val="center"/>
                </w:tcPr>
                <w:p w14:paraId="717928B3">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硫化氢</w:t>
                  </w:r>
                </w:p>
              </w:tc>
              <w:tc>
                <w:tcPr>
                  <w:tcW w:w="805" w:type="dxa"/>
                  <w:noWrap w:val="0"/>
                  <w:vAlign w:val="center"/>
                </w:tcPr>
                <w:p w14:paraId="046596F2">
                  <w:pPr>
                    <w:spacing w:line="240" w:lineRule="auto"/>
                    <w:ind w:firstLine="0" w:firstLineChars="0"/>
                    <w:jc w:val="center"/>
                    <w:rPr>
                      <w:color w:val="auto"/>
                      <w:sz w:val="21"/>
                      <w:szCs w:val="21"/>
                    </w:rPr>
                  </w:pPr>
                  <w:r>
                    <w:rPr>
                      <w:rFonts w:hint="eastAsia"/>
                      <w:color w:val="auto"/>
                      <w:sz w:val="21"/>
                      <w:szCs w:val="21"/>
                      <w:lang w:val="en-US" w:eastAsia="zh-CN"/>
                    </w:rPr>
                    <w:t>/</w:t>
                  </w:r>
                </w:p>
              </w:tc>
              <w:tc>
                <w:tcPr>
                  <w:tcW w:w="1271" w:type="dxa"/>
                  <w:vMerge w:val="continue"/>
                  <w:noWrap w:val="0"/>
                  <w:vAlign w:val="center"/>
                </w:tcPr>
                <w:p w14:paraId="7EA3985F">
                  <w:pPr>
                    <w:spacing w:line="240" w:lineRule="auto"/>
                    <w:ind w:firstLine="0" w:firstLineChars="0"/>
                    <w:jc w:val="center"/>
                    <w:rPr>
                      <w:rFonts w:hint="eastAsia"/>
                      <w:color w:val="auto"/>
                      <w:sz w:val="21"/>
                      <w:szCs w:val="21"/>
                    </w:rPr>
                  </w:pPr>
                </w:p>
              </w:tc>
              <w:tc>
                <w:tcPr>
                  <w:tcW w:w="955" w:type="dxa"/>
                  <w:noWrap w:val="0"/>
                  <w:vAlign w:val="center"/>
                </w:tcPr>
                <w:p w14:paraId="5C783DD2">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0.33</w:t>
                  </w:r>
                </w:p>
              </w:tc>
              <w:tc>
                <w:tcPr>
                  <w:tcW w:w="1121" w:type="dxa"/>
                  <w:noWrap w:val="0"/>
                  <w:vAlign w:val="center"/>
                </w:tcPr>
                <w:p w14:paraId="1B985BA6">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0.06</w:t>
                  </w:r>
                </w:p>
              </w:tc>
              <w:tc>
                <w:tcPr>
                  <w:tcW w:w="940" w:type="dxa"/>
                  <w:noWrap w:val="0"/>
                  <w:vAlign w:val="center"/>
                </w:tcPr>
                <w:p w14:paraId="65D2DA72">
                  <w:pPr>
                    <w:spacing w:line="240" w:lineRule="auto"/>
                    <w:ind w:firstLine="0" w:firstLineChars="0"/>
                    <w:jc w:val="center"/>
                    <w:rPr>
                      <w:rFonts w:hint="eastAsia"/>
                      <w:color w:val="auto"/>
                      <w:sz w:val="21"/>
                      <w:szCs w:val="21"/>
                    </w:rPr>
                  </w:pPr>
                  <w:r>
                    <w:rPr>
                      <w:rFonts w:hint="eastAsia"/>
                      <w:color w:val="auto"/>
                      <w:sz w:val="21"/>
                      <w:szCs w:val="21"/>
                      <w:lang w:val="en-US" w:eastAsia="zh-CN"/>
                    </w:rPr>
                    <w:t>/</w:t>
                  </w:r>
                </w:p>
              </w:tc>
              <w:tc>
                <w:tcPr>
                  <w:tcW w:w="2000" w:type="dxa"/>
                  <w:vMerge w:val="restart"/>
                  <w:noWrap w:val="0"/>
                  <w:vAlign w:val="center"/>
                </w:tcPr>
                <w:p w14:paraId="65CA7A9F">
                  <w:pPr>
                    <w:spacing w:line="240" w:lineRule="auto"/>
                    <w:ind w:firstLine="0" w:firstLineChars="0"/>
                    <w:jc w:val="center"/>
                    <w:rPr>
                      <w:color w:val="auto"/>
                      <w:sz w:val="21"/>
                      <w:szCs w:val="21"/>
                    </w:rPr>
                  </w:pPr>
                  <w:r>
                    <w:rPr>
                      <w:rFonts w:hint="eastAsia"/>
                      <w:color w:val="auto"/>
                      <w:sz w:val="21"/>
                      <w:szCs w:val="21"/>
                      <w:lang w:val="en-US" w:eastAsia="zh-CN"/>
                    </w:rPr>
                    <w:t>《恶臭污染物排放标准》（GB14554-93）</w:t>
                  </w:r>
                </w:p>
              </w:tc>
            </w:tr>
            <w:tr w14:paraId="0A02E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shd w:val="clear" w:color="auto" w:fill="auto"/>
                  <w:noWrap w:val="0"/>
                  <w:vAlign w:val="center"/>
                </w:tcPr>
                <w:p w14:paraId="13B791AA">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臭气浓度</w:t>
                  </w:r>
                </w:p>
              </w:tc>
              <w:tc>
                <w:tcPr>
                  <w:tcW w:w="805" w:type="dxa"/>
                  <w:noWrap w:val="0"/>
                  <w:vAlign w:val="center"/>
                </w:tcPr>
                <w:p w14:paraId="33C99215">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2000</w:t>
                  </w:r>
                  <w:r>
                    <w:rPr>
                      <w:rFonts w:hint="eastAsia" w:eastAsia="宋体" w:cs="Times New Roman"/>
                      <w:color w:val="auto"/>
                      <w:kern w:val="2"/>
                      <w:sz w:val="21"/>
                      <w:szCs w:val="21"/>
                      <w:lang w:val="en-US" w:eastAsia="zh-CN" w:bidi="ar-SA"/>
                    </w:rPr>
                    <w:t>（无量纲）</w:t>
                  </w:r>
                </w:p>
              </w:tc>
              <w:tc>
                <w:tcPr>
                  <w:tcW w:w="1271" w:type="dxa"/>
                  <w:vMerge w:val="continue"/>
                  <w:noWrap w:val="0"/>
                  <w:vAlign w:val="center"/>
                </w:tcPr>
                <w:p w14:paraId="2FEADB64">
                  <w:pPr>
                    <w:spacing w:line="240" w:lineRule="auto"/>
                    <w:ind w:firstLine="0" w:firstLineChars="0"/>
                    <w:jc w:val="center"/>
                    <w:rPr>
                      <w:rFonts w:hint="eastAsia"/>
                      <w:color w:val="auto"/>
                      <w:sz w:val="21"/>
                      <w:szCs w:val="21"/>
                    </w:rPr>
                  </w:pPr>
                </w:p>
              </w:tc>
              <w:tc>
                <w:tcPr>
                  <w:tcW w:w="955" w:type="dxa"/>
                  <w:noWrap w:val="0"/>
                  <w:vAlign w:val="center"/>
                </w:tcPr>
                <w:p w14:paraId="50E07AD4">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w:t>
                  </w:r>
                </w:p>
              </w:tc>
              <w:tc>
                <w:tcPr>
                  <w:tcW w:w="1121" w:type="dxa"/>
                  <w:noWrap w:val="0"/>
                  <w:vAlign w:val="center"/>
                </w:tcPr>
                <w:p w14:paraId="52BDD665">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20</w:t>
                  </w:r>
                  <w:r>
                    <w:rPr>
                      <w:rFonts w:hint="eastAsia" w:eastAsia="宋体" w:cs="Times New Roman"/>
                      <w:color w:val="auto"/>
                      <w:kern w:val="2"/>
                      <w:sz w:val="21"/>
                      <w:szCs w:val="21"/>
                      <w:lang w:val="en-US" w:eastAsia="zh-CN" w:bidi="ar-SA"/>
                    </w:rPr>
                    <w:t>（无量纲）</w:t>
                  </w:r>
                </w:p>
              </w:tc>
              <w:tc>
                <w:tcPr>
                  <w:tcW w:w="940" w:type="dxa"/>
                  <w:noWrap w:val="0"/>
                  <w:vAlign w:val="center"/>
                </w:tcPr>
                <w:p w14:paraId="42CEFD28">
                  <w:pPr>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w:t>
                  </w:r>
                </w:p>
              </w:tc>
              <w:tc>
                <w:tcPr>
                  <w:tcW w:w="2000" w:type="dxa"/>
                  <w:vMerge w:val="continue"/>
                  <w:noWrap w:val="0"/>
                  <w:vAlign w:val="top"/>
                </w:tcPr>
                <w:p w14:paraId="4D2206BD">
                  <w:pPr>
                    <w:spacing w:line="240" w:lineRule="auto"/>
                    <w:ind w:firstLine="0" w:firstLineChars="0"/>
                    <w:jc w:val="center"/>
                    <w:rPr>
                      <w:color w:val="auto"/>
                      <w:sz w:val="21"/>
                      <w:szCs w:val="21"/>
                    </w:rPr>
                  </w:pPr>
                </w:p>
              </w:tc>
            </w:tr>
          </w:tbl>
          <w:p w14:paraId="2B1F0605">
            <w:pPr>
              <w:ind w:firstLine="0" w:firstLineChars="0"/>
              <w:jc w:val="center"/>
              <w:rPr>
                <w:rFonts w:hint="eastAsia"/>
                <w:b/>
                <w:bCs/>
                <w:color w:val="auto"/>
                <w:kern w:val="0"/>
                <w:szCs w:val="21"/>
              </w:rPr>
            </w:pPr>
            <w:r>
              <w:rPr>
                <w:rFonts w:hint="eastAsia"/>
                <w:b/>
                <w:bCs/>
                <w:color w:val="auto"/>
                <w:kern w:val="0"/>
                <w:szCs w:val="21"/>
              </w:rPr>
              <w:t>表</w:t>
            </w:r>
            <w:r>
              <w:rPr>
                <w:rFonts w:hint="eastAsia"/>
                <w:b/>
                <w:bCs/>
                <w:color w:val="auto"/>
                <w:kern w:val="0"/>
                <w:szCs w:val="21"/>
                <w:lang w:val="en-US" w:eastAsia="zh-CN"/>
              </w:rPr>
              <w:t>3-8</w:t>
            </w:r>
            <w:r>
              <w:rPr>
                <w:rFonts w:hint="eastAsia"/>
                <w:b/>
                <w:bCs/>
                <w:color w:val="auto"/>
                <w:kern w:val="0"/>
                <w:szCs w:val="21"/>
              </w:rPr>
              <w:t xml:space="preserve">  项目厂区内无组织排放限值要求</w:t>
            </w:r>
          </w:p>
          <w:tbl>
            <w:tblPr>
              <w:tblStyle w:val="23"/>
              <w:tblW w:w="8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1241"/>
              <w:gridCol w:w="1595"/>
              <w:gridCol w:w="1773"/>
              <w:gridCol w:w="2404"/>
            </w:tblGrid>
            <w:tr w14:paraId="7882C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noWrap w:val="0"/>
                  <w:vAlign w:val="center"/>
                </w:tcPr>
                <w:p w14:paraId="4AF75E20">
                  <w:pPr>
                    <w:spacing w:line="240" w:lineRule="auto"/>
                    <w:ind w:firstLine="0" w:firstLineChars="0"/>
                    <w:jc w:val="center"/>
                    <w:rPr>
                      <w:b/>
                      <w:bCs/>
                      <w:color w:val="auto"/>
                      <w:kern w:val="0"/>
                      <w:sz w:val="21"/>
                      <w:szCs w:val="18"/>
                    </w:rPr>
                  </w:pPr>
                  <w:r>
                    <w:rPr>
                      <w:rFonts w:hint="eastAsia"/>
                      <w:b/>
                      <w:bCs/>
                      <w:color w:val="auto"/>
                      <w:kern w:val="0"/>
                      <w:sz w:val="21"/>
                      <w:szCs w:val="18"/>
                    </w:rPr>
                    <w:t>污染物</w:t>
                  </w:r>
                </w:p>
              </w:tc>
              <w:tc>
                <w:tcPr>
                  <w:tcW w:w="1241" w:type="dxa"/>
                  <w:noWrap w:val="0"/>
                  <w:vAlign w:val="center"/>
                </w:tcPr>
                <w:p w14:paraId="17660B83">
                  <w:pPr>
                    <w:spacing w:line="240" w:lineRule="auto"/>
                    <w:ind w:firstLine="0" w:firstLineChars="0"/>
                    <w:jc w:val="center"/>
                    <w:rPr>
                      <w:b/>
                      <w:bCs/>
                      <w:color w:val="auto"/>
                      <w:kern w:val="0"/>
                      <w:sz w:val="21"/>
                      <w:szCs w:val="18"/>
                    </w:rPr>
                  </w:pPr>
                  <w:r>
                    <w:rPr>
                      <w:rFonts w:hint="eastAsia"/>
                      <w:b/>
                      <w:bCs/>
                      <w:color w:val="auto"/>
                      <w:kern w:val="0"/>
                      <w:sz w:val="21"/>
                      <w:szCs w:val="18"/>
                    </w:rPr>
                    <w:t>特别排放限制</w:t>
                  </w:r>
                </w:p>
              </w:tc>
              <w:tc>
                <w:tcPr>
                  <w:tcW w:w="1595" w:type="dxa"/>
                  <w:noWrap w:val="0"/>
                  <w:vAlign w:val="center"/>
                </w:tcPr>
                <w:p w14:paraId="760CD776">
                  <w:pPr>
                    <w:spacing w:line="240" w:lineRule="auto"/>
                    <w:ind w:firstLine="0" w:firstLineChars="0"/>
                    <w:jc w:val="center"/>
                    <w:rPr>
                      <w:b/>
                      <w:bCs/>
                      <w:color w:val="auto"/>
                      <w:kern w:val="0"/>
                      <w:sz w:val="21"/>
                      <w:szCs w:val="18"/>
                    </w:rPr>
                  </w:pPr>
                  <w:r>
                    <w:rPr>
                      <w:rFonts w:hint="eastAsia"/>
                      <w:b/>
                      <w:bCs/>
                      <w:color w:val="auto"/>
                      <w:kern w:val="0"/>
                      <w:sz w:val="21"/>
                      <w:szCs w:val="18"/>
                    </w:rPr>
                    <w:t>限值含义</w:t>
                  </w:r>
                </w:p>
              </w:tc>
              <w:tc>
                <w:tcPr>
                  <w:tcW w:w="1773" w:type="dxa"/>
                  <w:noWrap w:val="0"/>
                  <w:vAlign w:val="center"/>
                </w:tcPr>
                <w:p w14:paraId="191CC582">
                  <w:pPr>
                    <w:spacing w:line="240" w:lineRule="auto"/>
                    <w:ind w:firstLine="0" w:firstLineChars="0"/>
                    <w:jc w:val="center"/>
                    <w:rPr>
                      <w:b/>
                      <w:bCs/>
                      <w:color w:val="auto"/>
                      <w:kern w:val="0"/>
                      <w:sz w:val="21"/>
                      <w:szCs w:val="18"/>
                    </w:rPr>
                  </w:pPr>
                  <w:r>
                    <w:rPr>
                      <w:rFonts w:hint="eastAsia"/>
                      <w:b/>
                      <w:bCs/>
                      <w:color w:val="auto"/>
                      <w:kern w:val="0"/>
                      <w:sz w:val="21"/>
                      <w:szCs w:val="18"/>
                    </w:rPr>
                    <w:t>无组织排放监控位置</w:t>
                  </w:r>
                </w:p>
              </w:tc>
              <w:tc>
                <w:tcPr>
                  <w:tcW w:w="2404" w:type="dxa"/>
                  <w:noWrap w:val="0"/>
                  <w:vAlign w:val="center"/>
                </w:tcPr>
                <w:p w14:paraId="7F04A37E">
                  <w:pPr>
                    <w:spacing w:line="240" w:lineRule="auto"/>
                    <w:ind w:firstLine="0" w:firstLineChars="0"/>
                    <w:jc w:val="center"/>
                    <w:rPr>
                      <w:b/>
                      <w:bCs/>
                      <w:color w:val="auto"/>
                      <w:kern w:val="0"/>
                      <w:sz w:val="21"/>
                      <w:szCs w:val="18"/>
                    </w:rPr>
                  </w:pPr>
                  <w:r>
                    <w:rPr>
                      <w:rFonts w:hint="eastAsia"/>
                      <w:b/>
                      <w:bCs/>
                      <w:color w:val="auto"/>
                      <w:kern w:val="0"/>
                      <w:sz w:val="21"/>
                      <w:szCs w:val="18"/>
                    </w:rPr>
                    <w:t>标准来源</w:t>
                  </w:r>
                </w:p>
              </w:tc>
            </w:tr>
            <w:tr w14:paraId="451D9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vMerge w:val="restart"/>
                  <w:noWrap w:val="0"/>
                  <w:vAlign w:val="center"/>
                </w:tcPr>
                <w:p w14:paraId="10BD7BD8">
                  <w:pPr>
                    <w:spacing w:line="240" w:lineRule="auto"/>
                    <w:ind w:firstLine="0" w:firstLineChars="0"/>
                    <w:jc w:val="center"/>
                    <w:rPr>
                      <w:color w:val="auto"/>
                      <w:kern w:val="0"/>
                      <w:sz w:val="21"/>
                      <w:szCs w:val="18"/>
                    </w:rPr>
                  </w:pPr>
                  <w:r>
                    <w:rPr>
                      <w:rFonts w:hint="eastAsia"/>
                      <w:color w:val="auto"/>
                      <w:sz w:val="21"/>
                      <w:szCs w:val="21"/>
                    </w:rPr>
                    <w:t>非甲烷总烃</w:t>
                  </w:r>
                </w:p>
              </w:tc>
              <w:tc>
                <w:tcPr>
                  <w:tcW w:w="1241" w:type="dxa"/>
                  <w:noWrap w:val="0"/>
                  <w:vAlign w:val="center"/>
                </w:tcPr>
                <w:p w14:paraId="0160DAE0">
                  <w:pPr>
                    <w:spacing w:line="240" w:lineRule="auto"/>
                    <w:ind w:firstLine="0" w:firstLineChars="0"/>
                    <w:jc w:val="center"/>
                    <w:rPr>
                      <w:color w:val="auto"/>
                      <w:kern w:val="0"/>
                      <w:sz w:val="21"/>
                      <w:szCs w:val="18"/>
                    </w:rPr>
                  </w:pPr>
                  <w:r>
                    <w:rPr>
                      <w:rFonts w:hint="eastAsia"/>
                      <w:color w:val="auto"/>
                      <w:kern w:val="0"/>
                      <w:sz w:val="21"/>
                      <w:szCs w:val="18"/>
                    </w:rPr>
                    <w:t>6</w:t>
                  </w:r>
                </w:p>
              </w:tc>
              <w:tc>
                <w:tcPr>
                  <w:tcW w:w="1595" w:type="dxa"/>
                  <w:noWrap w:val="0"/>
                  <w:vAlign w:val="center"/>
                </w:tcPr>
                <w:p w14:paraId="60BE7D2B">
                  <w:pPr>
                    <w:spacing w:line="240" w:lineRule="auto"/>
                    <w:ind w:firstLine="0" w:firstLineChars="0"/>
                    <w:jc w:val="center"/>
                    <w:rPr>
                      <w:color w:val="auto"/>
                      <w:kern w:val="0"/>
                      <w:sz w:val="21"/>
                      <w:szCs w:val="18"/>
                    </w:rPr>
                  </w:pPr>
                  <w:r>
                    <w:rPr>
                      <w:rFonts w:hint="eastAsia"/>
                      <w:color w:val="auto"/>
                      <w:kern w:val="0"/>
                      <w:sz w:val="21"/>
                      <w:szCs w:val="18"/>
                    </w:rPr>
                    <w:t>监控点处1h平均浓度值</w:t>
                  </w:r>
                </w:p>
              </w:tc>
              <w:tc>
                <w:tcPr>
                  <w:tcW w:w="1773" w:type="dxa"/>
                  <w:vMerge w:val="restart"/>
                  <w:noWrap w:val="0"/>
                  <w:vAlign w:val="center"/>
                </w:tcPr>
                <w:p w14:paraId="1CBE5E3D">
                  <w:pPr>
                    <w:spacing w:line="240" w:lineRule="auto"/>
                    <w:ind w:firstLine="0" w:firstLineChars="0"/>
                    <w:jc w:val="center"/>
                    <w:rPr>
                      <w:color w:val="auto"/>
                      <w:kern w:val="0"/>
                      <w:sz w:val="21"/>
                      <w:szCs w:val="18"/>
                    </w:rPr>
                  </w:pPr>
                  <w:r>
                    <w:rPr>
                      <w:rFonts w:hint="eastAsia"/>
                      <w:color w:val="auto"/>
                      <w:kern w:val="0"/>
                      <w:sz w:val="21"/>
                      <w:szCs w:val="18"/>
                    </w:rPr>
                    <w:t>在厂房外设置监控点</w:t>
                  </w:r>
                </w:p>
              </w:tc>
              <w:tc>
                <w:tcPr>
                  <w:tcW w:w="2404" w:type="dxa"/>
                  <w:vMerge w:val="restart"/>
                  <w:noWrap w:val="0"/>
                  <w:vAlign w:val="center"/>
                </w:tcPr>
                <w:p w14:paraId="2365A46C">
                  <w:pPr>
                    <w:spacing w:line="240" w:lineRule="auto"/>
                    <w:ind w:firstLine="0" w:firstLineChars="0"/>
                    <w:jc w:val="center"/>
                    <w:rPr>
                      <w:color w:val="auto"/>
                      <w:kern w:val="0"/>
                      <w:sz w:val="21"/>
                      <w:szCs w:val="18"/>
                    </w:rPr>
                  </w:pPr>
                  <w:r>
                    <w:rPr>
                      <w:rFonts w:hint="eastAsia"/>
                      <w:color w:val="auto"/>
                      <w:kern w:val="0"/>
                      <w:sz w:val="21"/>
                      <w:szCs w:val="18"/>
                      <w:lang w:val="en-US" w:eastAsia="zh-CN"/>
                    </w:rPr>
                    <w:t>安徽省《固定源挥发性有机物综合排放标准 第6部分 其他行业》（DB34/4812.6-2024）</w:t>
                  </w:r>
                </w:p>
              </w:tc>
            </w:tr>
            <w:tr w14:paraId="561A8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vMerge w:val="continue"/>
                  <w:noWrap w:val="0"/>
                  <w:vAlign w:val="center"/>
                </w:tcPr>
                <w:p w14:paraId="77682604">
                  <w:pPr>
                    <w:spacing w:line="240" w:lineRule="auto"/>
                    <w:ind w:firstLine="0" w:firstLineChars="0"/>
                    <w:jc w:val="center"/>
                    <w:rPr>
                      <w:color w:val="auto"/>
                      <w:kern w:val="0"/>
                      <w:sz w:val="21"/>
                      <w:szCs w:val="18"/>
                    </w:rPr>
                  </w:pPr>
                </w:p>
              </w:tc>
              <w:tc>
                <w:tcPr>
                  <w:tcW w:w="1241" w:type="dxa"/>
                  <w:noWrap w:val="0"/>
                  <w:vAlign w:val="center"/>
                </w:tcPr>
                <w:p w14:paraId="52044215">
                  <w:pPr>
                    <w:spacing w:line="240" w:lineRule="auto"/>
                    <w:ind w:firstLine="0" w:firstLineChars="0"/>
                    <w:jc w:val="center"/>
                    <w:rPr>
                      <w:color w:val="auto"/>
                      <w:kern w:val="0"/>
                      <w:sz w:val="21"/>
                      <w:szCs w:val="18"/>
                    </w:rPr>
                  </w:pPr>
                  <w:r>
                    <w:rPr>
                      <w:rFonts w:hint="eastAsia"/>
                      <w:color w:val="auto"/>
                      <w:kern w:val="0"/>
                      <w:sz w:val="21"/>
                      <w:szCs w:val="18"/>
                    </w:rPr>
                    <w:t>20</w:t>
                  </w:r>
                </w:p>
              </w:tc>
              <w:tc>
                <w:tcPr>
                  <w:tcW w:w="1595" w:type="dxa"/>
                  <w:noWrap w:val="0"/>
                  <w:vAlign w:val="center"/>
                </w:tcPr>
                <w:p w14:paraId="514A1132">
                  <w:pPr>
                    <w:spacing w:line="240" w:lineRule="auto"/>
                    <w:ind w:firstLine="0" w:firstLineChars="0"/>
                    <w:jc w:val="center"/>
                    <w:rPr>
                      <w:color w:val="auto"/>
                      <w:kern w:val="0"/>
                      <w:sz w:val="21"/>
                      <w:szCs w:val="18"/>
                    </w:rPr>
                  </w:pPr>
                  <w:r>
                    <w:rPr>
                      <w:rFonts w:hint="eastAsia"/>
                      <w:color w:val="auto"/>
                      <w:kern w:val="0"/>
                      <w:sz w:val="21"/>
                      <w:szCs w:val="18"/>
                    </w:rPr>
                    <w:t>监控点任意一次浓度值</w:t>
                  </w:r>
                </w:p>
              </w:tc>
              <w:tc>
                <w:tcPr>
                  <w:tcW w:w="1773" w:type="dxa"/>
                  <w:vMerge w:val="continue"/>
                  <w:noWrap w:val="0"/>
                  <w:vAlign w:val="center"/>
                </w:tcPr>
                <w:p w14:paraId="3B891620">
                  <w:pPr>
                    <w:spacing w:line="240" w:lineRule="auto"/>
                    <w:ind w:firstLine="0" w:firstLineChars="0"/>
                    <w:jc w:val="center"/>
                    <w:rPr>
                      <w:color w:val="auto"/>
                      <w:kern w:val="0"/>
                      <w:sz w:val="21"/>
                      <w:szCs w:val="18"/>
                    </w:rPr>
                  </w:pPr>
                </w:p>
              </w:tc>
              <w:tc>
                <w:tcPr>
                  <w:tcW w:w="2404" w:type="dxa"/>
                  <w:vMerge w:val="continue"/>
                  <w:noWrap w:val="0"/>
                  <w:vAlign w:val="center"/>
                </w:tcPr>
                <w:p w14:paraId="66715050">
                  <w:pPr>
                    <w:spacing w:line="240" w:lineRule="auto"/>
                    <w:ind w:firstLine="0" w:firstLineChars="0"/>
                    <w:jc w:val="center"/>
                    <w:rPr>
                      <w:color w:val="auto"/>
                      <w:kern w:val="0"/>
                      <w:sz w:val="21"/>
                      <w:szCs w:val="18"/>
                    </w:rPr>
                  </w:pPr>
                </w:p>
              </w:tc>
            </w:tr>
          </w:tbl>
          <w:p w14:paraId="37ECB66C">
            <w:pPr>
              <w:numPr>
                <w:ilvl w:val="0"/>
                <w:numId w:val="6"/>
              </w:numPr>
              <w:ind w:firstLine="0" w:firstLineChars="0"/>
              <w:rPr>
                <w:rFonts w:hint="eastAsia"/>
                <w:b/>
                <w:bCs/>
                <w:color w:val="auto"/>
                <w:kern w:val="0"/>
                <w:szCs w:val="21"/>
              </w:rPr>
            </w:pPr>
            <w:r>
              <w:rPr>
                <w:rFonts w:hint="eastAsia"/>
                <w:b/>
                <w:bCs/>
                <w:color w:val="auto"/>
                <w:kern w:val="0"/>
                <w:szCs w:val="21"/>
              </w:rPr>
              <w:t>废水</w:t>
            </w:r>
          </w:p>
          <w:p w14:paraId="3F4E4D3A">
            <w:pPr>
              <w:ind w:firstLine="480"/>
              <w:rPr>
                <w:rFonts w:hint="eastAsia"/>
                <w:color w:val="auto"/>
              </w:rPr>
            </w:pPr>
            <w:r>
              <w:rPr>
                <w:rFonts w:hint="eastAsia"/>
                <w:color w:val="auto"/>
              </w:rPr>
              <w:t>本项目废水总排放口污染物排放执行</w:t>
            </w:r>
            <w:r>
              <w:rPr>
                <w:rFonts w:hint="eastAsia"/>
                <w:color w:val="auto"/>
                <w:lang w:eastAsia="zh-CN"/>
              </w:rPr>
              <w:t>淮北龙湖污水处理厂</w:t>
            </w:r>
            <w:r>
              <w:rPr>
                <w:rFonts w:hint="eastAsia"/>
                <w:color w:val="auto"/>
              </w:rPr>
              <w:t>接管限值及《污水综合排放标准》（GB8978-1996）表4中三级标准要求，具体标准值见下表。</w:t>
            </w:r>
          </w:p>
          <w:p w14:paraId="01A1EA11">
            <w:pPr>
              <w:widowControl/>
              <w:numPr>
                <w:ilvl w:val="0"/>
                <w:numId w:val="7"/>
              </w:numPr>
              <w:jc w:val="center"/>
              <w:rPr>
                <w:b/>
                <w:bCs/>
                <w:color w:val="auto"/>
                <w:kern w:val="0"/>
                <w:szCs w:val="21"/>
              </w:rPr>
            </w:pPr>
            <w:r>
              <w:rPr>
                <w:rFonts w:hint="eastAsia"/>
                <w:b/>
                <w:bCs/>
                <w:color w:val="auto"/>
                <w:kern w:val="0"/>
                <w:szCs w:val="21"/>
              </w:rPr>
              <w:t>表</w:t>
            </w:r>
            <w:r>
              <w:rPr>
                <w:rFonts w:hint="eastAsia"/>
                <w:b/>
                <w:bCs/>
                <w:color w:val="auto"/>
                <w:kern w:val="0"/>
                <w:szCs w:val="21"/>
                <w:lang w:val="en-US" w:eastAsia="zh-CN"/>
              </w:rPr>
              <w:t>3-9</w:t>
            </w:r>
            <w:r>
              <w:rPr>
                <w:b/>
                <w:bCs/>
                <w:color w:val="auto"/>
              </w:rPr>
              <w:t xml:space="preserve">  </w:t>
            </w:r>
            <w:r>
              <w:rPr>
                <w:rFonts w:hint="eastAsia"/>
                <w:b/>
                <w:bCs/>
                <w:color w:val="auto"/>
              </w:rPr>
              <w:t>本项目污水排放标准限值</w:t>
            </w:r>
            <w:r>
              <w:rPr>
                <w:b/>
                <w:bCs/>
                <w:color w:val="auto"/>
              </w:rPr>
              <w:t xml:space="preserve">   </w:t>
            </w:r>
            <w:r>
              <w:rPr>
                <w:rFonts w:hint="eastAsia"/>
                <w:b/>
                <w:bCs/>
                <w:color w:val="auto"/>
              </w:rPr>
              <w:t>单位：</w:t>
            </w:r>
            <w:r>
              <w:rPr>
                <w:b/>
                <w:bCs/>
                <w:color w:val="auto"/>
              </w:rPr>
              <w:t>mg/L</w:t>
            </w:r>
            <w:r>
              <w:rPr>
                <w:rFonts w:hint="eastAsia"/>
                <w:b/>
                <w:bCs/>
                <w:color w:val="auto"/>
              </w:rPr>
              <w:t>，</w:t>
            </w:r>
            <w:r>
              <w:rPr>
                <w:b/>
                <w:bCs/>
                <w:color w:val="auto"/>
              </w:rPr>
              <w:t>pH</w:t>
            </w:r>
            <w:r>
              <w:rPr>
                <w:rFonts w:hint="eastAsia"/>
                <w:b/>
                <w:bCs/>
                <w:color w:val="auto"/>
              </w:rPr>
              <w:t>值除外</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0"/>
              <w:gridCol w:w="694"/>
              <w:gridCol w:w="877"/>
              <w:gridCol w:w="950"/>
              <w:gridCol w:w="833"/>
              <w:gridCol w:w="1056"/>
              <w:gridCol w:w="625"/>
              <w:gridCol w:w="695"/>
            </w:tblGrid>
            <w:tr w14:paraId="373CC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2" w:type="pct"/>
                  <w:vAlign w:val="center"/>
                </w:tcPr>
                <w:p w14:paraId="054DAC77">
                  <w:pPr>
                    <w:spacing w:line="240" w:lineRule="auto"/>
                    <w:jc w:val="center"/>
                    <w:rPr>
                      <w:b/>
                      <w:color w:val="auto"/>
                      <w:sz w:val="21"/>
                      <w:szCs w:val="21"/>
                    </w:rPr>
                  </w:pPr>
                  <w:r>
                    <w:rPr>
                      <w:b/>
                      <w:color w:val="auto"/>
                      <w:sz w:val="21"/>
                      <w:szCs w:val="21"/>
                    </w:rPr>
                    <w:t>污染物</w:t>
                  </w:r>
                </w:p>
              </w:tc>
              <w:tc>
                <w:tcPr>
                  <w:tcW w:w="421" w:type="pct"/>
                  <w:vAlign w:val="center"/>
                </w:tcPr>
                <w:p w14:paraId="5C05277D">
                  <w:pPr>
                    <w:tabs>
                      <w:tab w:val="right" w:leader="middleDot" w:pos="8505"/>
                    </w:tabs>
                    <w:spacing w:line="240" w:lineRule="auto"/>
                    <w:jc w:val="center"/>
                    <w:rPr>
                      <w:b/>
                      <w:color w:val="auto"/>
                      <w:sz w:val="21"/>
                      <w:szCs w:val="21"/>
                    </w:rPr>
                  </w:pPr>
                  <w:r>
                    <w:rPr>
                      <w:b/>
                      <w:color w:val="auto"/>
                      <w:sz w:val="21"/>
                      <w:szCs w:val="21"/>
                    </w:rPr>
                    <w:t>pH</w:t>
                  </w:r>
                </w:p>
              </w:tc>
              <w:tc>
                <w:tcPr>
                  <w:tcW w:w="532" w:type="pct"/>
                  <w:vAlign w:val="center"/>
                </w:tcPr>
                <w:p w14:paraId="3E17967F">
                  <w:pPr>
                    <w:tabs>
                      <w:tab w:val="right" w:leader="middleDot" w:pos="8505"/>
                    </w:tabs>
                    <w:spacing w:line="240" w:lineRule="auto"/>
                    <w:jc w:val="center"/>
                    <w:rPr>
                      <w:b/>
                      <w:color w:val="auto"/>
                      <w:sz w:val="21"/>
                      <w:szCs w:val="21"/>
                    </w:rPr>
                  </w:pPr>
                  <w:r>
                    <w:rPr>
                      <w:b/>
                      <w:color w:val="auto"/>
                      <w:sz w:val="21"/>
                      <w:szCs w:val="21"/>
                    </w:rPr>
                    <w:t>COD</w:t>
                  </w:r>
                </w:p>
              </w:tc>
              <w:tc>
                <w:tcPr>
                  <w:tcW w:w="576" w:type="pct"/>
                  <w:vAlign w:val="center"/>
                </w:tcPr>
                <w:p w14:paraId="149E0598">
                  <w:pPr>
                    <w:spacing w:line="240" w:lineRule="auto"/>
                    <w:jc w:val="center"/>
                    <w:rPr>
                      <w:b/>
                      <w:color w:val="auto"/>
                      <w:sz w:val="21"/>
                      <w:szCs w:val="21"/>
                    </w:rPr>
                  </w:pPr>
                  <w:r>
                    <w:rPr>
                      <w:b/>
                      <w:color w:val="auto"/>
                      <w:sz w:val="21"/>
                      <w:szCs w:val="21"/>
                    </w:rPr>
                    <w:t>BOD</w:t>
                  </w:r>
                  <w:r>
                    <w:rPr>
                      <w:b/>
                      <w:color w:val="auto"/>
                      <w:sz w:val="21"/>
                      <w:szCs w:val="21"/>
                      <w:vertAlign w:val="subscript"/>
                    </w:rPr>
                    <w:t>5</w:t>
                  </w:r>
                </w:p>
              </w:tc>
              <w:tc>
                <w:tcPr>
                  <w:tcW w:w="505" w:type="pct"/>
                  <w:vAlign w:val="center"/>
                </w:tcPr>
                <w:p w14:paraId="159E42D5">
                  <w:pPr>
                    <w:spacing w:line="240" w:lineRule="auto"/>
                    <w:jc w:val="center"/>
                    <w:rPr>
                      <w:b/>
                      <w:color w:val="auto"/>
                      <w:sz w:val="21"/>
                      <w:szCs w:val="21"/>
                    </w:rPr>
                  </w:pPr>
                  <w:r>
                    <w:rPr>
                      <w:b/>
                      <w:color w:val="auto"/>
                      <w:sz w:val="21"/>
                      <w:szCs w:val="21"/>
                    </w:rPr>
                    <w:t>SS</w:t>
                  </w:r>
                </w:p>
              </w:tc>
              <w:tc>
                <w:tcPr>
                  <w:tcW w:w="640" w:type="pct"/>
                  <w:vAlign w:val="center"/>
                </w:tcPr>
                <w:p w14:paraId="3CDAAA61">
                  <w:pPr>
                    <w:spacing w:line="240" w:lineRule="auto"/>
                    <w:jc w:val="center"/>
                    <w:rPr>
                      <w:b/>
                      <w:color w:val="auto"/>
                      <w:sz w:val="21"/>
                      <w:szCs w:val="21"/>
                    </w:rPr>
                  </w:pPr>
                  <w:r>
                    <w:rPr>
                      <w:b/>
                      <w:color w:val="auto"/>
                      <w:sz w:val="21"/>
                      <w:szCs w:val="21"/>
                    </w:rPr>
                    <w:t>NH</w:t>
                  </w:r>
                  <w:r>
                    <w:rPr>
                      <w:b/>
                      <w:color w:val="auto"/>
                      <w:sz w:val="21"/>
                      <w:szCs w:val="21"/>
                      <w:vertAlign w:val="subscript"/>
                    </w:rPr>
                    <w:t>3</w:t>
                  </w:r>
                  <w:r>
                    <w:rPr>
                      <w:b/>
                      <w:color w:val="auto"/>
                      <w:sz w:val="21"/>
                      <w:szCs w:val="21"/>
                    </w:rPr>
                    <w:t>-N</w:t>
                  </w:r>
                </w:p>
              </w:tc>
              <w:tc>
                <w:tcPr>
                  <w:tcW w:w="379" w:type="pct"/>
                  <w:vAlign w:val="center"/>
                </w:tcPr>
                <w:p w14:paraId="6665342A">
                  <w:pPr>
                    <w:spacing w:line="240" w:lineRule="auto"/>
                    <w:jc w:val="center"/>
                    <w:rPr>
                      <w:b/>
                      <w:color w:val="auto"/>
                      <w:sz w:val="21"/>
                      <w:szCs w:val="21"/>
                    </w:rPr>
                  </w:pPr>
                  <w:r>
                    <w:rPr>
                      <w:b/>
                      <w:color w:val="auto"/>
                      <w:sz w:val="21"/>
                      <w:szCs w:val="21"/>
                    </w:rPr>
                    <w:t>TP</w:t>
                  </w:r>
                </w:p>
              </w:tc>
              <w:tc>
                <w:tcPr>
                  <w:tcW w:w="421" w:type="pct"/>
                  <w:vAlign w:val="center"/>
                </w:tcPr>
                <w:p w14:paraId="5A15D2AE">
                  <w:pPr>
                    <w:spacing w:line="240" w:lineRule="auto"/>
                    <w:jc w:val="center"/>
                    <w:rPr>
                      <w:b/>
                      <w:color w:val="auto"/>
                      <w:sz w:val="21"/>
                      <w:szCs w:val="21"/>
                    </w:rPr>
                  </w:pPr>
                  <w:r>
                    <w:rPr>
                      <w:b/>
                      <w:color w:val="auto"/>
                      <w:sz w:val="21"/>
                      <w:szCs w:val="21"/>
                    </w:rPr>
                    <w:t>TN</w:t>
                  </w:r>
                </w:p>
              </w:tc>
            </w:tr>
            <w:tr w14:paraId="73C95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522" w:type="pct"/>
                  <w:vAlign w:val="center"/>
                </w:tcPr>
                <w:p w14:paraId="52FFF0BE">
                  <w:pPr>
                    <w:spacing w:line="240" w:lineRule="auto"/>
                    <w:jc w:val="center"/>
                    <w:rPr>
                      <w:color w:val="auto"/>
                      <w:sz w:val="21"/>
                      <w:szCs w:val="21"/>
                    </w:rPr>
                  </w:pPr>
                  <w:r>
                    <w:rPr>
                      <w:rFonts w:hint="eastAsia"/>
                      <w:bCs/>
                      <w:color w:val="auto"/>
                      <w:sz w:val="21"/>
                      <w:szCs w:val="21"/>
                      <w:lang w:eastAsia="zh-CN"/>
                    </w:rPr>
                    <w:t>淮北龙湖污水处理厂</w:t>
                  </w:r>
                  <w:r>
                    <w:rPr>
                      <w:bCs/>
                      <w:color w:val="auto"/>
                      <w:sz w:val="21"/>
                      <w:szCs w:val="21"/>
                    </w:rPr>
                    <w:t>接管限值</w:t>
                  </w:r>
                </w:p>
              </w:tc>
              <w:tc>
                <w:tcPr>
                  <w:tcW w:w="421" w:type="pct"/>
                  <w:vAlign w:val="center"/>
                </w:tcPr>
                <w:p w14:paraId="4A83C70E">
                  <w:pPr>
                    <w:pStyle w:val="16"/>
                    <w:spacing w:line="240" w:lineRule="auto"/>
                    <w:jc w:val="center"/>
                    <w:rPr>
                      <w:color w:val="auto"/>
                      <w:kern w:val="2"/>
                      <w:sz w:val="21"/>
                      <w:szCs w:val="21"/>
                    </w:rPr>
                  </w:pPr>
                  <w:r>
                    <w:rPr>
                      <w:color w:val="auto"/>
                      <w:kern w:val="2"/>
                      <w:sz w:val="21"/>
                      <w:szCs w:val="21"/>
                    </w:rPr>
                    <w:t>6~9</w:t>
                  </w:r>
                </w:p>
              </w:tc>
              <w:tc>
                <w:tcPr>
                  <w:tcW w:w="532" w:type="pct"/>
                  <w:vAlign w:val="center"/>
                </w:tcPr>
                <w:p w14:paraId="23D8BD22">
                  <w:pPr>
                    <w:pStyle w:val="16"/>
                    <w:spacing w:line="240" w:lineRule="auto"/>
                    <w:jc w:val="center"/>
                    <w:rPr>
                      <w:color w:val="auto"/>
                      <w:kern w:val="2"/>
                      <w:sz w:val="21"/>
                      <w:szCs w:val="21"/>
                    </w:rPr>
                  </w:pPr>
                  <w:r>
                    <w:rPr>
                      <w:color w:val="auto"/>
                      <w:kern w:val="2"/>
                      <w:sz w:val="21"/>
                      <w:szCs w:val="21"/>
                    </w:rPr>
                    <w:t>≤500</w:t>
                  </w:r>
                </w:p>
              </w:tc>
              <w:tc>
                <w:tcPr>
                  <w:tcW w:w="576" w:type="pct"/>
                  <w:vAlign w:val="center"/>
                </w:tcPr>
                <w:p w14:paraId="649D9DE4">
                  <w:pPr>
                    <w:pStyle w:val="16"/>
                    <w:spacing w:line="240" w:lineRule="auto"/>
                    <w:jc w:val="center"/>
                    <w:rPr>
                      <w:color w:val="auto"/>
                      <w:kern w:val="2"/>
                      <w:sz w:val="21"/>
                      <w:szCs w:val="21"/>
                    </w:rPr>
                  </w:pPr>
                  <w:r>
                    <w:rPr>
                      <w:color w:val="auto"/>
                      <w:kern w:val="2"/>
                      <w:sz w:val="21"/>
                      <w:szCs w:val="21"/>
                    </w:rPr>
                    <w:t>≤300</w:t>
                  </w:r>
                </w:p>
              </w:tc>
              <w:tc>
                <w:tcPr>
                  <w:tcW w:w="505" w:type="pct"/>
                  <w:vAlign w:val="center"/>
                </w:tcPr>
                <w:p w14:paraId="72F08A2D">
                  <w:pPr>
                    <w:pStyle w:val="16"/>
                    <w:spacing w:line="240" w:lineRule="auto"/>
                    <w:jc w:val="center"/>
                    <w:rPr>
                      <w:color w:val="auto"/>
                      <w:kern w:val="2"/>
                      <w:sz w:val="21"/>
                      <w:szCs w:val="21"/>
                    </w:rPr>
                  </w:pPr>
                  <w:r>
                    <w:rPr>
                      <w:color w:val="auto"/>
                      <w:kern w:val="2"/>
                      <w:sz w:val="21"/>
                      <w:szCs w:val="21"/>
                    </w:rPr>
                    <w:t>≤</w:t>
                  </w:r>
                  <w:r>
                    <w:rPr>
                      <w:rFonts w:hint="eastAsia"/>
                      <w:color w:val="auto"/>
                      <w:kern w:val="2"/>
                      <w:sz w:val="21"/>
                      <w:szCs w:val="21"/>
                    </w:rPr>
                    <w:t>250</w:t>
                  </w:r>
                </w:p>
              </w:tc>
              <w:tc>
                <w:tcPr>
                  <w:tcW w:w="640" w:type="pct"/>
                  <w:vAlign w:val="center"/>
                </w:tcPr>
                <w:p w14:paraId="5C5D8FB9">
                  <w:pPr>
                    <w:pStyle w:val="16"/>
                    <w:spacing w:line="240" w:lineRule="auto"/>
                    <w:jc w:val="center"/>
                    <w:rPr>
                      <w:color w:val="auto"/>
                      <w:kern w:val="2"/>
                      <w:sz w:val="21"/>
                      <w:szCs w:val="21"/>
                    </w:rPr>
                  </w:pPr>
                  <w:r>
                    <w:rPr>
                      <w:color w:val="auto"/>
                      <w:kern w:val="2"/>
                      <w:sz w:val="21"/>
                      <w:szCs w:val="21"/>
                    </w:rPr>
                    <w:t>≤3</w:t>
                  </w:r>
                  <w:r>
                    <w:rPr>
                      <w:rFonts w:hint="eastAsia"/>
                      <w:color w:val="auto"/>
                      <w:kern w:val="2"/>
                      <w:sz w:val="21"/>
                      <w:szCs w:val="21"/>
                    </w:rPr>
                    <w:t>0</w:t>
                  </w:r>
                </w:p>
              </w:tc>
              <w:tc>
                <w:tcPr>
                  <w:tcW w:w="379" w:type="pct"/>
                  <w:vAlign w:val="center"/>
                </w:tcPr>
                <w:p w14:paraId="18D1B088">
                  <w:pPr>
                    <w:pStyle w:val="16"/>
                    <w:spacing w:line="240" w:lineRule="auto"/>
                    <w:jc w:val="center"/>
                    <w:rPr>
                      <w:color w:val="auto"/>
                      <w:kern w:val="2"/>
                      <w:sz w:val="21"/>
                      <w:szCs w:val="21"/>
                    </w:rPr>
                  </w:pPr>
                  <w:r>
                    <w:rPr>
                      <w:color w:val="auto"/>
                      <w:kern w:val="2"/>
                      <w:sz w:val="21"/>
                      <w:szCs w:val="21"/>
                    </w:rPr>
                    <w:t>≤</w:t>
                  </w:r>
                  <w:r>
                    <w:rPr>
                      <w:rFonts w:hint="eastAsia"/>
                      <w:color w:val="auto"/>
                      <w:kern w:val="2"/>
                      <w:sz w:val="21"/>
                      <w:szCs w:val="21"/>
                    </w:rPr>
                    <w:t>6</w:t>
                  </w:r>
                </w:p>
              </w:tc>
              <w:tc>
                <w:tcPr>
                  <w:tcW w:w="421" w:type="pct"/>
                  <w:vAlign w:val="center"/>
                </w:tcPr>
                <w:p w14:paraId="404EB1A7">
                  <w:pPr>
                    <w:pStyle w:val="16"/>
                    <w:spacing w:line="240" w:lineRule="auto"/>
                    <w:jc w:val="center"/>
                    <w:rPr>
                      <w:color w:val="auto"/>
                      <w:kern w:val="2"/>
                      <w:sz w:val="21"/>
                      <w:szCs w:val="21"/>
                    </w:rPr>
                  </w:pPr>
                  <w:r>
                    <w:rPr>
                      <w:color w:val="auto"/>
                      <w:kern w:val="2"/>
                      <w:sz w:val="21"/>
                      <w:szCs w:val="21"/>
                    </w:rPr>
                    <w:t>≤</w:t>
                  </w:r>
                  <w:r>
                    <w:rPr>
                      <w:rFonts w:hint="eastAsia"/>
                      <w:color w:val="auto"/>
                      <w:kern w:val="2"/>
                      <w:sz w:val="21"/>
                      <w:szCs w:val="21"/>
                    </w:rPr>
                    <w:t>50</w:t>
                  </w:r>
                </w:p>
              </w:tc>
            </w:tr>
            <w:tr w14:paraId="0574A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2" w:type="pct"/>
                  <w:vAlign w:val="center"/>
                </w:tcPr>
                <w:p w14:paraId="7ABC43B2">
                  <w:pPr>
                    <w:spacing w:line="240" w:lineRule="auto"/>
                    <w:jc w:val="center"/>
                    <w:rPr>
                      <w:color w:val="auto"/>
                      <w:sz w:val="21"/>
                      <w:szCs w:val="21"/>
                      <w:lang w:bidi="ar"/>
                    </w:rPr>
                  </w:pPr>
                  <w:r>
                    <w:rPr>
                      <w:color w:val="auto"/>
                      <w:sz w:val="21"/>
                      <w:szCs w:val="21"/>
                      <w:lang w:bidi="ar"/>
                    </w:rPr>
                    <w:t>（GB8978-1996）表4中三级标准</w:t>
                  </w:r>
                </w:p>
              </w:tc>
              <w:tc>
                <w:tcPr>
                  <w:tcW w:w="421" w:type="pct"/>
                  <w:vAlign w:val="center"/>
                </w:tcPr>
                <w:p w14:paraId="5FF7183E">
                  <w:pPr>
                    <w:pStyle w:val="16"/>
                    <w:spacing w:line="240" w:lineRule="auto"/>
                    <w:jc w:val="center"/>
                    <w:rPr>
                      <w:color w:val="auto"/>
                      <w:kern w:val="2"/>
                      <w:sz w:val="21"/>
                      <w:szCs w:val="21"/>
                    </w:rPr>
                  </w:pPr>
                  <w:r>
                    <w:rPr>
                      <w:color w:val="auto"/>
                      <w:kern w:val="2"/>
                      <w:sz w:val="21"/>
                      <w:szCs w:val="21"/>
                    </w:rPr>
                    <w:t>6~9</w:t>
                  </w:r>
                </w:p>
              </w:tc>
              <w:tc>
                <w:tcPr>
                  <w:tcW w:w="532" w:type="pct"/>
                  <w:vAlign w:val="center"/>
                </w:tcPr>
                <w:p w14:paraId="0BC68DEE">
                  <w:pPr>
                    <w:pStyle w:val="16"/>
                    <w:spacing w:line="240" w:lineRule="auto"/>
                    <w:jc w:val="center"/>
                    <w:rPr>
                      <w:color w:val="auto"/>
                      <w:kern w:val="2"/>
                      <w:sz w:val="21"/>
                      <w:szCs w:val="21"/>
                    </w:rPr>
                  </w:pPr>
                  <w:r>
                    <w:rPr>
                      <w:color w:val="auto"/>
                      <w:kern w:val="2"/>
                      <w:sz w:val="21"/>
                      <w:szCs w:val="21"/>
                    </w:rPr>
                    <w:t>≤500</w:t>
                  </w:r>
                </w:p>
              </w:tc>
              <w:tc>
                <w:tcPr>
                  <w:tcW w:w="576" w:type="pct"/>
                  <w:vAlign w:val="center"/>
                </w:tcPr>
                <w:p w14:paraId="64283531">
                  <w:pPr>
                    <w:pStyle w:val="16"/>
                    <w:spacing w:line="240" w:lineRule="auto"/>
                    <w:jc w:val="center"/>
                    <w:rPr>
                      <w:color w:val="auto"/>
                      <w:kern w:val="2"/>
                      <w:sz w:val="21"/>
                      <w:szCs w:val="21"/>
                    </w:rPr>
                  </w:pPr>
                  <w:r>
                    <w:rPr>
                      <w:color w:val="auto"/>
                      <w:kern w:val="2"/>
                      <w:sz w:val="21"/>
                      <w:szCs w:val="21"/>
                    </w:rPr>
                    <w:t>≤300</w:t>
                  </w:r>
                </w:p>
              </w:tc>
              <w:tc>
                <w:tcPr>
                  <w:tcW w:w="505" w:type="pct"/>
                  <w:vAlign w:val="center"/>
                </w:tcPr>
                <w:p w14:paraId="6C51E221">
                  <w:pPr>
                    <w:pStyle w:val="16"/>
                    <w:spacing w:line="240" w:lineRule="auto"/>
                    <w:jc w:val="center"/>
                    <w:rPr>
                      <w:color w:val="auto"/>
                      <w:kern w:val="2"/>
                      <w:sz w:val="21"/>
                      <w:szCs w:val="21"/>
                    </w:rPr>
                  </w:pPr>
                  <w:r>
                    <w:rPr>
                      <w:color w:val="auto"/>
                      <w:kern w:val="2"/>
                      <w:sz w:val="21"/>
                      <w:szCs w:val="21"/>
                    </w:rPr>
                    <w:t>≤400</w:t>
                  </w:r>
                </w:p>
              </w:tc>
              <w:tc>
                <w:tcPr>
                  <w:tcW w:w="640" w:type="pct"/>
                  <w:vAlign w:val="center"/>
                </w:tcPr>
                <w:p w14:paraId="08088A45">
                  <w:pPr>
                    <w:pStyle w:val="16"/>
                    <w:spacing w:line="240" w:lineRule="auto"/>
                    <w:jc w:val="center"/>
                    <w:rPr>
                      <w:color w:val="auto"/>
                      <w:kern w:val="2"/>
                      <w:sz w:val="21"/>
                      <w:szCs w:val="21"/>
                    </w:rPr>
                  </w:pPr>
                  <w:r>
                    <w:rPr>
                      <w:color w:val="auto"/>
                      <w:kern w:val="2"/>
                      <w:sz w:val="21"/>
                      <w:szCs w:val="21"/>
                    </w:rPr>
                    <w:t>/</w:t>
                  </w:r>
                </w:p>
              </w:tc>
              <w:tc>
                <w:tcPr>
                  <w:tcW w:w="379" w:type="pct"/>
                  <w:vAlign w:val="center"/>
                </w:tcPr>
                <w:p w14:paraId="6B5EF35A">
                  <w:pPr>
                    <w:pStyle w:val="16"/>
                    <w:spacing w:line="240" w:lineRule="auto"/>
                    <w:jc w:val="center"/>
                    <w:rPr>
                      <w:color w:val="auto"/>
                      <w:kern w:val="2"/>
                      <w:sz w:val="21"/>
                      <w:szCs w:val="21"/>
                    </w:rPr>
                  </w:pPr>
                  <w:r>
                    <w:rPr>
                      <w:color w:val="auto"/>
                      <w:kern w:val="2"/>
                      <w:sz w:val="21"/>
                      <w:szCs w:val="21"/>
                    </w:rPr>
                    <w:t>/</w:t>
                  </w:r>
                </w:p>
              </w:tc>
              <w:tc>
                <w:tcPr>
                  <w:tcW w:w="421" w:type="pct"/>
                  <w:vAlign w:val="center"/>
                </w:tcPr>
                <w:p w14:paraId="4A8B95E3">
                  <w:pPr>
                    <w:pStyle w:val="16"/>
                    <w:spacing w:line="240" w:lineRule="auto"/>
                    <w:jc w:val="center"/>
                    <w:rPr>
                      <w:color w:val="auto"/>
                      <w:kern w:val="2"/>
                      <w:sz w:val="21"/>
                      <w:szCs w:val="21"/>
                    </w:rPr>
                  </w:pPr>
                  <w:r>
                    <w:rPr>
                      <w:color w:val="auto"/>
                      <w:kern w:val="2"/>
                      <w:sz w:val="21"/>
                      <w:szCs w:val="21"/>
                    </w:rPr>
                    <w:t>/</w:t>
                  </w:r>
                </w:p>
              </w:tc>
            </w:tr>
            <w:tr w14:paraId="42ED6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2" w:type="pct"/>
                  <w:vAlign w:val="center"/>
                </w:tcPr>
                <w:p w14:paraId="7DC860E0">
                  <w:pPr>
                    <w:spacing w:line="240" w:lineRule="auto"/>
                    <w:jc w:val="center"/>
                    <w:rPr>
                      <w:color w:val="auto"/>
                      <w:sz w:val="21"/>
                      <w:szCs w:val="21"/>
                      <w:lang w:bidi="ar"/>
                    </w:rPr>
                  </w:pPr>
                  <w:r>
                    <w:rPr>
                      <w:color w:val="auto"/>
                      <w:sz w:val="21"/>
                      <w:szCs w:val="21"/>
                      <w:lang w:bidi="ar"/>
                    </w:rPr>
                    <w:t>本项目废水排放标准</w:t>
                  </w:r>
                </w:p>
              </w:tc>
              <w:tc>
                <w:tcPr>
                  <w:tcW w:w="421" w:type="pct"/>
                  <w:vAlign w:val="center"/>
                </w:tcPr>
                <w:p w14:paraId="2F5A7451">
                  <w:pPr>
                    <w:pStyle w:val="16"/>
                    <w:spacing w:line="240" w:lineRule="auto"/>
                    <w:jc w:val="center"/>
                    <w:rPr>
                      <w:color w:val="auto"/>
                      <w:kern w:val="2"/>
                      <w:sz w:val="21"/>
                      <w:szCs w:val="21"/>
                    </w:rPr>
                  </w:pPr>
                  <w:r>
                    <w:rPr>
                      <w:color w:val="auto"/>
                      <w:kern w:val="2"/>
                      <w:sz w:val="21"/>
                      <w:szCs w:val="21"/>
                    </w:rPr>
                    <w:t>6~9</w:t>
                  </w:r>
                </w:p>
              </w:tc>
              <w:tc>
                <w:tcPr>
                  <w:tcW w:w="532" w:type="pct"/>
                  <w:vAlign w:val="center"/>
                </w:tcPr>
                <w:p w14:paraId="6F8E6CFC">
                  <w:pPr>
                    <w:pStyle w:val="16"/>
                    <w:spacing w:line="240" w:lineRule="auto"/>
                    <w:jc w:val="center"/>
                    <w:rPr>
                      <w:color w:val="auto"/>
                      <w:kern w:val="2"/>
                      <w:sz w:val="21"/>
                      <w:szCs w:val="21"/>
                    </w:rPr>
                  </w:pPr>
                  <w:r>
                    <w:rPr>
                      <w:color w:val="auto"/>
                      <w:kern w:val="2"/>
                      <w:sz w:val="21"/>
                      <w:szCs w:val="21"/>
                    </w:rPr>
                    <w:t>≤</w:t>
                  </w:r>
                  <w:r>
                    <w:rPr>
                      <w:rFonts w:hint="eastAsia"/>
                      <w:color w:val="auto"/>
                      <w:kern w:val="2"/>
                      <w:sz w:val="21"/>
                      <w:szCs w:val="21"/>
                    </w:rPr>
                    <w:t>50</w:t>
                  </w:r>
                  <w:r>
                    <w:rPr>
                      <w:color w:val="auto"/>
                      <w:kern w:val="2"/>
                      <w:sz w:val="21"/>
                      <w:szCs w:val="21"/>
                    </w:rPr>
                    <w:t>0</w:t>
                  </w:r>
                </w:p>
              </w:tc>
              <w:tc>
                <w:tcPr>
                  <w:tcW w:w="576" w:type="pct"/>
                  <w:vAlign w:val="center"/>
                </w:tcPr>
                <w:p w14:paraId="402A1F3E">
                  <w:pPr>
                    <w:pStyle w:val="16"/>
                    <w:spacing w:line="240" w:lineRule="auto"/>
                    <w:jc w:val="center"/>
                    <w:rPr>
                      <w:color w:val="auto"/>
                      <w:kern w:val="2"/>
                      <w:sz w:val="21"/>
                      <w:szCs w:val="21"/>
                    </w:rPr>
                  </w:pPr>
                  <w:r>
                    <w:rPr>
                      <w:color w:val="auto"/>
                      <w:kern w:val="2"/>
                      <w:sz w:val="21"/>
                      <w:szCs w:val="21"/>
                    </w:rPr>
                    <w:t>≤</w:t>
                  </w:r>
                  <w:r>
                    <w:rPr>
                      <w:rFonts w:hint="eastAsia"/>
                      <w:color w:val="auto"/>
                      <w:kern w:val="2"/>
                      <w:sz w:val="21"/>
                      <w:szCs w:val="21"/>
                    </w:rPr>
                    <w:t>30</w:t>
                  </w:r>
                  <w:r>
                    <w:rPr>
                      <w:color w:val="auto"/>
                      <w:kern w:val="2"/>
                      <w:sz w:val="21"/>
                      <w:szCs w:val="21"/>
                    </w:rPr>
                    <w:t>0</w:t>
                  </w:r>
                </w:p>
              </w:tc>
              <w:tc>
                <w:tcPr>
                  <w:tcW w:w="505" w:type="pct"/>
                  <w:vAlign w:val="center"/>
                </w:tcPr>
                <w:p w14:paraId="29423FD0">
                  <w:pPr>
                    <w:pStyle w:val="16"/>
                    <w:spacing w:line="240" w:lineRule="auto"/>
                    <w:jc w:val="center"/>
                    <w:rPr>
                      <w:color w:val="auto"/>
                      <w:kern w:val="2"/>
                      <w:sz w:val="21"/>
                      <w:szCs w:val="21"/>
                    </w:rPr>
                  </w:pPr>
                  <w:r>
                    <w:rPr>
                      <w:color w:val="auto"/>
                      <w:kern w:val="2"/>
                      <w:sz w:val="21"/>
                      <w:szCs w:val="21"/>
                    </w:rPr>
                    <w:t>≤</w:t>
                  </w:r>
                  <w:r>
                    <w:rPr>
                      <w:rFonts w:hint="eastAsia"/>
                      <w:color w:val="auto"/>
                      <w:kern w:val="2"/>
                      <w:sz w:val="21"/>
                      <w:szCs w:val="21"/>
                    </w:rPr>
                    <w:t>250</w:t>
                  </w:r>
                </w:p>
              </w:tc>
              <w:tc>
                <w:tcPr>
                  <w:tcW w:w="640" w:type="pct"/>
                  <w:vAlign w:val="center"/>
                </w:tcPr>
                <w:p w14:paraId="67C7E412">
                  <w:pPr>
                    <w:pStyle w:val="16"/>
                    <w:spacing w:line="240" w:lineRule="auto"/>
                    <w:jc w:val="center"/>
                    <w:rPr>
                      <w:color w:val="auto"/>
                      <w:kern w:val="2"/>
                      <w:sz w:val="21"/>
                      <w:szCs w:val="21"/>
                    </w:rPr>
                  </w:pPr>
                  <w:r>
                    <w:rPr>
                      <w:color w:val="auto"/>
                      <w:kern w:val="2"/>
                      <w:sz w:val="21"/>
                      <w:szCs w:val="21"/>
                    </w:rPr>
                    <w:t>≤3</w:t>
                  </w:r>
                  <w:r>
                    <w:rPr>
                      <w:rFonts w:hint="eastAsia"/>
                      <w:color w:val="auto"/>
                      <w:kern w:val="2"/>
                      <w:sz w:val="21"/>
                      <w:szCs w:val="21"/>
                    </w:rPr>
                    <w:t>0</w:t>
                  </w:r>
                </w:p>
              </w:tc>
              <w:tc>
                <w:tcPr>
                  <w:tcW w:w="379" w:type="pct"/>
                  <w:vAlign w:val="center"/>
                </w:tcPr>
                <w:p w14:paraId="4387C6FD">
                  <w:pPr>
                    <w:pStyle w:val="16"/>
                    <w:spacing w:line="240" w:lineRule="auto"/>
                    <w:jc w:val="center"/>
                    <w:rPr>
                      <w:color w:val="auto"/>
                      <w:kern w:val="2"/>
                      <w:sz w:val="21"/>
                      <w:szCs w:val="21"/>
                    </w:rPr>
                  </w:pPr>
                  <w:r>
                    <w:rPr>
                      <w:color w:val="auto"/>
                      <w:kern w:val="2"/>
                      <w:sz w:val="21"/>
                      <w:szCs w:val="21"/>
                    </w:rPr>
                    <w:t>≤</w:t>
                  </w:r>
                  <w:r>
                    <w:rPr>
                      <w:rFonts w:hint="eastAsia"/>
                      <w:color w:val="auto"/>
                      <w:kern w:val="2"/>
                      <w:sz w:val="21"/>
                      <w:szCs w:val="21"/>
                    </w:rPr>
                    <w:t>6</w:t>
                  </w:r>
                </w:p>
              </w:tc>
              <w:tc>
                <w:tcPr>
                  <w:tcW w:w="421" w:type="pct"/>
                  <w:vAlign w:val="center"/>
                </w:tcPr>
                <w:p w14:paraId="0BAC9FBB">
                  <w:pPr>
                    <w:pStyle w:val="16"/>
                    <w:spacing w:line="240" w:lineRule="auto"/>
                    <w:jc w:val="center"/>
                    <w:rPr>
                      <w:color w:val="auto"/>
                      <w:kern w:val="2"/>
                      <w:sz w:val="21"/>
                      <w:szCs w:val="21"/>
                    </w:rPr>
                  </w:pPr>
                  <w:r>
                    <w:rPr>
                      <w:color w:val="auto"/>
                      <w:kern w:val="2"/>
                      <w:sz w:val="21"/>
                      <w:szCs w:val="21"/>
                    </w:rPr>
                    <w:t>≤</w:t>
                  </w:r>
                  <w:r>
                    <w:rPr>
                      <w:rFonts w:hint="eastAsia"/>
                      <w:color w:val="auto"/>
                      <w:kern w:val="2"/>
                      <w:sz w:val="21"/>
                      <w:szCs w:val="21"/>
                    </w:rPr>
                    <w:t>50</w:t>
                  </w:r>
                </w:p>
              </w:tc>
            </w:tr>
          </w:tbl>
          <w:p w14:paraId="4253C20A">
            <w:pPr>
              <w:numPr>
                <w:ilvl w:val="0"/>
                <w:numId w:val="6"/>
              </w:numPr>
              <w:ind w:firstLine="0" w:firstLineChars="0"/>
              <w:rPr>
                <w:rFonts w:hint="eastAsia"/>
                <w:b/>
                <w:bCs/>
                <w:color w:val="auto"/>
                <w:kern w:val="0"/>
                <w:szCs w:val="21"/>
              </w:rPr>
            </w:pPr>
            <w:r>
              <w:rPr>
                <w:rFonts w:hint="eastAsia"/>
                <w:b/>
                <w:bCs/>
                <w:color w:val="auto"/>
                <w:kern w:val="0"/>
                <w:szCs w:val="21"/>
              </w:rPr>
              <w:t>噪声</w:t>
            </w:r>
          </w:p>
          <w:p w14:paraId="1FAC5295">
            <w:pPr>
              <w:ind w:firstLine="480"/>
              <w:rPr>
                <w:color w:val="auto"/>
              </w:rPr>
            </w:pPr>
            <w:r>
              <w:rPr>
                <w:rFonts w:hint="eastAsia"/>
                <w:color w:val="auto"/>
              </w:rPr>
              <w:t>施工区厂界噪声排放执行《建筑施工场界环境噪声排放标准》（GB 12523-20</w:t>
            </w:r>
            <w:r>
              <w:rPr>
                <w:rFonts w:hint="eastAsia"/>
                <w:color w:val="auto"/>
                <w:lang w:val="en-US" w:eastAsia="zh-CN"/>
              </w:rPr>
              <w:t>25</w:t>
            </w:r>
            <w:r>
              <w:rPr>
                <w:rFonts w:hint="eastAsia"/>
                <w:color w:val="auto"/>
              </w:rPr>
              <w:t>）表1中规定的排放限值；</w:t>
            </w:r>
            <w:r>
              <w:rPr>
                <w:color w:val="auto"/>
              </w:rPr>
              <w:t>营运期厂界噪声排放执行《工业企业厂界环境噪声排放标准》</w:t>
            </w:r>
            <w:r>
              <w:rPr>
                <w:rFonts w:hint="eastAsia"/>
                <w:color w:val="auto"/>
              </w:rPr>
              <w:t>（</w:t>
            </w:r>
            <w:r>
              <w:rPr>
                <w:color w:val="auto"/>
              </w:rPr>
              <w:t>GB12348-2008</w:t>
            </w:r>
            <w:r>
              <w:rPr>
                <w:rFonts w:hint="eastAsia"/>
                <w:color w:val="auto"/>
              </w:rPr>
              <w:t>）</w:t>
            </w:r>
            <w:r>
              <w:rPr>
                <w:color w:val="auto"/>
              </w:rPr>
              <w:t>中</w:t>
            </w:r>
            <w:r>
              <w:rPr>
                <w:rFonts w:hint="eastAsia"/>
                <w:color w:val="auto"/>
                <w:lang w:val="en-US" w:eastAsia="zh-CN"/>
              </w:rPr>
              <w:t>3</w:t>
            </w:r>
            <w:r>
              <w:rPr>
                <w:color w:val="auto"/>
              </w:rPr>
              <w:t>类标准</w:t>
            </w:r>
            <w:r>
              <w:rPr>
                <w:rFonts w:hint="eastAsia"/>
                <w:color w:val="auto"/>
              </w:rPr>
              <w:t>，</w:t>
            </w:r>
            <w:r>
              <w:rPr>
                <w:color w:val="auto"/>
              </w:rPr>
              <w:t>具体标准值见</w:t>
            </w:r>
            <w:r>
              <w:rPr>
                <w:rFonts w:hint="eastAsia"/>
                <w:color w:val="auto"/>
              </w:rPr>
              <w:t>下</w:t>
            </w:r>
            <w:r>
              <w:rPr>
                <w:color w:val="auto"/>
              </w:rPr>
              <w:t>表。</w:t>
            </w:r>
          </w:p>
          <w:p w14:paraId="1B07FA37">
            <w:pPr>
              <w:ind w:firstLine="0" w:firstLineChars="0"/>
              <w:jc w:val="center"/>
              <w:rPr>
                <w:rFonts w:hint="eastAsia"/>
                <w:color w:val="auto"/>
              </w:rPr>
            </w:pPr>
            <w:r>
              <w:rPr>
                <w:rFonts w:hint="eastAsia"/>
                <w:b/>
                <w:bCs/>
                <w:color w:val="auto"/>
                <w:kern w:val="0"/>
                <w:szCs w:val="21"/>
              </w:rPr>
              <w:t>表</w:t>
            </w:r>
            <w:r>
              <w:rPr>
                <w:rFonts w:hint="eastAsia"/>
                <w:b/>
                <w:bCs/>
                <w:color w:val="auto"/>
                <w:kern w:val="0"/>
                <w:szCs w:val="21"/>
                <w:lang w:val="en-US" w:eastAsia="zh-CN"/>
              </w:rPr>
              <w:t>3-8</w:t>
            </w:r>
            <w:r>
              <w:rPr>
                <w:rFonts w:hint="eastAsia"/>
                <w:b/>
                <w:bCs/>
                <w:color w:val="auto"/>
              </w:rPr>
              <w:t xml:space="preserve">  </w:t>
            </w:r>
            <w:r>
              <w:rPr>
                <w:b/>
                <w:bCs/>
                <w:color w:val="auto"/>
              </w:rPr>
              <w:t>工业企业厂界环境噪声排放标准   等效声级Leq:dB（A）</w:t>
            </w:r>
          </w:p>
          <w:tbl>
            <w:tblPr>
              <w:tblStyle w:val="23"/>
              <w:tblW w:w="82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3"/>
              <w:gridCol w:w="2784"/>
              <w:gridCol w:w="2732"/>
            </w:tblGrid>
            <w:tr w14:paraId="59A1B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3" w:type="dxa"/>
                  <w:noWrap w:val="0"/>
                  <w:vAlign w:val="top"/>
                </w:tcPr>
                <w:p w14:paraId="6FD49182">
                  <w:pPr>
                    <w:spacing w:line="240" w:lineRule="auto"/>
                    <w:ind w:firstLine="422"/>
                    <w:jc w:val="center"/>
                    <w:rPr>
                      <w:rFonts w:hint="eastAsia"/>
                      <w:b/>
                      <w:bCs/>
                      <w:color w:val="auto"/>
                      <w:sz w:val="21"/>
                      <w:szCs w:val="21"/>
                    </w:rPr>
                  </w:pPr>
                  <w:r>
                    <w:rPr>
                      <w:rFonts w:hint="eastAsia"/>
                      <w:b/>
                      <w:bCs/>
                      <w:color w:val="auto"/>
                      <w:sz w:val="21"/>
                      <w:szCs w:val="21"/>
                    </w:rPr>
                    <w:t>类别</w:t>
                  </w:r>
                </w:p>
              </w:tc>
              <w:tc>
                <w:tcPr>
                  <w:tcW w:w="2784" w:type="dxa"/>
                  <w:noWrap w:val="0"/>
                  <w:vAlign w:val="top"/>
                </w:tcPr>
                <w:p w14:paraId="3BA7D231">
                  <w:pPr>
                    <w:spacing w:line="240" w:lineRule="auto"/>
                    <w:ind w:firstLine="422"/>
                    <w:jc w:val="center"/>
                    <w:rPr>
                      <w:rFonts w:hint="eastAsia"/>
                      <w:b/>
                      <w:bCs/>
                      <w:color w:val="auto"/>
                      <w:sz w:val="21"/>
                      <w:szCs w:val="21"/>
                    </w:rPr>
                  </w:pPr>
                  <w:r>
                    <w:rPr>
                      <w:rFonts w:hint="eastAsia"/>
                      <w:b/>
                      <w:bCs/>
                      <w:color w:val="auto"/>
                      <w:sz w:val="21"/>
                      <w:szCs w:val="21"/>
                    </w:rPr>
                    <w:t>昼间</w:t>
                  </w:r>
                </w:p>
              </w:tc>
              <w:tc>
                <w:tcPr>
                  <w:tcW w:w="2732" w:type="dxa"/>
                  <w:noWrap w:val="0"/>
                  <w:vAlign w:val="top"/>
                </w:tcPr>
                <w:p w14:paraId="4B49D16E">
                  <w:pPr>
                    <w:spacing w:line="240" w:lineRule="auto"/>
                    <w:ind w:firstLine="422"/>
                    <w:jc w:val="center"/>
                    <w:rPr>
                      <w:rFonts w:hint="eastAsia"/>
                      <w:b/>
                      <w:bCs/>
                      <w:color w:val="auto"/>
                      <w:sz w:val="21"/>
                      <w:szCs w:val="21"/>
                    </w:rPr>
                  </w:pPr>
                  <w:r>
                    <w:rPr>
                      <w:rFonts w:hint="eastAsia"/>
                      <w:b/>
                      <w:bCs/>
                      <w:color w:val="auto"/>
                      <w:sz w:val="21"/>
                      <w:szCs w:val="21"/>
                    </w:rPr>
                    <w:t>夜间</w:t>
                  </w:r>
                </w:p>
              </w:tc>
            </w:tr>
            <w:tr w14:paraId="33EC3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3" w:type="dxa"/>
                  <w:noWrap w:val="0"/>
                  <w:vAlign w:val="top"/>
                </w:tcPr>
                <w:p w14:paraId="7D6A557C">
                  <w:pPr>
                    <w:spacing w:line="240" w:lineRule="auto"/>
                    <w:ind w:firstLine="420"/>
                    <w:jc w:val="center"/>
                    <w:rPr>
                      <w:rFonts w:hint="eastAsia"/>
                      <w:color w:val="auto"/>
                      <w:sz w:val="21"/>
                      <w:szCs w:val="21"/>
                    </w:rPr>
                  </w:pPr>
                  <w:r>
                    <w:rPr>
                      <w:rFonts w:hint="eastAsia"/>
                      <w:color w:val="auto"/>
                      <w:sz w:val="21"/>
                      <w:szCs w:val="21"/>
                      <w:lang w:val="en-US" w:eastAsia="zh-CN"/>
                    </w:rPr>
                    <w:t>3</w:t>
                  </w:r>
                  <w:r>
                    <w:rPr>
                      <w:rFonts w:hint="eastAsia"/>
                      <w:color w:val="auto"/>
                      <w:sz w:val="21"/>
                      <w:szCs w:val="21"/>
                    </w:rPr>
                    <w:t>类</w:t>
                  </w:r>
                </w:p>
              </w:tc>
              <w:tc>
                <w:tcPr>
                  <w:tcW w:w="2784" w:type="dxa"/>
                  <w:noWrap w:val="0"/>
                  <w:vAlign w:val="top"/>
                </w:tcPr>
                <w:p w14:paraId="2157A6AE">
                  <w:pPr>
                    <w:spacing w:line="240" w:lineRule="auto"/>
                    <w:ind w:firstLine="420"/>
                    <w:jc w:val="center"/>
                    <w:rPr>
                      <w:rFonts w:hint="eastAsia" w:eastAsia="宋体"/>
                      <w:color w:val="auto"/>
                      <w:sz w:val="21"/>
                      <w:szCs w:val="21"/>
                      <w:lang w:eastAsia="zh-CN"/>
                    </w:rPr>
                  </w:pPr>
                  <w:r>
                    <w:rPr>
                      <w:rFonts w:hint="eastAsia"/>
                      <w:color w:val="auto"/>
                      <w:sz w:val="21"/>
                      <w:szCs w:val="21"/>
                    </w:rPr>
                    <w:t>6</w:t>
                  </w:r>
                  <w:r>
                    <w:rPr>
                      <w:rFonts w:hint="eastAsia"/>
                      <w:color w:val="auto"/>
                      <w:sz w:val="21"/>
                      <w:szCs w:val="21"/>
                      <w:lang w:val="en-US" w:eastAsia="zh-CN"/>
                    </w:rPr>
                    <w:t>5</w:t>
                  </w:r>
                </w:p>
              </w:tc>
              <w:tc>
                <w:tcPr>
                  <w:tcW w:w="2732" w:type="dxa"/>
                  <w:noWrap w:val="0"/>
                  <w:vAlign w:val="top"/>
                </w:tcPr>
                <w:p w14:paraId="743A17F8">
                  <w:pPr>
                    <w:spacing w:line="240" w:lineRule="auto"/>
                    <w:ind w:firstLine="420"/>
                    <w:jc w:val="center"/>
                    <w:rPr>
                      <w:rFonts w:hint="eastAsia" w:eastAsia="宋体"/>
                      <w:color w:val="auto"/>
                      <w:sz w:val="21"/>
                      <w:szCs w:val="21"/>
                      <w:lang w:eastAsia="zh-CN"/>
                    </w:rPr>
                  </w:pPr>
                  <w:r>
                    <w:rPr>
                      <w:rFonts w:hint="eastAsia"/>
                      <w:color w:val="auto"/>
                      <w:sz w:val="21"/>
                      <w:szCs w:val="21"/>
                    </w:rPr>
                    <w:t>5</w:t>
                  </w:r>
                  <w:r>
                    <w:rPr>
                      <w:rFonts w:hint="eastAsia"/>
                      <w:color w:val="auto"/>
                      <w:sz w:val="21"/>
                      <w:szCs w:val="21"/>
                      <w:lang w:val="en-US" w:eastAsia="zh-CN"/>
                    </w:rPr>
                    <w:t>5</w:t>
                  </w:r>
                </w:p>
              </w:tc>
            </w:tr>
          </w:tbl>
          <w:p w14:paraId="26F3E52C">
            <w:pPr>
              <w:ind w:firstLine="0" w:firstLineChars="0"/>
              <w:jc w:val="center"/>
              <w:rPr>
                <w:b/>
                <w:bCs/>
                <w:color w:val="auto"/>
              </w:rPr>
            </w:pPr>
            <w:r>
              <w:rPr>
                <w:rFonts w:hint="eastAsia"/>
                <w:b/>
                <w:bCs/>
                <w:color w:val="auto"/>
                <w:kern w:val="0"/>
                <w:szCs w:val="21"/>
              </w:rPr>
              <w:t>表</w:t>
            </w:r>
            <w:r>
              <w:rPr>
                <w:rFonts w:hint="eastAsia"/>
                <w:b/>
                <w:bCs/>
                <w:color w:val="auto"/>
                <w:kern w:val="0"/>
                <w:szCs w:val="21"/>
                <w:lang w:val="en-US" w:eastAsia="zh-CN"/>
              </w:rPr>
              <w:t>3-9</w:t>
            </w:r>
            <w:r>
              <w:rPr>
                <w:rFonts w:hint="eastAsia"/>
                <w:b/>
                <w:bCs/>
                <w:color w:val="auto"/>
              </w:rPr>
              <w:t xml:space="preserve">  建筑施工场界环境噪声排放标准   </w:t>
            </w:r>
            <w:r>
              <w:rPr>
                <w:b/>
                <w:bCs/>
                <w:color w:val="auto"/>
              </w:rPr>
              <w:t>等效声级Leq:dB（A）</w:t>
            </w:r>
          </w:p>
          <w:tbl>
            <w:tblPr>
              <w:tblStyle w:val="23"/>
              <w:tblW w:w="82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5"/>
              <w:gridCol w:w="4124"/>
            </w:tblGrid>
            <w:tr w14:paraId="02F1E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5" w:type="dxa"/>
                  <w:noWrap w:val="0"/>
                  <w:vAlign w:val="top"/>
                </w:tcPr>
                <w:p w14:paraId="5790D22B">
                  <w:pPr>
                    <w:spacing w:line="240" w:lineRule="auto"/>
                    <w:ind w:firstLine="422"/>
                    <w:jc w:val="center"/>
                    <w:rPr>
                      <w:rFonts w:hint="eastAsia"/>
                      <w:b/>
                      <w:bCs/>
                      <w:color w:val="auto"/>
                      <w:sz w:val="21"/>
                      <w:szCs w:val="21"/>
                    </w:rPr>
                  </w:pPr>
                  <w:r>
                    <w:rPr>
                      <w:rFonts w:hint="eastAsia"/>
                      <w:b/>
                      <w:bCs/>
                      <w:color w:val="auto"/>
                      <w:sz w:val="21"/>
                      <w:szCs w:val="21"/>
                    </w:rPr>
                    <w:t>昼间</w:t>
                  </w:r>
                </w:p>
              </w:tc>
              <w:tc>
                <w:tcPr>
                  <w:tcW w:w="4124" w:type="dxa"/>
                  <w:noWrap w:val="0"/>
                  <w:vAlign w:val="top"/>
                </w:tcPr>
                <w:p w14:paraId="7B36035D">
                  <w:pPr>
                    <w:spacing w:line="240" w:lineRule="auto"/>
                    <w:ind w:firstLine="422"/>
                    <w:jc w:val="center"/>
                    <w:rPr>
                      <w:rFonts w:hint="eastAsia"/>
                      <w:b/>
                      <w:bCs/>
                      <w:color w:val="auto"/>
                      <w:sz w:val="21"/>
                      <w:szCs w:val="21"/>
                    </w:rPr>
                  </w:pPr>
                  <w:r>
                    <w:rPr>
                      <w:rFonts w:hint="eastAsia"/>
                      <w:b/>
                      <w:bCs/>
                      <w:color w:val="auto"/>
                      <w:sz w:val="21"/>
                      <w:szCs w:val="21"/>
                    </w:rPr>
                    <w:t>夜间</w:t>
                  </w:r>
                </w:p>
              </w:tc>
            </w:tr>
            <w:tr w14:paraId="5CBFB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5" w:type="dxa"/>
                  <w:noWrap w:val="0"/>
                  <w:vAlign w:val="top"/>
                </w:tcPr>
                <w:p w14:paraId="62BFB1C4">
                  <w:pPr>
                    <w:spacing w:line="240" w:lineRule="auto"/>
                    <w:ind w:firstLine="420"/>
                    <w:jc w:val="center"/>
                    <w:rPr>
                      <w:rFonts w:hint="eastAsia"/>
                      <w:color w:val="auto"/>
                      <w:sz w:val="21"/>
                      <w:szCs w:val="21"/>
                    </w:rPr>
                  </w:pPr>
                  <w:r>
                    <w:rPr>
                      <w:rFonts w:hint="eastAsia"/>
                      <w:color w:val="auto"/>
                      <w:sz w:val="21"/>
                      <w:szCs w:val="21"/>
                    </w:rPr>
                    <w:t>70</w:t>
                  </w:r>
                </w:p>
              </w:tc>
              <w:tc>
                <w:tcPr>
                  <w:tcW w:w="4124" w:type="dxa"/>
                  <w:noWrap w:val="0"/>
                  <w:vAlign w:val="top"/>
                </w:tcPr>
                <w:p w14:paraId="7CAB8B99">
                  <w:pPr>
                    <w:spacing w:line="240" w:lineRule="auto"/>
                    <w:ind w:firstLine="420"/>
                    <w:jc w:val="center"/>
                    <w:rPr>
                      <w:rFonts w:hint="eastAsia"/>
                      <w:color w:val="auto"/>
                      <w:sz w:val="21"/>
                      <w:szCs w:val="21"/>
                    </w:rPr>
                  </w:pPr>
                  <w:r>
                    <w:rPr>
                      <w:rFonts w:hint="eastAsia"/>
                      <w:color w:val="auto"/>
                      <w:sz w:val="21"/>
                      <w:szCs w:val="21"/>
                    </w:rPr>
                    <w:t>55</w:t>
                  </w:r>
                </w:p>
              </w:tc>
            </w:tr>
          </w:tbl>
          <w:p w14:paraId="6E19C2A8">
            <w:pPr>
              <w:numPr>
                <w:ilvl w:val="0"/>
                <w:numId w:val="6"/>
              </w:numPr>
              <w:ind w:firstLine="0" w:firstLineChars="0"/>
              <w:rPr>
                <w:rFonts w:hint="eastAsia"/>
                <w:b/>
                <w:bCs/>
                <w:color w:val="auto"/>
                <w:kern w:val="0"/>
                <w:szCs w:val="21"/>
              </w:rPr>
            </w:pPr>
            <w:r>
              <w:rPr>
                <w:rFonts w:hint="eastAsia"/>
                <w:b/>
                <w:bCs/>
                <w:color w:val="auto"/>
                <w:kern w:val="0"/>
                <w:szCs w:val="21"/>
              </w:rPr>
              <w:t>固废</w:t>
            </w:r>
          </w:p>
          <w:p w14:paraId="02A2F73B">
            <w:pPr>
              <w:ind w:firstLine="480"/>
              <w:rPr>
                <w:color w:val="auto"/>
                <w:kern w:val="0"/>
                <w:szCs w:val="21"/>
              </w:rPr>
            </w:pPr>
            <w:r>
              <w:rPr>
                <w:rFonts w:hint="eastAsia"/>
                <w:color w:val="auto"/>
              </w:rPr>
              <w:t>本项目</w:t>
            </w:r>
            <w:r>
              <w:rPr>
                <w:color w:val="auto"/>
              </w:rPr>
              <w:t>一般工业固体废物</w:t>
            </w:r>
            <w:r>
              <w:rPr>
                <w:rFonts w:hint="eastAsia"/>
                <w:color w:val="auto"/>
              </w:rPr>
              <w:t>贮存</w:t>
            </w:r>
            <w:r>
              <w:rPr>
                <w:color w:val="auto"/>
              </w:rPr>
              <w:t>执行</w:t>
            </w:r>
            <w:r>
              <w:rPr>
                <w:rFonts w:hint="eastAsia"/>
                <w:color w:val="auto"/>
              </w:rPr>
              <w:t>《中华人民共和国固体废物污染环境防治法》（中华人民共和国主席令第四十三号）、</w:t>
            </w:r>
            <w:r>
              <w:rPr>
                <w:color w:val="auto"/>
              </w:rPr>
              <w:t>《一般工业固体废物贮存和填埋污染控制标准》（GB18599-202</w:t>
            </w:r>
            <w:r>
              <w:rPr>
                <w:rFonts w:hint="eastAsia"/>
                <w:color w:val="auto"/>
              </w:rPr>
              <w:t>0</w:t>
            </w:r>
            <w:r>
              <w:rPr>
                <w:color w:val="auto"/>
              </w:rPr>
              <w:t>）标准要求；危险废物</w:t>
            </w:r>
            <w:r>
              <w:rPr>
                <w:rFonts w:hint="eastAsia"/>
                <w:color w:val="auto"/>
              </w:rPr>
              <w:t>贮存</w:t>
            </w:r>
            <w:r>
              <w:rPr>
                <w:color w:val="auto"/>
              </w:rPr>
              <w:t>执行《危险废物贮存污染控制标准》（GB18597-20</w:t>
            </w:r>
            <w:r>
              <w:rPr>
                <w:rFonts w:hint="eastAsia"/>
                <w:color w:val="auto"/>
                <w:lang w:val="en-US" w:eastAsia="zh-CN"/>
              </w:rPr>
              <w:t>23</w:t>
            </w:r>
            <w:r>
              <w:rPr>
                <w:color w:val="auto"/>
              </w:rPr>
              <w:t>）</w:t>
            </w:r>
            <w:r>
              <w:rPr>
                <w:rFonts w:hint="eastAsia"/>
                <w:color w:val="auto"/>
              </w:rPr>
              <w:t>要求。</w:t>
            </w:r>
          </w:p>
        </w:tc>
      </w:tr>
      <w:tr w14:paraId="6CC316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521" w:type="dxa"/>
            <w:noWrap w:val="0"/>
            <w:vAlign w:val="center"/>
          </w:tcPr>
          <w:p w14:paraId="14CE7E6A">
            <w:pPr>
              <w:adjustRightInd w:val="0"/>
              <w:snapToGrid w:val="0"/>
              <w:ind w:firstLine="0" w:firstLineChars="0"/>
              <w:jc w:val="center"/>
              <w:rPr>
                <w:color w:val="auto"/>
                <w:kern w:val="0"/>
                <w:szCs w:val="21"/>
              </w:rPr>
            </w:pPr>
            <w:r>
              <w:rPr>
                <w:color w:val="auto"/>
                <w:kern w:val="0"/>
                <w:szCs w:val="21"/>
              </w:rPr>
              <w:t>总量</w:t>
            </w:r>
          </w:p>
          <w:p w14:paraId="08E19421">
            <w:pPr>
              <w:adjustRightInd w:val="0"/>
              <w:snapToGrid w:val="0"/>
              <w:ind w:firstLine="0" w:firstLineChars="0"/>
              <w:jc w:val="center"/>
              <w:rPr>
                <w:color w:val="auto"/>
                <w:kern w:val="0"/>
                <w:szCs w:val="21"/>
              </w:rPr>
            </w:pPr>
            <w:r>
              <w:rPr>
                <w:color w:val="auto"/>
                <w:kern w:val="0"/>
                <w:szCs w:val="21"/>
              </w:rPr>
              <w:t>控制</w:t>
            </w:r>
          </w:p>
          <w:p w14:paraId="00BCAEFB">
            <w:pPr>
              <w:adjustRightInd w:val="0"/>
              <w:snapToGrid w:val="0"/>
              <w:ind w:firstLine="0" w:firstLineChars="0"/>
              <w:jc w:val="center"/>
              <w:rPr>
                <w:color w:val="auto"/>
                <w:kern w:val="0"/>
                <w:szCs w:val="21"/>
              </w:rPr>
            </w:pPr>
            <w:r>
              <w:rPr>
                <w:color w:val="auto"/>
                <w:kern w:val="0"/>
                <w:szCs w:val="21"/>
              </w:rPr>
              <w:t>指标</w:t>
            </w:r>
          </w:p>
        </w:tc>
        <w:tc>
          <w:tcPr>
            <w:tcW w:w="8469" w:type="dxa"/>
            <w:noWrap w:val="0"/>
            <w:vAlign w:val="top"/>
          </w:tcPr>
          <w:p w14:paraId="33484DE8">
            <w:pPr>
              <w:ind w:firstLine="482"/>
              <w:rPr>
                <w:b/>
                <w:color w:val="auto"/>
              </w:rPr>
            </w:pPr>
            <w:r>
              <w:rPr>
                <w:b/>
                <w:color w:val="auto"/>
              </w:rPr>
              <w:t>大气污染物：</w:t>
            </w:r>
          </w:p>
          <w:p w14:paraId="738D78E6">
            <w:pPr>
              <w:ind w:firstLine="480"/>
              <w:rPr>
                <w:bCs/>
                <w:color w:val="auto"/>
                <w:szCs w:val="20"/>
              </w:rPr>
            </w:pPr>
            <w:r>
              <w:rPr>
                <w:color w:val="auto"/>
                <w:szCs w:val="20"/>
              </w:rPr>
              <w:t>实行污染物排放总量控制是我国环境保护工作的重大举措之一，对有效控制环境污染、实行经济、社会和环境的协调发展起着十分重要的作用。国家对</w:t>
            </w:r>
            <w:r>
              <w:rPr>
                <w:color w:val="auto"/>
                <w:kern w:val="0"/>
                <w:szCs w:val="20"/>
              </w:rPr>
              <w:t>COD、</w:t>
            </w:r>
            <w:r>
              <w:rPr>
                <w:color w:val="auto"/>
                <w:szCs w:val="20"/>
              </w:rPr>
              <w:t>NH</w:t>
            </w:r>
            <w:r>
              <w:rPr>
                <w:color w:val="auto"/>
                <w:szCs w:val="20"/>
                <w:vertAlign w:val="subscript"/>
              </w:rPr>
              <w:t>3</w:t>
            </w:r>
            <w:r>
              <w:rPr>
                <w:color w:val="auto"/>
                <w:szCs w:val="20"/>
              </w:rPr>
              <w:t>-N</w:t>
            </w:r>
            <w:r>
              <w:rPr>
                <w:color w:val="auto"/>
                <w:kern w:val="0"/>
                <w:szCs w:val="20"/>
              </w:rPr>
              <w:t>和烟（</w:t>
            </w:r>
            <w:r>
              <w:rPr>
                <w:color w:val="auto"/>
                <w:szCs w:val="20"/>
              </w:rPr>
              <w:t>粉</w:t>
            </w:r>
            <w:r>
              <w:rPr>
                <w:color w:val="auto"/>
                <w:kern w:val="0"/>
                <w:szCs w:val="20"/>
              </w:rPr>
              <w:t>）</w:t>
            </w:r>
            <w:r>
              <w:rPr>
                <w:color w:val="auto"/>
                <w:szCs w:val="20"/>
              </w:rPr>
              <w:t>尘、</w:t>
            </w:r>
            <w:r>
              <w:rPr>
                <w:color w:val="auto"/>
                <w:kern w:val="0"/>
                <w:szCs w:val="20"/>
              </w:rPr>
              <w:t>SO</w:t>
            </w:r>
            <w:r>
              <w:rPr>
                <w:color w:val="auto"/>
                <w:szCs w:val="20"/>
                <w:vertAlign w:val="subscript"/>
              </w:rPr>
              <w:t>2</w:t>
            </w:r>
            <w:r>
              <w:rPr>
                <w:color w:val="auto"/>
                <w:kern w:val="0"/>
                <w:szCs w:val="20"/>
              </w:rPr>
              <w:t>、NO</w:t>
            </w:r>
            <w:r>
              <w:rPr>
                <w:color w:val="auto"/>
                <w:szCs w:val="20"/>
              </w:rPr>
              <w:t>x、VOCs等主要污染物实行排放总量控制计划管理；对汞、铬、镉、铅和类金属砷等5种重金属进行重点监控与污染物排放量控制。结合本次工程污染物产生特点，在坚持</w:t>
            </w:r>
            <w:r>
              <w:rPr>
                <w:rFonts w:hint="eastAsia"/>
                <w:color w:val="auto"/>
                <w:szCs w:val="20"/>
              </w:rPr>
              <w:t>“</w:t>
            </w:r>
            <w:r>
              <w:rPr>
                <w:color w:val="auto"/>
                <w:szCs w:val="20"/>
              </w:rPr>
              <w:t>清洁生产</w:t>
            </w:r>
            <w:r>
              <w:rPr>
                <w:rFonts w:hint="eastAsia"/>
                <w:color w:val="auto"/>
                <w:szCs w:val="20"/>
              </w:rPr>
              <w:t>”</w:t>
            </w:r>
            <w:r>
              <w:rPr>
                <w:color w:val="auto"/>
                <w:szCs w:val="20"/>
              </w:rPr>
              <w:t>和</w:t>
            </w:r>
            <w:r>
              <w:rPr>
                <w:rFonts w:hint="eastAsia"/>
                <w:color w:val="auto"/>
                <w:szCs w:val="20"/>
              </w:rPr>
              <w:t>“</w:t>
            </w:r>
            <w:r>
              <w:rPr>
                <w:color w:val="auto"/>
                <w:szCs w:val="20"/>
              </w:rPr>
              <w:t>达标排放</w:t>
            </w:r>
            <w:r>
              <w:rPr>
                <w:rFonts w:hint="eastAsia"/>
                <w:color w:val="auto"/>
                <w:szCs w:val="20"/>
              </w:rPr>
              <w:t>”</w:t>
            </w:r>
            <w:r>
              <w:rPr>
                <w:color w:val="auto"/>
                <w:szCs w:val="20"/>
              </w:rPr>
              <w:t>原则的前提下，确定本次工程污染物总量控制因子为：VOCs</w:t>
            </w:r>
            <w:r>
              <w:rPr>
                <w:rFonts w:hint="eastAsia"/>
                <w:color w:val="auto"/>
                <w:szCs w:val="20"/>
              </w:rPr>
              <w:t>、</w:t>
            </w:r>
            <w:r>
              <w:rPr>
                <w:color w:val="auto"/>
                <w:kern w:val="0"/>
                <w:szCs w:val="20"/>
              </w:rPr>
              <w:t>烟（</w:t>
            </w:r>
            <w:r>
              <w:rPr>
                <w:color w:val="auto"/>
                <w:szCs w:val="20"/>
              </w:rPr>
              <w:t>粉</w:t>
            </w:r>
            <w:r>
              <w:rPr>
                <w:color w:val="auto"/>
                <w:kern w:val="0"/>
                <w:szCs w:val="20"/>
              </w:rPr>
              <w:t>）</w:t>
            </w:r>
            <w:r>
              <w:rPr>
                <w:color w:val="auto"/>
                <w:szCs w:val="20"/>
              </w:rPr>
              <w:t>尘。</w:t>
            </w:r>
          </w:p>
          <w:p w14:paraId="1C62BDD7">
            <w:pPr>
              <w:ind w:firstLine="480"/>
              <w:rPr>
                <w:bCs/>
                <w:color w:val="auto"/>
                <w:szCs w:val="20"/>
              </w:rPr>
            </w:pPr>
            <w:r>
              <w:rPr>
                <w:rFonts w:hint="eastAsia"/>
                <w:color w:val="auto"/>
                <w:kern w:val="0"/>
                <w:szCs w:val="21"/>
              </w:rPr>
              <w:t>本项目</w:t>
            </w:r>
            <w:r>
              <w:rPr>
                <w:rFonts w:hint="eastAsia"/>
                <w:color w:val="auto"/>
                <w:szCs w:val="20"/>
                <w:lang w:val="en-US" w:eastAsia="zh-CN"/>
              </w:rPr>
              <w:t>大气污染物</w:t>
            </w:r>
            <w:r>
              <w:rPr>
                <w:rFonts w:hint="eastAsia"/>
                <w:color w:val="auto"/>
                <w:szCs w:val="20"/>
              </w:rPr>
              <w:t>经处理后最终排放量为</w:t>
            </w:r>
            <w:bookmarkStart w:id="6" w:name="OLE_LINK5"/>
            <w:r>
              <w:rPr>
                <w:color w:val="auto"/>
                <w:szCs w:val="20"/>
              </w:rPr>
              <w:t>VOCs</w:t>
            </w:r>
            <w:r>
              <w:rPr>
                <w:color w:val="auto"/>
              </w:rPr>
              <w:t>：</w:t>
            </w:r>
            <w:r>
              <w:rPr>
                <w:rFonts w:hint="eastAsia"/>
                <w:color w:val="auto"/>
              </w:rPr>
              <w:t>0.</w:t>
            </w:r>
            <w:r>
              <w:rPr>
                <w:rFonts w:hint="eastAsia"/>
                <w:color w:val="auto"/>
                <w:lang w:val="en-US" w:eastAsia="zh-CN"/>
              </w:rPr>
              <w:t>565</w:t>
            </w:r>
            <w:r>
              <w:rPr>
                <w:bCs/>
                <w:color w:val="auto"/>
              </w:rPr>
              <w:t>t/a</w:t>
            </w:r>
            <w:r>
              <w:rPr>
                <w:rFonts w:hint="eastAsia"/>
                <w:bCs/>
                <w:color w:val="auto"/>
              </w:rPr>
              <w:t>、</w:t>
            </w:r>
            <w:r>
              <w:rPr>
                <w:color w:val="auto"/>
                <w:kern w:val="0"/>
                <w:szCs w:val="20"/>
              </w:rPr>
              <w:t>烟（</w:t>
            </w:r>
            <w:r>
              <w:rPr>
                <w:color w:val="auto"/>
                <w:szCs w:val="20"/>
              </w:rPr>
              <w:t>粉</w:t>
            </w:r>
            <w:r>
              <w:rPr>
                <w:color w:val="auto"/>
                <w:kern w:val="0"/>
                <w:szCs w:val="20"/>
              </w:rPr>
              <w:t>）</w:t>
            </w:r>
            <w:r>
              <w:rPr>
                <w:rFonts w:hint="eastAsia"/>
                <w:color w:val="auto"/>
                <w:szCs w:val="20"/>
              </w:rPr>
              <w:t>：</w:t>
            </w:r>
            <w:r>
              <w:rPr>
                <w:rFonts w:hint="eastAsia"/>
                <w:bCs/>
                <w:color w:val="auto"/>
              </w:rPr>
              <w:t>0.</w:t>
            </w:r>
            <w:r>
              <w:rPr>
                <w:rFonts w:hint="eastAsia"/>
                <w:bCs/>
                <w:color w:val="auto"/>
                <w:lang w:val="en-US" w:eastAsia="zh-CN"/>
              </w:rPr>
              <w:t>653</w:t>
            </w:r>
            <w:r>
              <w:rPr>
                <w:bCs/>
                <w:color w:val="auto"/>
              </w:rPr>
              <w:t>t/a</w:t>
            </w:r>
            <w:bookmarkEnd w:id="6"/>
            <w:r>
              <w:rPr>
                <w:rFonts w:hint="eastAsia"/>
                <w:color w:val="auto"/>
                <w:szCs w:val="20"/>
              </w:rPr>
              <w:t>。</w:t>
            </w:r>
            <w:r>
              <w:rPr>
                <w:color w:val="auto"/>
                <w:szCs w:val="20"/>
              </w:rPr>
              <w:t>因此，本项目的建议总量控制指标为VOCs</w:t>
            </w:r>
            <w:r>
              <w:rPr>
                <w:color w:val="auto"/>
              </w:rPr>
              <w:t>：</w:t>
            </w:r>
            <w:r>
              <w:rPr>
                <w:rFonts w:hint="eastAsia"/>
                <w:color w:val="auto"/>
              </w:rPr>
              <w:t>0.</w:t>
            </w:r>
            <w:r>
              <w:rPr>
                <w:rFonts w:hint="eastAsia"/>
                <w:color w:val="auto"/>
                <w:lang w:val="en-US" w:eastAsia="zh-CN"/>
              </w:rPr>
              <w:t>565</w:t>
            </w:r>
            <w:r>
              <w:rPr>
                <w:bCs/>
                <w:color w:val="auto"/>
              </w:rPr>
              <w:t>t/a</w:t>
            </w:r>
            <w:r>
              <w:rPr>
                <w:rFonts w:hint="eastAsia"/>
                <w:bCs/>
                <w:color w:val="auto"/>
              </w:rPr>
              <w:t>、</w:t>
            </w:r>
            <w:r>
              <w:rPr>
                <w:color w:val="auto"/>
                <w:kern w:val="0"/>
                <w:szCs w:val="20"/>
              </w:rPr>
              <w:t>烟（</w:t>
            </w:r>
            <w:r>
              <w:rPr>
                <w:color w:val="auto"/>
                <w:szCs w:val="20"/>
              </w:rPr>
              <w:t>粉</w:t>
            </w:r>
            <w:r>
              <w:rPr>
                <w:color w:val="auto"/>
                <w:kern w:val="0"/>
                <w:szCs w:val="20"/>
              </w:rPr>
              <w:t>）</w:t>
            </w:r>
            <w:r>
              <w:rPr>
                <w:rFonts w:hint="eastAsia"/>
                <w:color w:val="auto"/>
                <w:szCs w:val="20"/>
              </w:rPr>
              <w:t>：</w:t>
            </w:r>
            <w:r>
              <w:rPr>
                <w:rFonts w:hint="eastAsia"/>
                <w:bCs/>
                <w:color w:val="auto"/>
              </w:rPr>
              <w:t>0.</w:t>
            </w:r>
            <w:r>
              <w:rPr>
                <w:rFonts w:hint="eastAsia"/>
                <w:bCs/>
                <w:color w:val="auto"/>
                <w:lang w:val="en-US" w:eastAsia="zh-CN"/>
              </w:rPr>
              <w:t>653</w:t>
            </w:r>
            <w:r>
              <w:rPr>
                <w:bCs/>
                <w:color w:val="auto"/>
              </w:rPr>
              <w:t>t/a</w:t>
            </w:r>
            <w:r>
              <w:rPr>
                <w:rFonts w:hint="eastAsia"/>
                <w:bCs/>
                <w:color w:val="auto"/>
              </w:rPr>
              <w:t>。</w:t>
            </w:r>
          </w:p>
          <w:p w14:paraId="4E5AB774">
            <w:pPr>
              <w:ind w:firstLine="482"/>
              <w:rPr>
                <w:b/>
                <w:color w:val="auto"/>
              </w:rPr>
            </w:pPr>
            <w:r>
              <w:rPr>
                <w:b/>
                <w:color w:val="auto"/>
              </w:rPr>
              <w:t>水污染物：</w:t>
            </w:r>
          </w:p>
          <w:p w14:paraId="1258F868">
            <w:pPr>
              <w:adjustRightInd w:val="0"/>
              <w:ind w:firstLine="480"/>
              <w:rPr>
                <w:color w:val="auto"/>
              </w:rPr>
            </w:pPr>
            <w:r>
              <w:rPr>
                <w:rFonts w:hint="default"/>
                <w:color w:val="auto"/>
                <w:szCs w:val="20"/>
                <w:lang w:val="en-US" w:eastAsia="zh-CN"/>
              </w:rPr>
              <w:t>生活污水</w:t>
            </w:r>
            <w:r>
              <w:rPr>
                <w:rFonts w:hint="eastAsia"/>
                <w:color w:val="auto"/>
                <w:szCs w:val="20"/>
                <w:lang w:val="en-US" w:eastAsia="zh-CN"/>
              </w:rPr>
              <w:t>、保洁废水</w:t>
            </w:r>
            <w:r>
              <w:rPr>
                <w:rFonts w:hint="default"/>
                <w:color w:val="auto"/>
                <w:szCs w:val="20"/>
                <w:lang w:val="en-US" w:eastAsia="zh-CN"/>
              </w:rPr>
              <w:t>经化粪池预处理后</w:t>
            </w:r>
            <w:r>
              <w:rPr>
                <w:rFonts w:hint="eastAsia"/>
                <w:color w:val="auto"/>
                <w:szCs w:val="20"/>
                <w:lang w:val="en-US" w:eastAsia="zh-CN"/>
              </w:rPr>
              <w:t>，汇同循环冷却系统排水</w:t>
            </w:r>
            <w:r>
              <w:rPr>
                <w:rFonts w:hint="default"/>
                <w:color w:val="auto"/>
                <w:szCs w:val="20"/>
                <w:lang w:val="en-US" w:eastAsia="zh-CN"/>
              </w:rPr>
              <w:t>满足排放标准后排</w:t>
            </w:r>
            <w:r>
              <w:rPr>
                <w:rFonts w:hint="eastAsia"/>
                <w:color w:val="auto"/>
                <w:szCs w:val="20"/>
                <w:lang w:val="en-US" w:eastAsia="zh-CN"/>
              </w:rPr>
              <w:t>入</w:t>
            </w:r>
            <w:r>
              <w:rPr>
                <w:rFonts w:hint="default"/>
                <w:color w:val="auto"/>
                <w:szCs w:val="20"/>
                <w:lang w:val="en-US" w:eastAsia="zh-CN"/>
              </w:rPr>
              <w:t>市政污水管网，最终进入</w:t>
            </w:r>
            <w:r>
              <w:rPr>
                <w:rFonts w:hint="eastAsia"/>
                <w:color w:val="auto"/>
                <w:szCs w:val="20"/>
                <w:lang w:val="en-US" w:eastAsia="zh-CN"/>
              </w:rPr>
              <w:t>龙湖污水处理厂</w:t>
            </w:r>
            <w:r>
              <w:rPr>
                <w:rFonts w:hint="default"/>
                <w:color w:val="auto"/>
                <w:szCs w:val="20"/>
                <w:lang w:val="en-US" w:eastAsia="zh-CN"/>
              </w:rPr>
              <w:t>集中处理</w:t>
            </w:r>
            <w:r>
              <w:rPr>
                <w:color w:val="auto"/>
                <w:szCs w:val="20"/>
              </w:rPr>
              <w:t>，</w:t>
            </w:r>
            <w:r>
              <w:rPr>
                <w:rFonts w:hint="eastAsia"/>
                <w:color w:val="auto"/>
              </w:rPr>
              <w:t>本项目</w:t>
            </w:r>
            <w:r>
              <w:rPr>
                <w:rFonts w:hint="eastAsia"/>
                <w:color w:val="auto"/>
                <w:lang w:eastAsia="zh-CN"/>
              </w:rPr>
              <w:t>废水污染物接管</w:t>
            </w:r>
            <w:r>
              <w:rPr>
                <w:rFonts w:hint="eastAsia"/>
                <w:color w:val="auto"/>
              </w:rPr>
              <w:t>排放量为</w:t>
            </w:r>
            <w:r>
              <w:rPr>
                <w:color w:val="auto"/>
              </w:rPr>
              <w:t>：COD：</w:t>
            </w:r>
            <w:r>
              <w:rPr>
                <w:rFonts w:hint="eastAsia"/>
                <w:color w:val="auto"/>
                <w:lang w:val="en-US" w:eastAsia="zh-CN"/>
              </w:rPr>
              <w:t>0.600</w:t>
            </w:r>
            <w:r>
              <w:rPr>
                <w:color w:val="auto"/>
              </w:rPr>
              <w:t>t/a、NH</w:t>
            </w:r>
            <w:r>
              <w:rPr>
                <w:color w:val="auto"/>
                <w:vertAlign w:val="subscript"/>
              </w:rPr>
              <w:t>3</w:t>
            </w:r>
            <w:r>
              <w:rPr>
                <w:color w:val="auto"/>
              </w:rPr>
              <w:t>-N：</w:t>
            </w:r>
            <w:r>
              <w:rPr>
                <w:rFonts w:hint="eastAsia"/>
                <w:color w:val="auto"/>
                <w:lang w:val="en-US" w:eastAsia="zh-CN"/>
              </w:rPr>
              <w:t>0.044</w:t>
            </w:r>
            <w:r>
              <w:rPr>
                <w:color w:val="auto"/>
              </w:rPr>
              <w:t>t/a。</w:t>
            </w:r>
          </w:p>
          <w:p w14:paraId="3DC355D5">
            <w:pPr>
              <w:ind w:firstLine="480"/>
              <w:rPr>
                <w:color w:val="auto"/>
                <w:kern w:val="0"/>
                <w:szCs w:val="21"/>
              </w:rPr>
            </w:pPr>
            <w:r>
              <w:rPr>
                <w:rFonts w:hint="eastAsia"/>
                <w:color w:val="auto"/>
              </w:rPr>
              <w:t>本</w:t>
            </w:r>
            <w:r>
              <w:rPr>
                <w:color w:val="auto"/>
              </w:rPr>
              <w:t>项目废水污染物排放总量计入</w:t>
            </w:r>
            <w:r>
              <w:rPr>
                <w:rFonts w:hint="eastAsia"/>
                <w:color w:val="auto"/>
                <w:szCs w:val="20"/>
                <w:lang w:val="en-US" w:eastAsia="zh-CN"/>
              </w:rPr>
              <w:t>龙湖污水处理厂</w:t>
            </w:r>
            <w:r>
              <w:rPr>
                <w:color w:val="auto"/>
              </w:rPr>
              <w:t>总量指标内，不另行申请总量</w:t>
            </w:r>
            <w:r>
              <w:rPr>
                <w:rFonts w:hint="eastAsia"/>
                <w:color w:val="auto"/>
              </w:rPr>
              <w:t>。</w:t>
            </w:r>
          </w:p>
        </w:tc>
      </w:tr>
    </w:tbl>
    <w:p w14:paraId="194725FD">
      <w:pPr>
        <w:pStyle w:val="20"/>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r>
        <w:rPr>
          <w:rFonts w:hint="eastAsia" w:ascii="黑体" w:hAnsi="黑体" w:eastAsia="黑体"/>
          <w:snapToGrid w:val="0"/>
          <w:color w:val="auto"/>
          <w:sz w:val="30"/>
          <w:szCs w:val="30"/>
        </w:rPr>
        <w:t>四、主要环境影响和保护措施</w:t>
      </w:r>
    </w:p>
    <w:tbl>
      <w:tblPr>
        <w:tblStyle w:val="23"/>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0"/>
        <w:gridCol w:w="8388"/>
      </w:tblGrid>
      <w:tr w14:paraId="284A12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520" w:type="dxa"/>
            <w:noWrap w:val="0"/>
            <w:tcMar>
              <w:left w:w="28" w:type="dxa"/>
              <w:right w:w="28" w:type="dxa"/>
            </w:tcMar>
            <w:vAlign w:val="center"/>
          </w:tcPr>
          <w:p w14:paraId="72C3BC3C">
            <w:pPr>
              <w:ind w:firstLine="0" w:firstLineChars="0"/>
              <w:jc w:val="center"/>
              <w:rPr>
                <w:rFonts w:hint="eastAsia"/>
                <w:color w:val="auto"/>
              </w:rPr>
            </w:pPr>
            <w:r>
              <w:rPr>
                <w:rFonts w:hint="eastAsia"/>
                <w:color w:val="auto"/>
              </w:rPr>
              <w:t>施工</w:t>
            </w:r>
          </w:p>
          <w:p w14:paraId="6BAEA44B">
            <w:pPr>
              <w:ind w:firstLine="0" w:firstLineChars="0"/>
              <w:jc w:val="center"/>
              <w:rPr>
                <w:rFonts w:hint="eastAsia"/>
                <w:color w:val="auto"/>
              </w:rPr>
            </w:pPr>
            <w:r>
              <w:rPr>
                <w:rFonts w:hint="eastAsia"/>
                <w:color w:val="auto"/>
              </w:rPr>
              <w:t>期环</w:t>
            </w:r>
          </w:p>
          <w:p w14:paraId="09BDFE29">
            <w:pPr>
              <w:ind w:firstLine="0" w:firstLineChars="0"/>
              <w:jc w:val="center"/>
              <w:rPr>
                <w:rFonts w:hint="eastAsia"/>
                <w:color w:val="auto"/>
              </w:rPr>
            </w:pPr>
            <w:r>
              <w:rPr>
                <w:rFonts w:hint="eastAsia"/>
                <w:color w:val="auto"/>
              </w:rPr>
              <w:t>境保</w:t>
            </w:r>
          </w:p>
          <w:p w14:paraId="128C881C">
            <w:pPr>
              <w:ind w:firstLine="0" w:firstLineChars="0"/>
              <w:jc w:val="center"/>
              <w:rPr>
                <w:rFonts w:hint="eastAsia"/>
                <w:color w:val="auto"/>
              </w:rPr>
            </w:pPr>
            <w:r>
              <w:rPr>
                <w:rFonts w:hint="eastAsia"/>
                <w:color w:val="auto"/>
              </w:rPr>
              <w:t>护措</w:t>
            </w:r>
          </w:p>
          <w:p w14:paraId="614195FB">
            <w:pPr>
              <w:ind w:firstLine="0" w:firstLineChars="0"/>
              <w:jc w:val="center"/>
              <w:rPr>
                <w:rFonts w:hint="eastAsia"/>
                <w:color w:val="auto"/>
              </w:rPr>
            </w:pPr>
            <w:r>
              <w:rPr>
                <w:rFonts w:hint="eastAsia"/>
                <w:color w:val="auto"/>
              </w:rPr>
              <w:t>施</w:t>
            </w:r>
          </w:p>
        </w:tc>
        <w:tc>
          <w:tcPr>
            <w:tcW w:w="8388" w:type="dxa"/>
            <w:noWrap w:val="0"/>
            <w:vAlign w:val="center"/>
          </w:tcPr>
          <w:p w14:paraId="7EDB267C">
            <w:pPr>
              <w:ind w:firstLine="480"/>
              <w:rPr>
                <w:rFonts w:hint="eastAsia" w:ascii="宋体" w:hAnsi="宋体" w:cs="宋体"/>
                <w:color w:val="auto"/>
                <w:kern w:val="0"/>
              </w:rPr>
            </w:pPr>
            <w:r>
              <w:rPr>
                <w:rFonts w:hint="eastAsia"/>
                <w:color w:val="auto"/>
                <w:kern w:val="0"/>
                <w:lang w:val="en-US" w:eastAsia="zh-CN"/>
              </w:rPr>
              <w:t>淮北路宝橡塑制品有限公司年产4万吨道路桥梁支座项目</w:t>
            </w:r>
            <w:r>
              <w:rPr>
                <w:rFonts w:hint="default" w:ascii="Times New Roman" w:hAnsi="Times New Roman" w:cs="Times New Roman"/>
                <w:color w:val="000000"/>
                <w:spacing w:val="0"/>
                <w:w w:val="100"/>
                <w:position w:val="0"/>
                <w:sz w:val="24"/>
                <w:szCs w:val="24"/>
                <w:u w:val="none"/>
                <w:lang w:eastAsia="zh-CN"/>
              </w:rPr>
              <w:t>租赁</w:t>
            </w:r>
            <w:r>
              <w:rPr>
                <w:rFonts w:hint="default" w:ascii="Times New Roman" w:hAnsi="Times New Roman" w:cs="Times New Roman"/>
                <w:color w:val="000000"/>
                <w:spacing w:val="0"/>
                <w:w w:val="100"/>
                <w:position w:val="0"/>
                <w:sz w:val="24"/>
                <w:szCs w:val="24"/>
                <w:u w:val="none"/>
                <w:lang w:val="en-US" w:eastAsia="zh-CN"/>
              </w:rPr>
              <w:t>并改造</w:t>
            </w:r>
            <w:r>
              <w:rPr>
                <w:rFonts w:hint="default" w:ascii="Times New Roman" w:hAnsi="Times New Roman" w:cs="Times New Roman"/>
                <w:color w:val="000000"/>
                <w:spacing w:val="0"/>
                <w:w w:val="100"/>
                <w:position w:val="0"/>
                <w:sz w:val="24"/>
                <w:szCs w:val="24"/>
                <w:u w:val="none"/>
                <w:lang w:eastAsia="zh-CN"/>
              </w:rPr>
              <w:t>石台镇乡村振兴厂房2号部分厂房及3号</w:t>
            </w:r>
            <w:r>
              <w:rPr>
                <w:rFonts w:hint="eastAsia" w:ascii="Times New Roman" w:hAnsi="Times New Roman" w:cs="Times New Roman"/>
                <w:color w:val="000000"/>
                <w:spacing w:val="0"/>
                <w:w w:val="100"/>
                <w:position w:val="0"/>
                <w:sz w:val="24"/>
                <w:szCs w:val="24"/>
                <w:u w:val="none"/>
                <w:lang w:val="en-US" w:eastAsia="zh-CN"/>
              </w:rPr>
              <w:t>厂房</w:t>
            </w:r>
            <w:r>
              <w:rPr>
                <w:rFonts w:hint="eastAsia"/>
                <w:color w:val="auto"/>
                <w:kern w:val="0"/>
                <w:lang w:eastAsia="zh-CN"/>
              </w:rPr>
              <w:t>，目前</w:t>
            </w:r>
            <w:r>
              <w:rPr>
                <w:rFonts w:hint="eastAsia"/>
                <w:color w:val="auto"/>
                <w:kern w:val="0"/>
                <w:lang w:val="en-US" w:eastAsia="zh-CN"/>
              </w:rPr>
              <w:t>厂房</w:t>
            </w:r>
            <w:r>
              <w:rPr>
                <w:rFonts w:hint="eastAsia"/>
                <w:color w:val="auto"/>
                <w:kern w:val="0"/>
                <w:lang w:eastAsia="zh-CN"/>
              </w:rPr>
              <w:t>基础设施已完工。</w:t>
            </w:r>
            <w:r>
              <w:rPr>
                <w:rFonts w:hint="eastAsia" w:ascii="宋体" w:hAnsi="宋体" w:cs="宋体"/>
                <w:color w:val="auto"/>
                <w:kern w:val="0"/>
                <w:lang w:eastAsia="zh-CN"/>
              </w:rPr>
              <w:t>本项目施工期主要将</w:t>
            </w:r>
            <w:r>
              <w:rPr>
                <w:rFonts w:hint="eastAsia" w:ascii="宋体" w:hAnsi="宋体" w:cs="宋体"/>
                <w:color w:val="auto"/>
                <w:kern w:val="0"/>
              </w:rPr>
              <w:t>设备运输至</w:t>
            </w:r>
            <w:r>
              <w:rPr>
                <w:rFonts w:hint="default" w:ascii="Times New Roman" w:hAnsi="Times New Roman" w:cs="Times New Roman"/>
                <w:color w:val="000000"/>
                <w:spacing w:val="0"/>
                <w:w w:val="100"/>
                <w:position w:val="0"/>
                <w:sz w:val="24"/>
                <w:szCs w:val="24"/>
                <w:u w:val="none"/>
                <w:lang w:eastAsia="zh-CN"/>
              </w:rPr>
              <w:t>石台镇乡村振兴厂房</w:t>
            </w:r>
            <w:r>
              <w:rPr>
                <w:rFonts w:hint="eastAsia" w:ascii="宋体" w:hAnsi="宋体" w:cs="宋体"/>
                <w:color w:val="auto"/>
                <w:kern w:val="0"/>
              </w:rPr>
              <w:t>摆放到位后接电</w:t>
            </w:r>
            <w:r>
              <w:rPr>
                <w:rFonts w:hint="eastAsia" w:ascii="宋体" w:hAnsi="宋体" w:cs="宋体"/>
                <w:color w:val="auto"/>
                <w:kern w:val="0"/>
                <w:lang w:eastAsia="zh-CN"/>
              </w:rPr>
              <w:t>、</w:t>
            </w:r>
            <w:r>
              <w:rPr>
                <w:rFonts w:hint="eastAsia" w:ascii="宋体" w:hAnsi="宋体" w:cs="宋体"/>
                <w:color w:val="auto"/>
                <w:kern w:val="0"/>
                <w:lang w:val="en-US" w:eastAsia="zh-CN"/>
              </w:rPr>
              <w:t>调试</w:t>
            </w:r>
            <w:r>
              <w:rPr>
                <w:rFonts w:hint="eastAsia" w:ascii="宋体" w:hAnsi="宋体" w:cs="宋体"/>
                <w:color w:val="auto"/>
                <w:kern w:val="0"/>
              </w:rPr>
              <w:t>即可</w:t>
            </w:r>
            <w:r>
              <w:rPr>
                <w:rFonts w:hint="eastAsia" w:ascii="宋体" w:hAnsi="宋体" w:cs="宋体"/>
                <w:color w:val="auto"/>
                <w:kern w:val="0"/>
                <w:lang w:eastAsia="zh-CN"/>
              </w:rPr>
              <w:t>进行</w:t>
            </w:r>
            <w:r>
              <w:rPr>
                <w:rFonts w:hint="eastAsia" w:ascii="宋体" w:hAnsi="宋体" w:cs="宋体"/>
                <w:color w:val="auto"/>
                <w:kern w:val="0"/>
                <w:lang w:val="en-US" w:eastAsia="zh-CN"/>
              </w:rPr>
              <w:t>生产</w:t>
            </w:r>
            <w:r>
              <w:rPr>
                <w:rFonts w:hint="eastAsia" w:ascii="宋体" w:hAnsi="宋体" w:cs="宋体"/>
                <w:color w:val="auto"/>
                <w:kern w:val="0"/>
              </w:rPr>
              <w:t>，不新增建筑物。项目施工期产生的污染因素主要为设备搬运、安装及调试噪声以及设备包装废弃物等。设备安装调试产生的噪声较低，只要建设单位加强管理，项目噪声影响很小，包装废弃物全部处理处置，外排量为零。本环评对施工期污染工序不详细描述。</w:t>
            </w:r>
          </w:p>
        </w:tc>
      </w:tr>
    </w:tbl>
    <w:p w14:paraId="712173AF">
      <w:pPr>
        <w:adjustRightInd w:val="0"/>
        <w:snapToGrid w:val="0"/>
        <w:ind w:firstLine="562"/>
        <w:rPr>
          <w:rFonts w:hint="eastAsia" w:ascii="宋体" w:cs="宋体"/>
          <w:b/>
          <w:color w:val="auto"/>
          <w:kern w:val="0"/>
          <w:sz w:val="28"/>
          <w:szCs w:val="28"/>
        </w:rPr>
        <w:sectPr>
          <w:pgSz w:w="11905" w:h="16838"/>
          <w:pgMar w:top="1701" w:right="1531" w:bottom="1701" w:left="1531" w:header="851" w:footer="850" w:gutter="0"/>
          <w:pgNumType w:fmt="decimal"/>
          <w:cols w:space="720" w:num="1"/>
          <w:docGrid w:type="linesAndChars" w:linePitch="312" w:charSpace="0"/>
        </w:sectPr>
      </w:pPr>
    </w:p>
    <w:tbl>
      <w:tblPr>
        <w:tblStyle w:val="23"/>
        <w:tblW w:w="15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4815"/>
      </w:tblGrid>
      <w:tr w14:paraId="29916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6" w:hRule="atLeast"/>
        </w:trPr>
        <w:tc>
          <w:tcPr>
            <w:tcW w:w="430" w:type="dxa"/>
            <w:noWrap w:val="0"/>
            <w:vAlign w:val="top"/>
          </w:tcPr>
          <w:p w14:paraId="629E0E1F">
            <w:pPr>
              <w:ind w:firstLine="0" w:firstLineChars="0"/>
              <w:jc w:val="center"/>
              <w:rPr>
                <w:color w:val="auto"/>
              </w:rPr>
            </w:pPr>
            <w:r>
              <w:rPr>
                <w:color w:val="auto"/>
              </w:rPr>
              <w:t>运营</w:t>
            </w:r>
          </w:p>
          <w:p w14:paraId="636EBC50">
            <w:pPr>
              <w:ind w:firstLine="0" w:firstLineChars="0"/>
              <w:jc w:val="center"/>
              <w:rPr>
                <w:color w:val="auto"/>
              </w:rPr>
            </w:pPr>
            <w:r>
              <w:rPr>
                <w:color w:val="auto"/>
              </w:rPr>
              <w:t>期环</w:t>
            </w:r>
          </w:p>
          <w:p w14:paraId="2788D94B">
            <w:pPr>
              <w:ind w:firstLine="0" w:firstLineChars="0"/>
              <w:jc w:val="center"/>
              <w:rPr>
                <w:color w:val="auto"/>
              </w:rPr>
            </w:pPr>
            <w:r>
              <w:rPr>
                <w:color w:val="auto"/>
              </w:rPr>
              <w:t>境影</w:t>
            </w:r>
          </w:p>
          <w:p w14:paraId="6E173CCC">
            <w:pPr>
              <w:ind w:firstLine="0" w:firstLineChars="0"/>
              <w:jc w:val="center"/>
              <w:rPr>
                <w:color w:val="auto"/>
              </w:rPr>
            </w:pPr>
            <w:r>
              <w:rPr>
                <w:color w:val="auto"/>
              </w:rPr>
              <w:t>响和</w:t>
            </w:r>
          </w:p>
          <w:p w14:paraId="189F4451">
            <w:pPr>
              <w:ind w:firstLine="0" w:firstLineChars="0"/>
              <w:jc w:val="center"/>
              <w:rPr>
                <w:color w:val="auto"/>
              </w:rPr>
            </w:pPr>
            <w:r>
              <w:rPr>
                <w:color w:val="auto"/>
              </w:rPr>
              <w:t>保护</w:t>
            </w:r>
          </w:p>
          <w:p w14:paraId="7992B3E0">
            <w:pPr>
              <w:ind w:firstLine="0" w:firstLineChars="0"/>
              <w:jc w:val="center"/>
              <w:rPr>
                <w:rFonts w:hint="eastAsia"/>
                <w:color w:val="auto"/>
              </w:rPr>
            </w:pPr>
            <w:r>
              <w:rPr>
                <w:color w:val="auto"/>
              </w:rPr>
              <w:t>措施</w:t>
            </w:r>
          </w:p>
        </w:tc>
        <w:tc>
          <w:tcPr>
            <w:tcW w:w="14815" w:type="dxa"/>
            <w:noWrap w:val="0"/>
            <w:vAlign w:val="top"/>
          </w:tcPr>
          <w:p w14:paraId="467AB91C">
            <w:pPr>
              <w:numPr>
                <w:ilvl w:val="0"/>
                <w:numId w:val="8"/>
              </w:numPr>
              <w:ind w:firstLine="0" w:firstLineChars="0"/>
              <w:rPr>
                <w:rFonts w:hint="eastAsia"/>
                <w:color w:val="auto"/>
              </w:rPr>
            </w:pPr>
            <w:r>
              <w:rPr>
                <w:rFonts w:hint="eastAsia"/>
                <w:color w:val="auto"/>
              </w:rPr>
              <w:t>废气</w:t>
            </w:r>
          </w:p>
          <w:p w14:paraId="0D2CF567">
            <w:pPr>
              <w:ind w:firstLine="482"/>
              <w:rPr>
                <w:rFonts w:hint="eastAsia"/>
                <w:b/>
                <w:bCs/>
                <w:color w:val="auto"/>
              </w:rPr>
            </w:pPr>
            <w:r>
              <w:rPr>
                <w:rFonts w:hint="eastAsia" w:ascii="宋体" w:hAnsi="宋体" w:cs="宋体"/>
                <w:b/>
                <w:bCs/>
                <w:color w:val="auto"/>
              </w:rPr>
              <w:t>①</w:t>
            </w:r>
            <w:r>
              <w:rPr>
                <w:rFonts w:hint="eastAsia"/>
                <w:b/>
                <w:bCs/>
                <w:color w:val="auto"/>
              </w:rPr>
              <w:t>废气污染源强</w:t>
            </w:r>
          </w:p>
          <w:p w14:paraId="118ABF42">
            <w:pPr>
              <w:ind w:firstLine="480"/>
              <w:rPr>
                <w:rFonts w:hint="eastAsia"/>
                <w:color w:val="auto"/>
              </w:rPr>
            </w:pPr>
            <w:r>
              <w:rPr>
                <w:rFonts w:hint="eastAsia"/>
                <w:color w:val="auto"/>
              </w:rPr>
              <w:t>项目废气主要为</w:t>
            </w:r>
            <w:r>
              <w:rPr>
                <w:rFonts w:hint="eastAsia"/>
                <w:color w:val="auto"/>
                <w:lang w:val="en-US" w:eastAsia="zh-CN"/>
              </w:rPr>
              <w:t>机加工产生的颗粒物；密炼、开炼产生的颗粒物、非甲烷总烃</w:t>
            </w:r>
            <w:r>
              <w:rPr>
                <w:rFonts w:hint="eastAsia"/>
                <w:color w:val="auto"/>
                <w:lang w:eastAsia="zh-CN"/>
              </w:rPr>
              <w:t>、</w:t>
            </w:r>
            <w:r>
              <w:rPr>
                <w:rFonts w:hint="eastAsia"/>
                <w:color w:val="auto"/>
                <w:lang w:val="en-US" w:eastAsia="zh-CN"/>
              </w:rPr>
              <w:t>臭气浓度；涂胶产生的非甲烷总烃</w:t>
            </w:r>
            <w:r>
              <w:rPr>
                <w:rFonts w:hint="eastAsia"/>
                <w:color w:val="auto"/>
                <w:lang w:eastAsia="zh-CN"/>
              </w:rPr>
              <w:t>；</w:t>
            </w:r>
            <w:r>
              <w:rPr>
                <w:rFonts w:hint="eastAsia"/>
                <w:color w:val="auto"/>
                <w:lang w:val="en-US" w:eastAsia="zh-CN"/>
              </w:rPr>
              <w:t>硫化产生的非甲烷总烃</w:t>
            </w:r>
            <w:r>
              <w:rPr>
                <w:rFonts w:hint="eastAsia"/>
                <w:color w:val="auto"/>
                <w:lang w:eastAsia="zh-CN"/>
              </w:rPr>
              <w:t>、</w:t>
            </w:r>
            <w:r>
              <w:rPr>
                <w:rFonts w:hint="eastAsia"/>
                <w:color w:val="auto"/>
                <w:lang w:val="en-US" w:eastAsia="zh-CN"/>
              </w:rPr>
              <w:t>硫化氢和臭气浓度</w:t>
            </w:r>
            <w:r>
              <w:rPr>
                <w:rFonts w:hint="eastAsia"/>
                <w:color w:val="auto"/>
              </w:rPr>
              <w:t>。</w:t>
            </w:r>
          </w:p>
          <w:p w14:paraId="64A7B8D5">
            <w:pPr>
              <w:ind w:firstLine="0" w:firstLineChars="0"/>
              <w:jc w:val="center"/>
              <w:rPr>
                <w:rFonts w:hint="default"/>
                <w:color w:val="auto"/>
                <w:lang w:val="en-US" w:eastAsia="zh-CN"/>
              </w:rPr>
            </w:pPr>
            <w:r>
              <w:rPr>
                <w:rFonts w:hint="eastAsia"/>
                <w:b/>
                <w:bCs/>
                <w:color w:val="auto"/>
              </w:rPr>
              <w:t>表</w:t>
            </w:r>
            <w:r>
              <w:rPr>
                <w:rFonts w:hint="eastAsia"/>
                <w:b/>
                <w:bCs/>
                <w:color w:val="auto"/>
                <w:lang w:val="en-US" w:eastAsia="zh-CN"/>
              </w:rPr>
              <w:t>4-1</w:t>
            </w:r>
            <w:r>
              <w:rPr>
                <w:rFonts w:hint="eastAsia"/>
                <w:b/>
                <w:bCs/>
                <w:color w:val="auto"/>
              </w:rPr>
              <w:t xml:space="preserve"> 项目大气污染物排放情况一览表</w:t>
            </w:r>
          </w:p>
          <w:tbl>
            <w:tblPr>
              <w:tblStyle w:val="23"/>
              <w:tblW w:w="5000" w:type="pct"/>
              <w:tblInd w:w="-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269"/>
              <w:gridCol w:w="928"/>
              <w:gridCol w:w="868"/>
              <w:gridCol w:w="1847"/>
              <w:gridCol w:w="1830"/>
              <w:gridCol w:w="569"/>
              <w:gridCol w:w="569"/>
              <w:gridCol w:w="937"/>
              <w:gridCol w:w="796"/>
              <w:gridCol w:w="1585"/>
              <w:gridCol w:w="946"/>
              <w:gridCol w:w="865"/>
              <w:gridCol w:w="939"/>
            </w:tblGrid>
            <w:tr w14:paraId="79427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dxa"/>
                  <w:vMerge w:val="restart"/>
                  <w:vAlign w:val="center"/>
                </w:tcPr>
                <w:p w14:paraId="1F0617FB">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污染源</w:t>
                  </w:r>
                </w:p>
              </w:tc>
              <w:tc>
                <w:tcPr>
                  <w:tcW w:w="1269" w:type="dxa"/>
                  <w:vMerge w:val="restart"/>
                  <w:vAlign w:val="center"/>
                </w:tcPr>
                <w:p w14:paraId="1749C2B2">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污染物</w:t>
                  </w:r>
                </w:p>
              </w:tc>
              <w:tc>
                <w:tcPr>
                  <w:tcW w:w="3643" w:type="dxa"/>
                  <w:gridSpan w:val="3"/>
                  <w:vAlign w:val="center"/>
                </w:tcPr>
                <w:p w14:paraId="2B851706">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产生情况</w:t>
                  </w:r>
                </w:p>
              </w:tc>
              <w:tc>
                <w:tcPr>
                  <w:tcW w:w="1830" w:type="dxa"/>
                  <w:vMerge w:val="restart"/>
                  <w:vAlign w:val="center"/>
                </w:tcPr>
                <w:p w14:paraId="4B169185">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污染防治措施</w:t>
                  </w:r>
                </w:p>
              </w:tc>
              <w:tc>
                <w:tcPr>
                  <w:tcW w:w="569" w:type="dxa"/>
                  <w:vMerge w:val="restart"/>
                  <w:vAlign w:val="center"/>
                </w:tcPr>
                <w:p w14:paraId="6D08C5CB">
                  <w:pPr>
                    <w:spacing w:line="240" w:lineRule="auto"/>
                    <w:jc w:val="center"/>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收集效率</w:t>
                  </w:r>
                  <w:r>
                    <w:rPr>
                      <w:rFonts w:ascii="Times New Roman" w:hAnsi="Times New Roman" w:cs="Times New Roman" w:eastAsiaTheme="minorEastAsia"/>
                      <w:b/>
                      <w:bCs/>
                      <w:color w:val="auto"/>
                      <w:sz w:val="21"/>
                      <w:szCs w:val="21"/>
                    </w:rPr>
                    <w:t>/%</w:t>
                  </w:r>
                </w:p>
              </w:tc>
              <w:tc>
                <w:tcPr>
                  <w:tcW w:w="569" w:type="dxa"/>
                  <w:vMerge w:val="restart"/>
                  <w:vAlign w:val="center"/>
                </w:tcPr>
                <w:p w14:paraId="58E13885">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处理</w:t>
                  </w:r>
                </w:p>
                <w:p w14:paraId="04655716">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效率/%</w:t>
                  </w:r>
                </w:p>
              </w:tc>
              <w:tc>
                <w:tcPr>
                  <w:tcW w:w="3318" w:type="dxa"/>
                  <w:gridSpan w:val="3"/>
                  <w:vAlign w:val="center"/>
                </w:tcPr>
                <w:p w14:paraId="532099C1">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排放情况</w:t>
                  </w:r>
                </w:p>
              </w:tc>
              <w:tc>
                <w:tcPr>
                  <w:tcW w:w="946" w:type="dxa"/>
                  <w:vMerge w:val="restart"/>
                  <w:vAlign w:val="center"/>
                </w:tcPr>
                <w:p w14:paraId="54B275F4">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排气筒编号</w:t>
                  </w:r>
                </w:p>
              </w:tc>
              <w:tc>
                <w:tcPr>
                  <w:tcW w:w="865" w:type="dxa"/>
                  <w:vMerge w:val="restart"/>
                  <w:vAlign w:val="center"/>
                </w:tcPr>
                <w:p w14:paraId="5949A57E">
                  <w:pPr>
                    <w:spacing w:line="240" w:lineRule="auto"/>
                    <w:jc w:val="center"/>
                    <w:rPr>
                      <w:rFonts w:hint="eastAsia" w:ascii="Times New Roman" w:hAnsi="Times New Roman" w:cs="Times New Roman" w:eastAsiaTheme="minorEastAsia"/>
                      <w:b/>
                      <w:bCs/>
                      <w:color w:val="auto"/>
                      <w:sz w:val="21"/>
                      <w:szCs w:val="21"/>
                      <w:lang w:eastAsia="zh-CN"/>
                    </w:rPr>
                  </w:pPr>
                  <w:r>
                    <w:rPr>
                      <w:rFonts w:hint="eastAsia" w:ascii="Times New Roman" w:hAnsi="Times New Roman" w:cs="Times New Roman" w:eastAsiaTheme="minorEastAsia"/>
                      <w:b/>
                      <w:bCs/>
                      <w:color w:val="auto"/>
                      <w:sz w:val="21"/>
                      <w:szCs w:val="21"/>
                      <w:lang w:eastAsia="zh-CN"/>
                    </w:rPr>
                    <w:t>排放时间</w:t>
                  </w:r>
                </w:p>
              </w:tc>
              <w:tc>
                <w:tcPr>
                  <w:tcW w:w="939" w:type="dxa"/>
                  <w:vMerge w:val="restart"/>
                  <w:vAlign w:val="center"/>
                </w:tcPr>
                <w:p w14:paraId="156D3524">
                  <w:pPr>
                    <w:spacing w:line="240" w:lineRule="auto"/>
                    <w:jc w:val="center"/>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风量</w:t>
                  </w:r>
                  <w:r>
                    <w:rPr>
                      <w:rFonts w:ascii="Times New Roman" w:hAnsi="Times New Roman" w:cs="Times New Roman" w:eastAsiaTheme="minorEastAsia"/>
                      <w:b/>
                      <w:bCs/>
                      <w:color w:val="auto"/>
                      <w:sz w:val="21"/>
                      <w:szCs w:val="21"/>
                    </w:rPr>
                    <w:t>/m³/</w:t>
                  </w:r>
                  <w:r>
                    <w:rPr>
                      <w:rFonts w:hint="eastAsia" w:ascii="Times New Roman" w:hAnsi="Times New Roman" w:cs="Times New Roman" w:eastAsiaTheme="minorEastAsia"/>
                      <w:b/>
                      <w:bCs/>
                      <w:color w:val="auto"/>
                      <w:sz w:val="21"/>
                      <w:szCs w:val="21"/>
                      <w:lang w:val="en-US" w:eastAsia="zh-CN"/>
                    </w:rPr>
                    <w:t>h</w:t>
                  </w:r>
                </w:p>
              </w:tc>
            </w:tr>
            <w:tr w14:paraId="3EC05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dxa"/>
                  <w:vMerge w:val="continue"/>
                  <w:vAlign w:val="center"/>
                </w:tcPr>
                <w:p w14:paraId="7029E572">
                  <w:pPr>
                    <w:spacing w:line="240" w:lineRule="auto"/>
                    <w:jc w:val="center"/>
                    <w:rPr>
                      <w:rFonts w:ascii="Times New Roman" w:hAnsi="Times New Roman" w:cs="Times New Roman" w:eastAsiaTheme="minorEastAsia"/>
                      <w:b/>
                      <w:bCs/>
                      <w:color w:val="auto"/>
                      <w:sz w:val="21"/>
                      <w:szCs w:val="21"/>
                    </w:rPr>
                  </w:pPr>
                </w:p>
              </w:tc>
              <w:tc>
                <w:tcPr>
                  <w:tcW w:w="1269" w:type="dxa"/>
                  <w:vMerge w:val="continue"/>
                  <w:vAlign w:val="center"/>
                </w:tcPr>
                <w:p w14:paraId="2E6EB0E8">
                  <w:pPr>
                    <w:spacing w:line="240" w:lineRule="auto"/>
                    <w:jc w:val="center"/>
                    <w:rPr>
                      <w:rFonts w:ascii="Times New Roman" w:hAnsi="Times New Roman" w:cs="Times New Roman" w:eastAsiaTheme="minorEastAsia"/>
                      <w:b/>
                      <w:bCs/>
                      <w:color w:val="auto"/>
                      <w:sz w:val="21"/>
                      <w:szCs w:val="21"/>
                    </w:rPr>
                  </w:pPr>
                </w:p>
              </w:tc>
              <w:tc>
                <w:tcPr>
                  <w:tcW w:w="928" w:type="dxa"/>
                  <w:vAlign w:val="center"/>
                </w:tcPr>
                <w:p w14:paraId="2B7064F2">
                  <w:pPr>
                    <w:spacing w:line="240" w:lineRule="auto"/>
                    <w:ind w:firstLine="0" w:firstLineChars="0"/>
                    <w:jc w:val="center"/>
                    <w:rPr>
                      <w:rFonts w:ascii="Times New Roman" w:hAnsi="Times New Roman" w:cs="Times New Roman" w:eastAsiaTheme="minorEastAsia"/>
                      <w:b/>
                      <w:bCs/>
                      <w:color w:val="auto"/>
                      <w:kern w:val="2"/>
                      <w:sz w:val="21"/>
                      <w:szCs w:val="21"/>
                      <w:lang w:val="en-US" w:eastAsia="zh-CN" w:bidi="ar-SA"/>
                    </w:rPr>
                  </w:pPr>
                  <w:r>
                    <w:rPr>
                      <w:rFonts w:ascii="Times New Roman" w:hAnsi="Times New Roman" w:cs="Times New Roman" w:eastAsiaTheme="minorEastAsia"/>
                      <w:b/>
                      <w:bCs/>
                      <w:color w:val="auto"/>
                      <w:sz w:val="21"/>
                      <w:szCs w:val="21"/>
                    </w:rPr>
                    <w:t>产生量/t/a</w:t>
                  </w:r>
                </w:p>
              </w:tc>
              <w:tc>
                <w:tcPr>
                  <w:tcW w:w="868" w:type="dxa"/>
                  <w:vAlign w:val="center"/>
                </w:tcPr>
                <w:p w14:paraId="357A8089">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产生</w:t>
                  </w:r>
                </w:p>
                <w:p w14:paraId="1A830D57">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速率/kg/h</w:t>
                  </w:r>
                </w:p>
              </w:tc>
              <w:tc>
                <w:tcPr>
                  <w:tcW w:w="1847" w:type="dxa"/>
                  <w:vAlign w:val="center"/>
                </w:tcPr>
                <w:p w14:paraId="34DA17F4">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产生</w:t>
                  </w:r>
                </w:p>
                <w:p w14:paraId="3492BF92">
                  <w:pPr>
                    <w:spacing w:line="240" w:lineRule="auto"/>
                    <w:ind w:firstLine="0" w:firstLineChars="0"/>
                    <w:jc w:val="center"/>
                    <w:rPr>
                      <w:rFonts w:ascii="Times New Roman" w:hAnsi="Times New Roman" w:cs="Times New Roman" w:eastAsiaTheme="minorEastAsia"/>
                      <w:b/>
                      <w:bCs/>
                      <w:color w:val="auto"/>
                      <w:kern w:val="2"/>
                      <w:sz w:val="21"/>
                      <w:szCs w:val="21"/>
                      <w:lang w:val="en-US" w:eastAsia="zh-CN" w:bidi="ar-SA"/>
                    </w:rPr>
                  </w:pPr>
                  <w:r>
                    <w:rPr>
                      <w:rFonts w:ascii="Times New Roman" w:hAnsi="Times New Roman" w:cs="Times New Roman" w:eastAsiaTheme="minorEastAsia"/>
                      <w:b/>
                      <w:bCs/>
                      <w:color w:val="auto"/>
                      <w:sz w:val="21"/>
                      <w:szCs w:val="21"/>
                    </w:rPr>
                    <w:t>浓度/mg/m³</w:t>
                  </w:r>
                </w:p>
              </w:tc>
              <w:tc>
                <w:tcPr>
                  <w:tcW w:w="1830" w:type="dxa"/>
                  <w:vMerge w:val="continue"/>
                  <w:vAlign w:val="center"/>
                </w:tcPr>
                <w:p w14:paraId="6DF43F9C">
                  <w:pPr>
                    <w:spacing w:line="240" w:lineRule="auto"/>
                    <w:jc w:val="center"/>
                    <w:rPr>
                      <w:rFonts w:ascii="Times New Roman" w:hAnsi="Times New Roman" w:cs="Times New Roman" w:eastAsiaTheme="minorEastAsia"/>
                      <w:b/>
                      <w:bCs/>
                      <w:color w:val="auto"/>
                      <w:sz w:val="21"/>
                      <w:szCs w:val="21"/>
                    </w:rPr>
                  </w:pPr>
                </w:p>
              </w:tc>
              <w:tc>
                <w:tcPr>
                  <w:tcW w:w="569" w:type="dxa"/>
                  <w:vMerge w:val="continue"/>
                  <w:vAlign w:val="center"/>
                </w:tcPr>
                <w:p w14:paraId="56D70BC1">
                  <w:pPr>
                    <w:spacing w:line="240" w:lineRule="auto"/>
                    <w:jc w:val="center"/>
                    <w:rPr>
                      <w:rFonts w:ascii="Times New Roman" w:hAnsi="Times New Roman" w:cs="Times New Roman" w:eastAsiaTheme="minorEastAsia"/>
                      <w:b/>
                      <w:bCs/>
                      <w:color w:val="auto"/>
                      <w:sz w:val="21"/>
                      <w:szCs w:val="21"/>
                    </w:rPr>
                  </w:pPr>
                </w:p>
              </w:tc>
              <w:tc>
                <w:tcPr>
                  <w:tcW w:w="569" w:type="dxa"/>
                  <w:vMerge w:val="continue"/>
                  <w:vAlign w:val="center"/>
                </w:tcPr>
                <w:p w14:paraId="6CAFBE32">
                  <w:pPr>
                    <w:spacing w:line="240" w:lineRule="auto"/>
                    <w:jc w:val="center"/>
                    <w:rPr>
                      <w:rFonts w:ascii="Times New Roman" w:hAnsi="Times New Roman" w:cs="Times New Roman" w:eastAsiaTheme="minorEastAsia"/>
                      <w:b/>
                      <w:bCs/>
                      <w:color w:val="auto"/>
                      <w:sz w:val="21"/>
                      <w:szCs w:val="21"/>
                    </w:rPr>
                  </w:pPr>
                </w:p>
              </w:tc>
              <w:tc>
                <w:tcPr>
                  <w:tcW w:w="937" w:type="dxa"/>
                  <w:vAlign w:val="center"/>
                </w:tcPr>
                <w:p w14:paraId="6CF52CB3">
                  <w:pPr>
                    <w:spacing w:line="240" w:lineRule="auto"/>
                    <w:ind w:firstLine="0" w:firstLineChars="0"/>
                    <w:jc w:val="center"/>
                    <w:rPr>
                      <w:rFonts w:ascii="Times New Roman" w:hAnsi="Times New Roman" w:cs="Times New Roman" w:eastAsiaTheme="minorEastAsia"/>
                      <w:b/>
                      <w:bCs/>
                      <w:color w:val="auto"/>
                      <w:kern w:val="2"/>
                      <w:sz w:val="21"/>
                      <w:szCs w:val="21"/>
                      <w:lang w:val="en-US" w:eastAsia="zh-CN" w:bidi="ar-SA"/>
                    </w:rPr>
                  </w:pPr>
                  <w:r>
                    <w:rPr>
                      <w:rFonts w:ascii="Times New Roman" w:hAnsi="Times New Roman" w:cs="Times New Roman" w:eastAsiaTheme="minorEastAsia"/>
                      <w:b/>
                      <w:bCs/>
                      <w:color w:val="auto"/>
                      <w:sz w:val="21"/>
                      <w:szCs w:val="21"/>
                    </w:rPr>
                    <w:t>排放量/t/a</w:t>
                  </w:r>
                </w:p>
              </w:tc>
              <w:tc>
                <w:tcPr>
                  <w:tcW w:w="796" w:type="dxa"/>
                  <w:vAlign w:val="center"/>
                </w:tcPr>
                <w:p w14:paraId="178C19BB">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排放速率/kg/h</w:t>
                  </w:r>
                </w:p>
              </w:tc>
              <w:tc>
                <w:tcPr>
                  <w:tcW w:w="1585" w:type="dxa"/>
                  <w:vAlign w:val="center"/>
                </w:tcPr>
                <w:p w14:paraId="5D4C8DB7">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排放</w:t>
                  </w:r>
                </w:p>
                <w:p w14:paraId="5083EC75">
                  <w:pPr>
                    <w:spacing w:line="240" w:lineRule="auto"/>
                    <w:ind w:firstLine="0" w:firstLineChars="0"/>
                    <w:jc w:val="center"/>
                    <w:rPr>
                      <w:rFonts w:ascii="Times New Roman" w:hAnsi="Times New Roman" w:cs="Times New Roman" w:eastAsiaTheme="minorEastAsia"/>
                      <w:b/>
                      <w:bCs/>
                      <w:color w:val="auto"/>
                      <w:kern w:val="2"/>
                      <w:sz w:val="21"/>
                      <w:szCs w:val="21"/>
                      <w:lang w:val="en-US" w:eastAsia="zh-CN" w:bidi="ar-SA"/>
                    </w:rPr>
                  </w:pPr>
                  <w:r>
                    <w:rPr>
                      <w:rFonts w:ascii="Times New Roman" w:hAnsi="Times New Roman" w:cs="Times New Roman" w:eastAsiaTheme="minorEastAsia"/>
                      <w:b/>
                      <w:bCs/>
                      <w:color w:val="auto"/>
                      <w:sz w:val="21"/>
                      <w:szCs w:val="21"/>
                    </w:rPr>
                    <w:t>浓度/mg/m³</w:t>
                  </w:r>
                </w:p>
              </w:tc>
              <w:tc>
                <w:tcPr>
                  <w:tcW w:w="946" w:type="dxa"/>
                  <w:vMerge w:val="continue"/>
                  <w:vAlign w:val="center"/>
                </w:tcPr>
                <w:p w14:paraId="69026A8F">
                  <w:pPr>
                    <w:spacing w:line="240" w:lineRule="auto"/>
                    <w:jc w:val="center"/>
                    <w:rPr>
                      <w:rFonts w:ascii="Times New Roman" w:hAnsi="Times New Roman" w:cs="Times New Roman" w:eastAsiaTheme="minorEastAsia"/>
                      <w:color w:val="auto"/>
                      <w:sz w:val="21"/>
                      <w:szCs w:val="21"/>
                    </w:rPr>
                  </w:pPr>
                </w:p>
              </w:tc>
              <w:tc>
                <w:tcPr>
                  <w:tcW w:w="865" w:type="dxa"/>
                  <w:vMerge w:val="continue"/>
                  <w:vAlign w:val="center"/>
                </w:tcPr>
                <w:p w14:paraId="211DD91A">
                  <w:pPr>
                    <w:spacing w:line="240" w:lineRule="auto"/>
                    <w:jc w:val="center"/>
                    <w:rPr>
                      <w:rFonts w:ascii="Times New Roman" w:hAnsi="Times New Roman" w:cs="Times New Roman" w:eastAsiaTheme="minorEastAsia"/>
                      <w:color w:val="auto"/>
                      <w:sz w:val="21"/>
                      <w:szCs w:val="21"/>
                    </w:rPr>
                  </w:pPr>
                </w:p>
              </w:tc>
              <w:tc>
                <w:tcPr>
                  <w:tcW w:w="939" w:type="dxa"/>
                  <w:vMerge w:val="continue"/>
                  <w:vAlign w:val="center"/>
                </w:tcPr>
                <w:p w14:paraId="2085701C">
                  <w:pPr>
                    <w:spacing w:line="240" w:lineRule="auto"/>
                    <w:jc w:val="center"/>
                    <w:rPr>
                      <w:rFonts w:ascii="Times New Roman" w:hAnsi="Times New Roman" w:cs="Times New Roman" w:eastAsiaTheme="minorEastAsia"/>
                      <w:color w:val="auto"/>
                      <w:sz w:val="21"/>
                      <w:szCs w:val="21"/>
                    </w:rPr>
                  </w:pPr>
                </w:p>
              </w:tc>
            </w:tr>
            <w:tr w14:paraId="45023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dxa"/>
                  <w:vAlign w:val="center"/>
                </w:tcPr>
                <w:p w14:paraId="0F6353A3">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配料粉尘</w:t>
                  </w:r>
                </w:p>
              </w:tc>
              <w:tc>
                <w:tcPr>
                  <w:tcW w:w="1269" w:type="dxa"/>
                  <w:vAlign w:val="center"/>
                </w:tcPr>
                <w:p w14:paraId="16EE7138">
                  <w:pPr>
                    <w:spacing w:line="240" w:lineRule="auto"/>
                    <w:jc w:val="center"/>
                    <w:rPr>
                      <w:rFonts w:hint="default" w:ascii="Times New Roman" w:hAnsi="Times New Roman" w:cs="Times New Roman" w:eastAsiaTheme="minorEastAsia"/>
                      <w:color w:val="auto"/>
                      <w:sz w:val="21"/>
                      <w:szCs w:val="21"/>
                      <w:lang w:eastAsia="zh-CN"/>
                    </w:rPr>
                  </w:pPr>
                  <w:r>
                    <w:rPr>
                      <w:rFonts w:hint="eastAsia" w:cs="Times New Roman" w:eastAsiaTheme="minorEastAsia"/>
                      <w:color w:val="auto"/>
                      <w:sz w:val="21"/>
                      <w:szCs w:val="21"/>
                      <w:lang w:val="en-US" w:eastAsia="zh-CN"/>
                    </w:rPr>
                    <w:t>颗粒物</w:t>
                  </w:r>
                </w:p>
              </w:tc>
              <w:tc>
                <w:tcPr>
                  <w:tcW w:w="928" w:type="dxa"/>
                  <w:vAlign w:val="center"/>
                </w:tcPr>
                <w:p w14:paraId="5F352285">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1.06</w:t>
                  </w:r>
                </w:p>
              </w:tc>
              <w:tc>
                <w:tcPr>
                  <w:tcW w:w="868" w:type="dxa"/>
                  <w:shd w:val="clear" w:color="auto" w:fill="auto"/>
                  <w:vAlign w:val="center"/>
                </w:tcPr>
                <w:p w14:paraId="3A32376A">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1.767 </w:t>
                  </w:r>
                </w:p>
              </w:tc>
              <w:tc>
                <w:tcPr>
                  <w:tcW w:w="1847" w:type="dxa"/>
                  <w:shd w:val="clear" w:color="auto" w:fill="auto"/>
                  <w:vAlign w:val="center"/>
                </w:tcPr>
                <w:p w14:paraId="6A14878D">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981.481 </w:t>
                  </w:r>
                </w:p>
              </w:tc>
              <w:tc>
                <w:tcPr>
                  <w:tcW w:w="1830" w:type="dxa"/>
                  <w:vMerge w:val="restart"/>
                  <w:vAlign w:val="center"/>
                </w:tcPr>
                <w:p w14:paraId="381CB8F7">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布袋除尘器+二级活性炭吸附装置</w:t>
                  </w:r>
                </w:p>
              </w:tc>
              <w:tc>
                <w:tcPr>
                  <w:tcW w:w="569" w:type="dxa"/>
                  <w:vAlign w:val="center"/>
                </w:tcPr>
                <w:p w14:paraId="314E3537">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95</w:t>
                  </w:r>
                </w:p>
              </w:tc>
              <w:tc>
                <w:tcPr>
                  <w:tcW w:w="569" w:type="dxa"/>
                  <w:vAlign w:val="center"/>
                </w:tcPr>
                <w:p w14:paraId="276B0B46">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99</w:t>
                  </w:r>
                </w:p>
              </w:tc>
              <w:tc>
                <w:tcPr>
                  <w:tcW w:w="937" w:type="dxa"/>
                  <w:shd w:val="clear" w:color="auto" w:fill="auto"/>
                  <w:vAlign w:val="center"/>
                </w:tcPr>
                <w:p w14:paraId="13BAD5F7">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0.010 </w:t>
                  </w:r>
                </w:p>
              </w:tc>
              <w:tc>
                <w:tcPr>
                  <w:tcW w:w="796" w:type="dxa"/>
                  <w:shd w:val="clear" w:color="auto" w:fill="auto"/>
                  <w:vAlign w:val="center"/>
                </w:tcPr>
                <w:p w14:paraId="7C50B8D2">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0.017 </w:t>
                  </w:r>
                </w:p>
              </w:tc>
              <w:tc>
                <w:tcPr>
                  <w:tcW w:w="1585" w:type="dxa"/>
                  <w:shd w:val="clear" w:color="auto" w:fill="auto"/>
                  <w:vAlign w:val="center"/>
                </w:tcPr>
                <w:p w14:paraId="5CD6A7AA">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9.324 </w:t>
                  </w:r>
                </w:p>
              </w:tc>
              <w:tc>
                <w:tcPr>
                  <w:tcW w:w="946" w:type="dxa"/>
                  <w:vMerge w:val="restart"/>
                  <w:vAlign w:val="center"/>
                </w:tcPr>
                <w:p w14:paraId="4FFA7453">
                  <w:pPr>
                    <w:keepNext w:val="0"/>
                    <w:keepLines w:val="0"/>
                    <w:widowControl/>
                    <w:suppressLineNumbers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i w:val="0"/>
                      <w:iCs w:val="0"/>
                      <w:color w:val="auto"/>
                      <w:kern w:val="0"/>
                      <w:sz w:val="21"/>
                      <w:szCs w:val="21"/>
                      <w:u w:val="none"/>
                      <w:lang w:val="en-US" w:eastAsia="zh-CN" w:bidi="ar"/>
                    </w:rPr>
                    <w:t>DA00</w:t>
                  </w:r>
                  <w:r>
                    <w:rPr>
                      <w:rFonts w:hint="eastAsia" w:cs="Times New Roman"/>
                      <w:i w:val="0"/>
                      <w:iCs w:val="0"/>
                      <w:color w:val="auto"/>
                      <w:kern w:val="0"/>
                      <w:sz w:val="21"/>
                      <w:szCs w:val="21"/>
                      <w:u w:val="none"/>
                      <w:lang w:val="en-US" w:eastAsia="zh-CN" w:bidi="ar"/>
                    </w:rPr>
                    <w:t>1</w:t>
                  </w:r>
                </w:p>
              </w:tc>
              <w:tc>
                <w:tcPr>
                  <w:tcW w:w="865" w:type="dxa"/>
                  <w:vMerge w:val="restart"/>
                  <w:vAlign w:val="center"/>
                </w:tcPr>
                <w:p w14:paraId="6A2E4B12">
                  <w:pPr>
                    <w:keepNext w:val="0"/>
                    <w:keepLines w:val="0"/>
                    <w:widowControl/>
                    <w:suppressLineNumbers w:val="0"/>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600h</w:t>
                  </w:r>
                </w:p>
              </w:tc>
              <w:tc>
                <w:tcPr>
                  <w:tcW w:w="939" w:type="dxa"/>
                  <w:vAlign w:val="center"/>
                </w:tcPr>
                <w:p w14:paraId="34EB28DC">
                  <w:pPr>
                    <w:keepNext w:val="0"/>
                    <w:keepLines w:val="0"/>
                    <w:widowControl/>
                    <w:suppressLineNumbers w:val="0"/>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1800</w:t>
                  </w:r>
                </w:p>
              </w:tc>
            </w:tr>
            <w:tr w14:paraId="41F1C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dxa"/>
                  <w:vAlign w:val="center"/>
                </w:tcPr>
                <w:p w14:paraId="61A0097A">
                  <w:pPr>
                    <w:spacing w:line="240" w:lineRule="auto"/>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投料粉尘</w:t>
                  </w:r>
                </w:p>
              </w:tc>
              <w:tc>
                <w:tcPr>
                  <w:tcW w:w="1269" w:type="dxa"/>
                  <w:vAlign w:val="center"/>
                </w:tcPr>
                <w:p w14:paraId="1F5A91ED">
                  <w:pPr>
                    <w:spacing w:line="240" w:lineRule="auto"/>
                    <w:jc w:val="center"/>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颗粒物</w:t>
                  </w:r>
                </w:p>
              </w:tc>
              <w:tc>
                <w:tcPr>
                  <w:tcW w:w="928" w:type="dxa"/>
                  <w:vAlign w:val="center"/>
                </w:tcPr>
                <w:p w14:paraId="6B282BA0">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1.06</w:t>
                  </w:r>
                </w:p>
              </w:tc>
              <w:tc>
                <w:tcPr>
                  <w:tcW w:w="868" w:type="dxa"/>
                  <w:shd w:val="clear" w:color="auto" w:fill="auto"/>
                  <w:vAlign w:val="center"/>
                </w:tcPr>
                <w:p w14:paraId="38A98F52">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1.767 </w:t>
                  </w:r>
                </w:p>
              </w:tc>
              <w:tc>
                <w:tcPr>
                  <w:tcW w:w="1847" w:type="dxa"/>
                  <w:shd w:val="clear" w:color="auto" w:fill="auto"/>
                  <w:vAlign w:val="center"/>
                </w:tcPr>
                <w:p w14:paraId="704ECC6E">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420.635 </w:t>
                  </w:r>
                </w:p>
              </w:tc>
              <w:tc>
                <w:tcPr>
                  <w:tcW w:w="1830" w:type="dxa"/>
                  <w:vMerge w:val="continue"/>
                  <w:vAlign w:val="center"/>
                </w:tcPr>
                <w:p w14:paraId="2AF87AAC">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p>
              </w:tc>
              <w:tc>
                <w:tcPr>
                  <w:tcW w:w="569" w:type="dxa"/>
                  <w:vAlign w:val="center"/>
                </w:tcPr>
                <w:p w14:paraId="0B9E8044">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90</w:t>
                  </w:r>
                </w:p>
              </w:tc>
              <w:tc>
                <w:tcPr>
                  <w:tcW w:w="569" w:type="dxa"/>
                  <w:vAlign w:val="center"/>
                </w:tcPr>
                <w:p w14:paraId="6EFE37FE">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99</w:t>
                  </w:r>
                </w:p>
              </w:tc>
              <w:tc>
                <w:tcPr>
                  <w:tcW w:w="937" w:type="dxa"/>
                  <w:shd w:val="clear" w:color="auto" w:fill="auto"/>
                  <w:vAlign w:val="center"/>
                </w:tcPr>
                <w:p w14:paraId="25CABF4B">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0.009</w:t>
                  </w:r>
                </w:p>
              </w:tc>
              <w:tc>
                <w:tcPr>
                  <w:tcW w:w="796" w:type="dxa"/>
                  <w:shd w:val="clear" w:color="auto" w:fill="auto"/>
                  <w:vAlign w:val="center"/>
                </w:tcPr>
                <w:p w14:paraId="21E7E59B">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0.016 </w:t>
                  </w:r>
                </w:p>
              </w:tc>
              <w:tc>
                <w:tcPr>
                  <w:tcW w:w="1585" w:type="dxa"/>
                  <w:shd w:val="clear" w:color="auto" w:fill="auto"/>
                  <w:vAlign w:val="center"/>
                </w:tcPr>
                <w:p w14:paraId="7339BC09">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3.786 </w:t>
                  </w:r>
                </w:p>
              </w:tc>
              <w:tc>
                <w:tcPr>
                  <w:tcW w:w="946" w:type="dxa"/>
                  <w:vMerge w:val="continue"/>
                  <w:vAlign w:val="center"/>
                </w:tcPr>
                <w:p w14:paraId="29939021">
                  <w:pPr>
                    <w:keepNext w:val="0"/>
                    <w:keepLines w:val="0"/>
                    <w:widowControl/>
                    <w:suppressLineNumbers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865" w:type="dxa"/>
                  <w:vMerge w:val="continue"/>
                  <w:vAlign w:val="center"/>
                </w:tcPr>
                <w:p w14:paraId="05B20A83">
                  <w:pPr>
                    <w:keepNext w:val="0"/>
                    <w:keepLines w:val="0"/>
                    <w:widowControl/>
                    <w:suppressLineNumbers w:val="0"/>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p>
              </w:tc>
              <w:tc>
                <w:tcPr>
                  <w:tcW w:w="939" w:type="dxa"/>
                  <w:vAlign w:val="center"/>
                </w:tcPr>
                <w:p w14:paraId="51BF1CD7">
                  <w:pPr>
                    <w:keepNext w:val="0"/>
                    <w:keepLines w:val="0"/>
                    <w:widowControl/>
                    <w:suppressLineNumbers w:val="0"/>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4200</w:t>
                  </w:r>
                </w:p>
              </w:tc>
            </w:tr>
            <w:tr w14:paraId="3AC98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dxa"/>
                  <w:vMerge w:val="restart"/>
                  <w:vAlign w:val="center"/>
                </w:tcPr>
                <w:p w14:paraId="4518B619">
                  <w:pPr>
                    <w:spacing w:line="240" w:lineRule="auto"/>
                    <w:jc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密炼</w:t>
                  </w:r>
                  <w:r>
                    <w:rPr>
                      <w:rFonts w:hint="eastAsia" w:cs="Times New Roman" w:eastAsiaTheme="minorEastAsia"/>
                      <w:color w:val="auto"/>
                      <w:sz w:val="21"/>
                      <w:szCs w:val="21"/>
                      <w:lang w:val="en-US" w:eastAsia="zh-CN"/>
                    </w:rPr>
                    <w:t>废气</w:t>
                  </w:r>
                </w:p>
              </w:tc>
              <w:tc>
                <w:tcPr>
                  <w:tcW w:w="1269" w:type="dxa"/>
                  <w:vAlign w:val="center"/>
                </w:tcPr>
                <w:p w14:paraId="6D903BF6">
                  <w:pPr>
                    <w:spacing w:line="240" w:lineRule="auto"/>
                    <w:jc w:val="center"/>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颗粒物</w:t>
                  </w:r>
                </w:p>
              </w:tc>
              <w:tc>
                <w:tcPr>
                  <w:tcW w:w="928" w:type="dxa"/>
                  <w:vAlign w:val="center"/>
                </w:tcPr>
                <w:p w14:paraId="19837D7F">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4.31</w:t>
                  </w:r>
                </w:p>
              </w:tc>
              <w:tc>
                <w:tcPr>
                  <w:tcW w:w="868" w:type="dxa"/>
                  <w:shd w:val="clear" w:color="auto" w:fill="auto"/>
                  <w:vAlign w:val="center"/>
                </w:tcPr>
                <w:p w14:paraId="2928BEF8">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0.898 </w:t>
                  </w:r>
                </w:p>
              </w:tc>
              <w:tc>
                <w:tcPr>
                  <w:tcW w:w="1847" w:type="dxa"/>
                  <w:shd w:val="clear" w:color="auto" w:fill="auto"/>
                  <w:vAlign w:val="center"/>
                </w:tcPr>
                <w:p w14:paraId="5EBC63D5">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47.509 </w:t>
                  </w:r>
                </w:p>
              </w:tc>
              <w:tc>
                <w:tcPr>
                  <w:tcW w:w="1830" w:type="dxa"/>
                  <w:vMerge w:val="continue"/>
                  <w:vAlign w:val="center"/>
                </w:tcPr>
                <w:p w14:paraId="36739B54">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p>
              </w:tc>
              <w:tc>
                <w:tcPr>
                  <w:tcW w:w="569" w:type="dxa"/>
                  <w:vAlign w:val="center"/>
                </w:tcPr>
                <w:p w14:paraId="404102C2">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90</w:t>
                  </w:r>
                </w:p>
              </w:tc>
              <w:tc>
                <w:tcPr>
                  <w:tcW w:w="569" w:type="dxa"/>
                  <w:vAlign w:val="center"/>
                </w:tcPr>
                <w:p w14:paraId="002B0858">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99</w:t>
                  </w:r>
                </w:p>
              </w:tc>
              <w:tc>
                <w:tcPr>
                  <w:tcW w:w="937" w:type="dxa"/>
                  <w:shd w:val="clear" w:color="auto" w:fill="auto"/>
                  <w:vAlign w:val="center"/>
                </w:tcPr>
                <w:p w14:paraId="5B93C93B">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0.039 </w:t>
                  </w:r>
                </w:p>
              </w:tc>
              <w:tc>
                <w:tcPr>
                  <w:tcW w:w="796" w:type="dxa"/>
                  <w:shd w:val="clear" w:color="auto" w:fill="auto"/>
                  <w:vAlign w:val="center"/>
                </w:tcPr>
                <w:p w14:paraId="568A27F3">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0.008 </w:t>
                  </w:r>
                </w:p>
              </w:tc>
              <w:tc>
                <w:tcPr>
                  <w:tcW w:w="1585" w:type="dxa"/>
                  <w:shd w:val="clear" w:color="auto" w:fill="auto"/>
                  <w:vAlign w:val="center"/>
                </w:tcPr>
                <w:p w14:paraId="0E71CFA2">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0.428 </w:t>
                  </w:r>
                </w:p>
              </w:tc>
              <w:tc>
                <w:tcPr>
                  <w:tcW w:w="946" w:type="dxa"/>
                  <w:vMerge w:val="continue"/>
                  <w:vAlign w:val="center"/>
                </w:tcPr>
                <w:p w14:paraId="2688E17D">
                  <w:pPr>
                    <w:keepNext w:val="0"/>
                    <w:keepLines w:val="0"/>
                    <w:widowControl/>
                    <w:suppressLineNumbers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865" w:type="dxa"/>
                  <w:vMerge w:val="restart"/>
                  <w:vAlign w:val="center"/>
                </w:tcPr>
                <w:p w14:paraId="2325AB2D">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4800</w:t>
                  </w:r>
                  <w:r>
                    <w:rPr>
                      <w:rFonts w:hint="eastAsia" w:ascii="Times New Roman" w:hAnsi="Times New Roman" w:cs="Times New Roman"/>
                      <w:i w:val="0"/>
                      <w:iCs w:val="0"/>
                      <w:color w:val="auto"/>
                      <w:kern w:val="0"/>
                      <w:sz w:val="21"/>
                      <w:szCs w:val="21"/>
                      <w:u w:val="none"/>
                      <w:lang w:val="en-US" w:eastAsia="zh-CN" w:bidi="ar"/>
                    </w:rPr>
                    <w:t>h</w:t>
                  </w:r>
                </w:p>
              </w:tc>
              <w:tc>
                <w:tcPr>
                  <w:tcW w:w="939" w:type="dxa"/>
                  <w:vMerge w:val="restart"/>
                  <w:vAlign w:val="center"/>
                </w:tcPr>
                <w:p w14:paraId="45ECD86F">
                  <w:pPr>
                    <w:keepNext w:val="0"/>
                    <w:keepLines w:val="0"/>
                    <w:widowControl/>
                    <w:suppressLineNumbers w:val="0"/>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18900</w:t>
                  </w:r>
                </w:p>
              </w:tc>
            </w:tr>
            <w:tr w14:paraId="74349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dxa"/>
                  <w:vMerge w:val="continue"/>
                  <w:vAlign w:val="center"/>
                </w:tcPr>
                <w:p w14:paraId="2593C3E1">
                  <w:pPr>
                    <w:spacing w:line="240" w:lineRule="auto"/>
                    <w:jc w:val="center"/>
                    <w:rPr>
                      <w:rFonts w:hint="eastAsia" w:cs="Times New Roman" w:eastAsiaTheme="minorEastAsia"/>
                      <w:color w:val="auto"/>
                      <w:sz w:val="21"/>
                      <w:szCs w:val="21"/>
                      <w:lang w:val="en-US" w:eastAsia="zh-CN"/>
                    </w:rPr>
                  </w:pPr>
                </w:p>
              </w:tc>
              <w:tc>
                <w:tcPr>
                  <w:tcW w:w="1269" w:type="dxa"/>
                  <w:vAlign w:val="center"/>
                </w:tcPr>
                <w:p w14:paraId="0016667E">
                  <w:pPr>
                    <w:spacing w:line="240" w:lineRule="auto"/>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非甲烷总烃</w:t>
                  </w:r>
                </w:p>
              </w:tc>
              <w:tc>
                <w:tcPr>
                  <w:tcW w:w="928" w:type="dxa"/>
                  <w:vAlign w:val="center"/>
                </w:tcPr>
                <w:p w14:paraId="634B4100">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1.393</w:t>
                  </w:r>
                </w:p>
              </w:tc>
              <w:tc>
                <w:tcPr>
                  <w:tcW w:w="868" w:type="dxa"/>
                  <w:shd w:val="clear" w:color="auto" w:fill="auto"/>
                  <w:vAlign w:val="center"/>
                </w:tcPr>
                <w:p w14:paraId="1125B45B">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0.290 </w:t>
                  </w:r>
                </w:p>
              </w:tc>
              <w:tc>
                <w:tcPr>
                  <w:tcW w:w="1847" w:type="dxa"/>
                  <w:shd w:val="clear" w:color="auto" w:fill="auto"/>
                  <w:vAlign w:val="center"/>
                </w:tcPr>
                <w:p w14:paraId="32BD36EE">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15.355 </w:t>
                  </w:r>
                </w:p>
              </w:tc>
              <w:tc>
                <w:tcPr>
                  <w:tcW w:w="1830" w:type="dxa"/>
                  <w:vMerge w:val="continue"/>
                  <w:vAlign w:val="center"/>
                </w:tcPr>
                <w:p w14:paraId="0389B4A6">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p>
              </w:tc>
              <w:tc>
                <w:tcPr>
                  <w:tcW w:w="569" w:type="dxa"/>
                  <w:vAlign w:val="center"/>
                </w:tcPr>
                <w:p w14:paraId="1EF7F7D8">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90</w:t>
                  </w:r>
                </w:p>
              </w:tc>
              <w:tc>
                <w:tcPr>
                  <w:tcW w:w="569" w:type="dxa"/>
                  <w:vAlign w:val="center"/>
                </w:tcPr>
                <w:p w14:paraId="5D77A432">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90</w:t>
                  </w:r>
                </w:p>
              </w:tc>
              <w:tc>
                <w:tcPr>
                  <w:tcW w:w="937" w:type="dxa"/>
                  <w:shd w:val="clear" w:color="auto" w:fill="auto"/>
                  <w:vAlign w:val="center"/>
                </w:tcPr>
                <w:p w14:paraId="186173C5">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0.125 </w:t>
                  </w:r>
                </w:p>
              </w:tc>
              <w:tc>
                <w:tcPr>
                  <w:tcW w:w="796" w:type="dxa"/>
                  <w:shd w:val="clear" w:color="auto" w:fill="auto"/>
                  <w:vAlign w:val="center"/>
                </w:tcPr>
                <w:p w14:paraId="2DD14E86">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0.026 </w:t>
                  </w:r>
                </w:p>
              </w:tc>
              <w:tc>
                <w:tcPr>
                  <w:tcW w:w="1585" w:type="dxa"/>
                  <w:shd w:val="clear" w:color="auto" w:fill="auto"/>
                  <w:vAlign w:val="center"/>
                </w:tcPr>
                <w:p w14:paraId="72542F2E">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1.382 </w:t>
                  </w:r>
                </w:p>
              </w:tc>
              <w:tc>
                <w:tcPr>
                  <w:tcW w:w="946" w:type="dxa"/>
                  <w:vMerge w:val="continue"/>
                  <w:vAlign w:val="center"/>
                </w:tcPr>
                <w:p w14:paraId="524A0C24">
                  <w:pPr>
                    <w:keepNext w:val="0"/>
                    <w:keepLines w:val="0"/>
                    <w:widowControl/>
                    <w:suppressLineNumbers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865" w:type="dxa"/>
                  <w:vMerge w:val="continue"/>
                  <w:vAlign w:val="center"/>
                </w:tcPr>
                <w:p w14:paraId="717A58A8">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c>
                <w:tcPr>
                  <w:tcW w:w="939" w:type="dxa"/>
                  <w:vMerge w:val="continue"/>
                  <w:vAlign w:val="center"/>
                </w:tcPr>
                <w:p w14:paraId="2A42E531">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r>
            <w:tr w14:paraId="63525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dxa"/>
                  <w:vMerge w:val="continue"/>
                  <w:vAlign w:val="center"/>
                </w:tcPr>
                <w:p w14:paraId="567E3336">
                  <w:pPr>
                    <w:spacing w:line="240" w:lineRule="auto"/>
                    <w:jc w:val="center"/>
                    <w:rPr>
                      <w:rFonts w:hint="eastAsia" w:cs="Times New Roman" w:eastAsiaTheme="minorEastAsia"/>
                      <w:color w:val="auto"/>
                      <w:sz w:val="21"/>
                      <w:szCs w:val="21"/>
                      <w:lang w:val="en-US" w:eastAsia="zh-CN"/>
                    </w:rPr>
                  </w:pPr>
                </w:p>
              </w:tc>
              <w:tc>
                <w:tcPr>
                  <w:tcW w:w="1269" w:type="dxa"/>
                  <w:vAlign w:val="center"/>
                </w:tcPr>
                <w:p w14:paraId="3177CFE7">
                  <w:pPr>
                    <w:spacing w:line="240" w:lineRule="auto"/>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臭气浓度</w:t>
                  </w:r>
                </w:p>
              </w:tc>
              <w:tc>
                <w:tcPr>
                  <w:tcW w:w="928" w:type="dxa"/>
                  <w:vAlign w:val="center"/>
                </w:tcPr>
                <w:p w14:paraId="6C5C6E63">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868" w:type="dxa"/>
                  <w:shd w:val="clear" w:color="auto" w:fill="auto"/>
                  <w:vAlign w:val="center"/>
                </w:tcPr>
                <w:p w14:paraId="702C6701">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1847" w:type="dxa"/>
                  <w:shd w:val="clear" w:color="auto" w:fill="auto"/>
                  <w:vAlign w:val="center"/>
                </w:tcPr>
                <w:p w14:paraId="2F362F1B">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2442.5（无量纲）</w:t>
                  </w:r>
                </w:p>
              </w:tc>
              <w:tc>
                <w:tcPr>
                  <w:tcW w:w="1830" w:type="dxa"/>
                  <w:vMerge w:val="continue"/>
                  <w:vAlign w:val="center"/>
                </w:tcPr>
                <w:p w14:paraId="23E1E1D5">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p>
              </w:tc>
              <w:tc>
                <w:tcPr>
                  <w:tcW w:w="569" w:type="dxa"/>
                  <w:vAlign w:val="center"/>
                </w:tcPr>
                <w:p w14:paraId="17B07870">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90</w:t>
                  </w:r>
                </w:p>
              </w:tc>
              <w:tc>
                <w:tcPr>
                  <w:tcW w:w="569" w:type="dxa"/>
                  <w:vAlign w:val="center"/>
                </w:tcPr>
                <w:p w14:paraId="1BA2E97D">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60</w:t>
                  </w:r>
                </w:p>
              </w:tc>
              <w:tc>
                <w:tcPr>
                  <w:tcW w:w="937" w:type="dxa"/>
                  <w:shd w:val="clear" w:color="auto" w:fill="auto"/>
                  <w:vAlign w:val="center"/>
                </w:tcPr>
                <w:p w14:paraId="11C360DA">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796" w:type="dxa"/>
                  <w:shd w:val="clear" w:color="auto" w:fill="auto"/>
                  <w:vAlign w:val="center"/>
                </w:tcPr>
                <w:p w14:paraId="6004F0D7">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1585" w:type="dxa"/>
                  <w:shd w:val="clear" w:color="auto" w:fill="auto"/>
                  <w:vAlign w:val="center"/>
                </w:tcPr>
                <w:p w14:paraId="273469BC">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977（无量纲）</w:t>
                  </w:r>
                </w:p>
              </w:tc>
              <w:tc>
                <w:tcPr>
                  <w:tcW w:w="946" w:type="dxa"/>
                  <w:vMerge w:val="continue"/>
                  <w:vAlign w:val="center"/>
                </w:tcPr>
                <w:p w14:paraId="514EA3F7">
                  <w:pPr>
                    <w:keepNext w:val="0"/>
                    <w:keepLines w:val="0"/>
                    <w:widowControl/>
                    <w:suppressLineNumbers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865" w:type="dxa"/>
                  <w:vMerge w:val="continue"/>
                  <w:vAlign w:val="center"/>
                </w:tcPr>
                <w:p w14:paraId="777876CA">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c>
                <w:tcPr>
                  <w:tcW w:w="939" w:type="dxa"/>
                  <w:vMerge w:val="continue"/>
                  <w:vAlign w:val="center"/>
                </w:tcPr>
                <w:p w14:paraId="7B4A7545">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r>
            <w:tr w14:paraId="28BC6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dxa"/>
                  <w:vMerge w:val="restart"/>
                  <w:vAlign w:val="center"/>
                </w:tcPr>
                <w:p w14:paraId="32294AA8">
                  <w:pPr>
                    <w:spacing w:line="240" w:lineRule="auto"/>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开炼废气</w:t>
                  </w:r>
                </w:p>
              </w:tc>
              <w:tc>
                <w:tcPr>
                  <w:tcW w:w="1269" w:type="dxa"/>
                  <w:shd w:val="clear" w:color="auto" w:fill="auto"/>
                  <w:vAlign w:val="center"/>
                </w:tcPr>
                <w:p w14:paraId="6312F08F">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非甲烷总烃</w:t>
                  </w:r>
                </w:p>
              </w:tc>
              <w:tc>
                <w:tcPr>
                  <w:tcW w:w="928" w:type="dxa"/>
                  <w:vAlign w:val="center"/>
                </w:tcPr>
                <w:p w14:paraId="20FB27F2">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0.722</w:t>
                  </w:r>
                </w:p>
              </w:tc>
              <w:tc>
                <w:tcPr>
                  <w:tcW w:w="868" w:type="dxa"/>
                  <w:shd w:val="clear" w:color="auto" w:fill="auto"/>
                  <w:vAlign w:val="center"/>
                </w:tcPr>
                <w:p w14:paraId="0B9C89D4">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0.150 </w:t>
                  </w:r>
                </w:p>
              </w:tc>
              <w:tc>
                <w:tcPr>
                  <w:tcW w:w="1847" w:type="dxa"/>
                  <w:shd w:val="clear" w:color="auto" w:fill="auto"/>
                  <w:vAlign w:val="center"/>
                </w:tcPr>
                <w:p w14:paraId="6FAE432C">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11.938 </w:t>
                  </w:r>
                </w:p>
              </w:tc>
              <w:tc>
                <w:tcPr>
                  <w:tcW w:w="1830" w:type="dxa"/>
                  <w:vMerge w:val="continue"/>
                  <w:vAlign w:val="center"/>
                </w:tcPr>
                <w:p w14:paraId="576F0114">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p>
              </w:tc>
              <w:tc>
                <w:tcPr>
                  <w:tcW w:w="569" w:type="dxa"/>
                  <w:shd w:val="clear" w:color="auto" w:fill="auto"/>
                  <w:vAlign w:val="center"/>
                </w:tcPr>
                <w:p w14:paraId="14FB2CDE">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90</w:t>
                  </w:r>
                </w:p>
              </w:tc>
              <w:tc>
                <w:tcPr>
                  <w:tcW w:w="569" w:type="dxa"/>
                  <w:shd w:val="clear" w:color="auto" w:fill="auto"/>
                  <w:vAlign w:val="center"/>
                </w:tcPr>
                <w:p w14:paraId="00B75BBF">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90</w:t>
                  </w:r>
                </w:p>
              </w:tc>
              <w:tc>
                <w:tcPr>
                  <w:tcW w:w="937" w:type="dxa"/>
                  <w:shd w:val="clear" w:color="auto" w:fill="auto"/>
                  <w:vAlign w:val="center"/>
                </w:tcPr>
                <w:p w14:paraId="5190EE0A">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0.065 </w:t>
                  </w:r>
                </w:p>
              </w:tc>
              <w:tc>
                <w:tcPr>
                  <w:tcW w:w="796" w:type="dxa"/>
                  <w:shd w:val="clear" w:color="auto" w:fill="auto"/>
                  <w:vAlign w:val="center"/>
                </w:tcPr>
                <w:p w14:paraId="22611AE6">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0.014 </w:t>
                  </w:r>
                </w:p>
              </w:tc>
              <w:tc>
                <w:tcPr>
                  <w:tcW w:w="1585" w:type="dxa"/>
                  <w:shd w:val="clear" w:color="auto" w:fill="auto"/>
                  <w:vAlign w:val="center"/>
                </w:tcPr>
                <w:p w14:paraId="7A4A3FAE">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1.074 </w:t>
                  </w:r>
                </w:p>
              </w:tc>
              <w:tc>
                <w:tcPr>
                  <w:tcW w:w="946" w:type="dxa"/>
                  <w:vMerge w:val="continue"/>
                  <w:vAlign w:val="center"/>
                </w:tcPr>
                <w:p w14:paraId="1AC29D42">
                  <w:pPr>
                    <w:keepNext w:val="0"/>
                    <w:keepLines w:val="0"/>
                    <w:widowControl/>
                    <w:suppressLineNumbers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865" w:type="dxa"/>
                  <w:vMerge w:val="restart"/>
                  <w:vAlign w:val="center"/>
                </w:tcPr>
                <w:p w14:paraId="5B43FEB3">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4800</w:t>
                  </w:r>
                  <w:r>
                    <w:rPr>
                      <w:rFonts w:hint="eastAsia" w:ascii="Times New Roman" w:hAnsi="Times New Roman" w:cs="Times New Roman"/>
                      <w:i w:val="0"/>
                      <w:iCs w:val="0"/>
                      <w:color w:val="auto"/>
                      <w:kern w:val="0"/>
                      <w:sz w:val="21"/>
                      <w:szCs w:val="21"/>
                      <w:u w:val="none"/>
                      <w:lang w:val="en-US" w:eastAsia="zh-CN" w:bidi="ar"/>
                    </w:rPr>
                    <w:t>h</w:t>
                  </w:r>
                </w:p>
              </w:tc>
              <w:tc>
                <w:tcPr>
                  <w:tcW w:w="939" w:type="dxa"/>
                  <w:vMerge w:val="restart"/>
                  <w:vAlign w:val="center"/>
                </w:tcPr>
                <w:p w14:paraId="00C874F2">
                  <w:pPr>
                    <w:keepNext w:val="0"/>
                    <w:keepLines w:val="0"/>
                    <w:widowControl/>
                    <w:suppressLineNumbers w:val="0"/>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12600</w:t>
                  </w:r>
                </w:p>
              </w:tc>
            </w:tr>
            <w:tr w14:paraId="64381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dxa"/>
                  <w:vMerge w:val="continue"/>
                  <w:vAlign w:val="center"/>
                </w:tcPr>
                <w:p w14:paraId="1765F88F">
                  <w:pPr>
                    <w:spacing w:line="240" w:lineRule="auto"/>
                    <w:jc w:val="center"/>
                    <w:rPr>
                      <w:rFonts w:hint="eastAsia" w:cs="Times New Roman" w:eastAsiaTheme="minorEastAsia"/>
                      <w:color w:val="auto"/>
                      <w:sz w:val="21"/>
                      <w:szCs w:val="21"/>
                      <w:lang w:val="en-US" w:eastAsia="zh-CN"/>
                    </w:rPr>
                  </w:pPr>
                </w:p>
              </w:tc>
              <w:tc>
                <w:tcPr>
                  <w:tcW w:w="1269" w:type="dxa"/>
                  <w:shd w:val="clear" w:color="auto" w:fill="auto"/>
                  <w:vAlign w:val="center"/>
                </w:tcPr>
                <w:p w14:paraId="316888BC">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臭气浓度</w:t>
                  </w:r>
                </w:p>
              </w:tc>
              <w:tc>
                <w:tcPr>
                  <w:tcW w:w="928" w:type="dxa"/>
                  <w:shd w:val="clear" w:color="auto" w:fill="auto"/>
                  <w:vAlign w:val="center"/>
                </w:tcPr>
                <w:p w14:paraId="5BDE117D">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w:t>
                  </w:r>
                </w:p>
              </w:tc>
              <w:tc>
                <w:tcPr>
                  <w:tcW w:w="868" w:type="dxa"/>
                  <w:shd w:val="clear" w:color="auto" w:fill="auto"/>
                  <w:vAlign w:val="center"/>
                </w:tcPr>
                <w:p w14:paraId="2E1FB3C7">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1847" w:type="dxa"/>
                  <w:shd w:val="clear" w:color="auto" w:fill="auto"/>
                  <w:vAlign w:val="center"/>
                </w:tcPr>
                <w:p w14:paraId="633C99EB">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2442.5（无量纲）</w:t>
                  </w:r>
                </w:p>
              </w:tc>
              <w:tc>
                <w:tcPr>
                  <w:tcW w:w="1830" w:type="dxa"/>
                  <w:vMerge w:val="continue"/>
                  <w:vAlign w:val="center"/>
                </w:tcPr>
                <w:p w14:paraId="5BF4D598">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p>
              </w:tc>
              <w:tc>
                <w:tcPr>
                  <w:tcW w:w="569" w:type="dxa"/>
                  <w:shd w:val="clear" w:color="auto" w:fill="auto"/>
                  <w:vAlign w:val="center"/>
                </w:tcPr>
                <w:p w14:paraId="1EFD9DD7">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90</w:t>
                  </w:r>
                </w:p>
              </w:tc>
              <w:tc>
                <w:tcPr>
                  <w:tcW w:w="569" w:type="dxa"/>
                  <w:shd w:val="clear" w:color="auto" w:fill="auto"/>
                  <w:vAlign w:val="center"/>
                </w:tcPr>
                <w:p w14:paraId="2BE2151C">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60</w:t>
                  </w:r>
                </w:p>
              </w:tc>
              <w:tc>
                <w:tcPr>
                  <w:tcW w:w="937" w:type="dxa"/>
                  <w:shd w:val="clear" w:color="auto" w:fill="auto"/>
                  <w:vAlign w:val="center"/>
                </w:tcPr>
                <w:p w14:paraId="530F5485">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796" w:type="dxa"/>
                  <w:shd w:val="clear" w:color="auto" w:fill="auto"/>
                  <w:vAlign w:val="center"/>
                </w:tcPr>
                <w:p w14:paraId="125C15E8">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1585" w:type="dxa"/>
                  <w:shd w:val="clear" w:color="auto" w:fill="auto"/>
                  <w:vAlign w:val="center"/>
                </w:tcPr>
                <w:p w14:paraId="2D43CA11">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977（无量纲）</w:t>
                  </w:r>
                </w:p>
              </w:tc>
              <w:tc>
                <w:tcPr>
                  <w:tcW w:w="946" w:type="dxa"/>
                  <w:vMerge w:val="continue"/>
                  <w:vAlign w:val="center"/>
                </w:tcPr>
                <w:p w14:paraId="6F1CB7CF">
                  <w:pPr>
                    <w:keepNext w:val="0"/>
                    <w:keepLines w:val="0"/>
                    <w:widowControl/>
                    <w:suppressLineNumbers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865" w:type="dxa"/>
                  <w:vMerge w:val="continue"/>
                  <w:vAlign w:val="center"/>
                </w:tcPr>
                <w:p w14:paraId="64FB4AF4">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c>
                <w:tcPr>
                  <w:tcW w:w="939" w:type="dxa"/>
                  <w:vMerge w:val="continue"/>
                  <w:vAlign w:val="center"/>
                </w:tcPr>
                <w:p w14:paraId="3157E24A">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r>
            <w:tr w14:paraId="0EE94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dxa"/>
                  <w:vMerge w:val="restart"/>
                  <w:vAlign w:val="center"/>
                </w:tcPr>
                <w:p w14:paraId="679A9312">
                  <w:pPr>
                    <w:spacing w:line="240" w:lineRule="auto"/>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合计</w:t>
                  </w:r>
                </w:p>
              </w:tc>
              <w:tc>
                <w:tcPr>
                  <w:tcW w:w="1269" w:type="dxa"/>
                  <w:shd w:val="clear" w:color="auto" w:fill="auto"/>
                  <w:vAlign w:val="center"/>
                </w:tcPr>
                <w:p w14:paraId="29B2014B">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颗粒物</w:t>
                  </w:r>
                </w:p>
              </w:tc>
              <w:tc>
                <w:tcPr>
                  <w:tcW w:w="928" w:type="dxa"/>
                  <w:vAlign w:val="center"/>
                </w:tcPr>
                <w:p w14:paraId="535F072D">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868" w:type="dxa"/>
                  <w:vAlign w:val="center"/>
                </w:tcPr>
                <w:p w14:paraId="438E9571">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1847" w:type="dxa"/>
                  <w:vAlign w:val="center"/>
                </w:tcPr>
                <w:p w14:paraId="7E22F556">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1830" w:type="dxa"/>
                  <w:vMerge w:val="continue"/>
                  <w:vAlign w:val="center"/>
                </w:tcPr>
                <w:p w14:paraId="0060C3E9">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p>
              </w:tc>
              <w:tc>
                <w:tcPr>
                  <w:tcW w:w="569" w:type="dxa"/>
                  <w:vAlign w:val="center"/>
                </w:tcPr>
                <w:p w14:paraId="16570BB2">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569" w:type="dxa"/>
                  <w:vAlign w:val="center"/>
                </w:tcPr>
                <w:p w14:paraId="6EB02B4B">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937" w:type="dxa"/>
                  <w:shd w:val="clear" w:color="auto" w:fill="auto"/>
                  <w:vAlign w:val="center"/>
                </w:tcPr>
                <w:p w14:paraId="6D19E966">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0.0584</w:t>
                  </w:r>
                </w:p>
              </w:tc>
              <w:tc>
                <w:tcPr>
                  <w:tcW w:w="796" w:type="dxa"/>
                  <w:shd w:val="clear" w:color="auto" w:fill="auto"/>
                  <w:vAlign w:val="center"/>
                </w:tcPr>
                <w:p w14:paraId="0758F322">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0.012 </w:t>
                  </w:r>
                </w:p>
              </w:tc>
              <w:tc>
                <w:tcPr>
                  <w:tcW w:w="1585" w:type="dxa"/>
                  <w:shd w:val="clear" w:color="auto" w:fill="auto"/>
                  <w:vAlign w:val="center"/>
                </w:tcPr>
                <w:p w14:paraId="7B6A72D5">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0.324 </w:t>
                  </w:r>
                </w:p>
              </w:tc>
              <w:tc>
                <w:tcPr>
                  <w:tcW w:w="946" w:type="dxa"/>
                  <w:vMerge w:val="continue"/>
                  <w:vAlign w:val="center"/>
                </w:tcPr>
                <w:p w14:paraId="4CE28E8C">
                  <w:pPr>
                    <w:keepNext w:val="0"/>
                    <w:keepLines w:val="0"/>
                    <w:widowControl/>
                    <w:suppressLineNumbers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865" w:type="dxa"/>
                  <w:vMerge w:val="restart"/>
                  <w:vAlign w:val="center"/>
                </w:tcPr>
                <w:p w14:paraId="6EB6EE28">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4800</w:t>
                  </w:r>
                  <w:r>
                    <w:rPr>
                      <w:rFonts w:hint="eastAsia" w:ascii="Times New Roman" w:hAnsi="Times New Roman" w:cs="Times New Roman"/>
                      <w:i w:val="0"/>
                      <w:iCs w:val="0"/>
                      <w:color w:val="auto"/>
                      <w:kern w:val="0"/>
                      <w:sz w:val="21"/>
                      <w:szCs w:val="21"/>
                      <w:u w:val="none"/>
                      <w:lang w:val="en-US" w:eastAsia="zh-CN" w:bidi="ar"/>
                    </w:rPr>
                    <w:t>h</w:t>
                  </w:r>
                </w:p>
              </w:tc>
              <w:tc>
                <w:tcPr>
                  <w:tcW w:w="939" w:type="dxa"/>
                  <w:vMerge w:val="restart"/>
                  <w:vAlign w:val="center"/>
                </w:tcPr>
                <w:p w14:paraId="22833415">
                  <w:pPr>
                    <w:keepNext w:val="0"/>
                    <w:keepLines w:val="0"/>
                    <w:widowControl/>
                    <w:suppressLineNumbers w:val="0"/>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37500</w:t>
                  </w:r>
                </w:p>
              </w:tc>
            </w:tr>
            <w:tr w14:paraId="030AB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dxa"/>
                  <w:vMerge w:val="continue"/>
                  <w:vAlign w:val="center"/>
                </w:tcPr>
                <w:p w14:paraId="38B5AD6E">
                  <w:pPr>
                    <w:spacing w:line="240" w:lineRule="auto"/>
                    <w:jc w:val="center"/>
                    <w:rPr>
                      <w:rFonts w:hint="eastAsia" w:cs="Times New Roman" w:eastAsiaTheme="minorEastAsia"/>
                      <w:color w:val="auto"/>
                      <w:sz w:val="21"/>
                      <w:szCs w:val="21"/>
                      <w:lang w:val="en-US" w:eastAsia="zh-CN"/>
                    </w:rPr>
                  </w:pPr>
                </w:p>
              </w:tc>
              <w:tc>
                <w:tcPr>
                  <w:tcW w:w="1269" w:type="dxa"/>
                  <w:shd w:val="clear" w:color="auto" w:fill="auto"/>
                  <w:vAlign w:val="center"/>
                </w:tcPr>
                <w:p w14:paraId="16C54B34">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非甲烷总烃</w:t>
                  </w:r>
                </w:p>
              </w:tc>
              <w:tc>
                <w:tcPr>
                  <w:tcW w:w="928" w:type="dxa"/>
                  <w:vAlign w:val="center"/>
                </w:tcPr>
                <w:p w14:paraId="5A693E02">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868" w:type="dxa"/>
                  <w:vAlign w:val="center"/>
                </w:tcPr>
                <w:p w14:paraId="5133833E">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1847" w:type="dxa"/>
                  <w:vAlign w:val="center"/>
                </w:tcPr>
                <w:p w14:paraId="4EA70638">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1830" w:type="dxa"/>
                  <w:vMerge w:val="continue"/>
                  <w:vAlign w:val="center"/>
                </w:tcPr>
                <w:p w14:paraId="11C2F837">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p>
              </w:tc>
              <w:tc>
                <w:tcPr>
                  <w:tcW w:w="569" w:type="dxa"/>
                  <w:vAlign w:val="center"/>
                </w:tcPr>
                <w:p w14:paraId="297413BC">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569" w:type="dxa"/>
                  <w:vAlign w:val="center"/>
                </w:tcPr>
                <w:p w14:paraId="0D5712BC">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937" w:type="dxa"/>
                  <w:shd w:val="clear" w:color="auto" w:fill="auto"/>
                  <w:vAlign w:val="center"/>
                </w:tcPr>
                <w:p w14:paraId="746B5882">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0.19</w:t>
                  </w:r>
                </w:p>
              </w:tc>
              <w:tc>
                <w:tcPr>
                  <w:tcW w:w="796" w:type="dxa"/>
                  <w:shd w:val="clear" w:color="auto" w:fill="auto"/>
                  <w:vAlign w:val="center"/>
                </w:tcPr>
                <w:p w14:paraId="338F9121">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0.040 </w:t>
                  </w:r>
                </w:p>
              </w:tc>
              <w:tc>
                <w:tcPr>
                  <w:tcW w:w="1585" w:type="dxa"/>
                  <w:shd w:val="clear" w:color="auto" w:fill="auto"/>
                  <w:vAlign w:val="center"/>
                </w:tcPr>
                <w:p w14:paraId="1E1E3017">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1.056 </w:t>
                  </w:r>
                </w:p>
              </w:tc>
              <w:tc>
                <w:tcPr>
                  <w:tcW w:w="946" w:type="dxa"/>
                  <w:vMerge w:val="continue"/>
                  <w:vAlign w:val="center"/>
                </w:tcPr>
                <w:p w14:paraId="62A6223A">
                  <w:pPr>
                    <w:keepNext w:val="0"/>
                    <w:keepLines w:val="0"/>
                    <w:widowControl/>
                    <w:suppressLineNumbers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865" w:type="dxa"/>
                  <w:vMerge w:val="continue"/>
                  <w:vAlign w:val="center"/>
                </w:tcPr>
                <w:p w14:paraId="6E17D09D">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c>
                <w:tcPr>
                  <w:tcW w:w="939" w:type="dxa"/>
                  <w:vMerge w:val="continue"/>
                  <w:vAlign w:val="center"/>
                </w:tcPr>
                <w:p w14:paraId="32AC3593">
                  <w:pPr>
                    <w:keepNext w:val="0"/>
                    <w:keepLines w:val="0"/>
                    <w:widowControl/>
                    <w:suppressLineNumbers w:val="0"/>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p>
              </w:tc>
            </w:tr>
            <w:tr w14:paraId="65F77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dxa"/>
                  <w:vMerge w:val="continue"/>
                  <w:vAlign w:val="center"/>
                </w:tcPr>
                <w:p w14:paraId="4346CCD7">
                  <w:pPr>
                    <w:spacing w:line="240" w:lineRule="auto"/>
                    <w:jc w:val="center"/>
                    <w:rPr>
                      <w:rFonts w:hint="eastAsia" w:cs="Times New Roman" w:eastAsiaTheme="minorEastAsia"/>
                      <w:color w:val="auto"/>
                      <w:sz w:val="21"/>
                      <w:szCs w:val="21"/>
                      <w:lang w:val="en-US" w:eastAsia="zh-CN"/>
                    </w:rPr>
                  </w:pPr>
                </w:p>
              </w:tc>
              <w:tc>
                <w:tcPr>
                  <w:tcW w:w="1269" w:type="dxa"/>
                  <w:shd w:val="clear" w:color="auto" w:fill="auto"/>
                  <w:vAlign w:val="center"/>
                </w:tcPr>
                <w:p w14:paraId="331473E1">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臭气浓度</w:t>
                  </w:r>
                </w:p>
              </w:tc>
              <w:tc>
                <w:tcPr>
                  <w:tcW w:w="928" w:type="dxa"/>
                  <w:shd w:val="clear" w:color="auto" w:fill="auto"/>
                  <w:vAlign w:val="center"/>
                </w:tcPr>
                <w:p w14:paraId="6C3FF0E9">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w:t>
                  </w:r>
                </w:p>
              </w:tc>
              <w:tc>
                <w:tcPr>
                  <w:tcW w:w="868" w:type="dxa"/>
                  <w:shd w:val="clear" w:color="auto" w:fill="auto"/>
                  <w:vAlign w:val="center"/>
                </w:tcPr>
                <w:p w14:paraId="7BEF7C5C">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w:t>
                  </w:r>
                </w:p>
              </w:tc>
              <w:tc>
                <w:tcPr>
                  <w:tcW w:w="1847" w:type="dxa"/>
                  <w:vAlign w:val="center"/>
                </w:tcPr>
                <w:p w14:paraId="5DE216F4">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1830" w:type="dxa"/>
                  <w:vMerge w:val="continue"/>
                  <w:vAlign w:val="center"/>
                </w:tcPr>
                <w:p w14:paraId="74467B07">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p>
              </w:tc>
              <w:tc>
                <w:tcPr>
                  <w:tcW w:w="569" w:type="dxa"/>
                  <w:vAlign w:val="center"/>
                </w:tcPr>
                <w:p w14:paraId="68C78E75">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569" w:type="dxa"/>
                  <w:vAlign w:val="center"/>
                </w:tcPr>
                <w:p w14:paraId="63AC7938">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937" w:type="dxa"/>
                  <w:shd w:val="clear" w:color="auto" w:fill="auto"/>
                  <w:vAlign w:val="center"/>
                </w:tcPr>
                <w:p w14:paraId="41938131">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w:t>
                  </w:r>
                </w:p>
              </w:tc>
              <w:tc>
                <w:tcPr>
                  <w:tcW w:w="796" w:type="dxa"/>
                  <w:shd w:val="clear" w:color="auto" w:fill="auto"/>
                  <w:vAlign w:val="center"/>
                </w:tcPr>
                <w:p w14:paraId="07277330">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w:t>
                  </w:r>
                </w:p>
              </w:tc>
              <w:tc>
                <w:tcPr>
                  <w:tcW w:w="1585" w:type="dxa"/>
                  <w:shd w:val="clear" w:color="auto" w:fill="auto"/>
                  <w:vAlign w:val="center"/>
                </w:tcPr>
                <w:p w14:paraId="539F96B4">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977</w:t>
                  </w:r>
                  <w:r>
                    <w:rPr>
                      <w:rFonts w:hint="eastAsia" w:ascii="Times New Roman" w:hAnsi="Times New Roman" w:cs="Times New Roman" w:eastAsiaTheme="minorEastAsia"/>
                      <w:color w:val="auto"/>
                      <w:kern w:val="2"/>
                      <w:sz w:val="21"/>
                      <w:szCs w:val="21"/>
                      <w:lang w:val="en-US" w:eastAsia="zh-CN" w:bidi="ar-SA"/>
                    </w:rPr>
                    <w:t>（无量纲）</w:t>
                  </w:r>
                </w:p>
              </w:tc>
              <w:tc>
                <w:tcPr>
                  <w:tcW w:w="946" w:type="dxa"/>
                  <w:vMerge w:val="continue"/>
                  <w:vAlign w:val="center"/>
                </w:tcPr>
                <w:p w14:paraId="56CC79DC">
                  <w:pPr>
                    <w:keepNext w:val="0"/>
                    <w:keepLines w:val="0"/>
                    <w:widowControl/>
                    <w:suppressLineNumbers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865" w:type="dxa"/>
                  <w:vMerge w:val="continue"/>
                  <w:vAlign w:val="center"/>
                </w:tcPr>
                <w:p w14:paraId="52D6A4A3">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c>
                <w:tcPr>
                  <w:tcW w:w="939" w:type="dxa"/>
                  <w:vMerge w:val="continue"/>
                  <w:vAlign w:val="center"/>
                </w:tcPr>
                <w:p w14:paraId="0BDE7257">
                  <w:pPr>
                    <w:keepNext w:val="0"/>
                    <w:keepLines w:val="0"/>
                    <w:widowControl/>
                    <w:suppressLineNumbers w:val="0"/>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p>
              </w:tc>
            </w:tr>
            <w:tr w14:paraId="027F4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dxa"/>
                  <w:shd w:val="clear" w:color="auto" w:fill="auto"/>
                  <w:vAlign w:val="center"/>
                </w:tcPr>
                <w:p w14:paraId="08E8DB5B">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激光切割</w:t>
                  </w:r>
                </w:p>
              </w:tc>
              <w:tc>
                <w:tcPr>
                  <w:tcW w:w="1269" w:type="dxa"/>
                  <w:shd w:val="clear" w:color="auto" w:fill="auto"/>
                  <w:vAlign w:val="center"/>
                </w:tcPr>
                <w:p w14:paraId="2523402E">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颗粒物</w:t>
                  </w:r>
                </w:p>
              </w:tc>
              <w:tc>
                <w:tcPr>
                  <w:tcW w:w="928" w:type="dxa"/>
                  <w:shd w:val="clear" w:color="auto" w:fill="auto"/>
                  <w:vAlign w:val="center"/>
                </w:tcPr>
                <w:p w14:paraId="460A0154">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4.4</w:t>
                  </w:r>
                </w:p>
              </w:tc>
              <w:tc>
                <w:tcPr>
                  <w:tcW w:w="868" w:type="dxa"/>
                  <w:shd w:val="clear" w:color="auto" w:fill="auto"/>
                  <w:vAlign w:val="center"/>
                </w:tcPr>
                <w:p w14:paraId="7530A98B">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 xml:space="preserve">0.917 </w:t>
                  </w:r>
                </w:p>
              </w:tc>
              <w:tc>
                <w:tcPr>
                  <w:tcW w:w="1847" w:type="dxa"/>
                  <w:shd w:val="clear" w:color="auto" w:fill="auto"/>
                  <w:vAlign w:val="center"/>
                </w:tcPr>
                <w:p w14:paraId="4D1CEA0B">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 xml:space="preserve">163.690 </w:t>
                  </w:r>
                </w:p>
              </w:tc>
              <w:tc>
                <w:tcPr>
                  <w:tcW w:w="1830" w:type="dxa"/>
                  <w:vMerge w:val="restart"/>
                  <w:shd w:val="clear" w:color="auto" w:fill="auto"/>
                  <w:vAlign w:val="center"/>
                </w:tcPr>
                <w:p w14:paraId="0AF01036">
                  <w:pPr>
                    <w:spacing w:line="240"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布袋除尘器</w:t>
                  </w:r>
                </w:p>
              </w:tc>
              <w:tc>
                <w:tcPr>
                  <w:tcW w:w="569" w:type="dxa"/>
                  <w:shd w:val="clear" w:color="auto" w:fill="auto"/>
                  <w:vAlign w:val="center"/>
                </w:tcPr>
                <w:p w14:paraId="1F024892">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90</w:t>
                  </w:r>
                </w:p>
              </w:tc>
              <w:tc>
                <w:tcPr>
                  <w:tcW w:w="569" w:type="dxa"/>
                  <w:shd w:val="clear" w:color="auto" w:fill="auto"/>
                  <w:vAlign w:val="center"/>
                </w:tcPr>
                <w:p w14:paraId="6DF4560B">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99</w:t>
                  </w:r>
                </w:p>
              </w:tc>
              <w:tc>
                <w:tcPr>
                  <w:tcW w:w="937" w:type="dxa"/>
                  <w:shd w:val="clear" w:color="auto" w:fill="auto"/>
                  <w:vAlign w:val="center"/>
                </w:tcPr>
                <w:p w14:paraId="4FA7843D">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 xml:space="preserve">0.040 </w:t>
                  </w:r>
                </w:p>
              </w:tc>
              <w:tc>
                <w:tcPr>
                  <w:tcW w:w="796" w:type="dxa"/>
                  <w:shd w:val="clear" w:color="auto" w:fill="auto"/>
                  <w:vAlign w:val="center"/>
                </w:tcPr>
                <w:p w14:paraId="1B324A91">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 xml:space="preserve">0.008 </w:t>
                  </w:r>
                </w:p>
              </w:tc>
              <w:tc>
                <w:tcPr>
                  <w:tcW w:w="1585" w:type="dxa"/>
                  <w:shd w:val="clear" w:color="auto" w:fill="auto"/>
                  <w:vAlign w:val="center"/>
                </w:tcPr>
                <w:p w14:paraId="6D85F219">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 xml:space="preserve">1.473 </w:t>
                  </w:r>
                </w:p>
              </w:tc>
              <w:tc>
                <w:tcPr>
                  <w:tcW w:w="946" w:type="dxa"/>
                  <w:vMerge w:val="restart"/>
                  <w:shd w:val="clear" w:color="auto" w:fill="auto"/>
                  <w:vAlign w:val="center"/>
                </w:tcPr>
                <w:p w14:paraId="5EBD4EF6">
                  <w:pPr>
                    <w:keepNext w:val="0"/>
                    <w:keepLines w:val="0"/>
                    <w:widowControl/>
                    <w:suppressLineNumbers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i w:val="0"/>
                      <w:iCs w:val="0"/>
                      <w:color w:val="auto"/>
                      <w:kern w:val="0"/>
                      <w:sz w:val="21"/>
                      <w:szCs w:val="21"/>
                      <w:u w:val="none"/>
                      <w:lang w:val="en-US" w:eastAsia="zh-CN" w:bidi="ar"/>
                    </w:rPr>
                    <w:t>DA00</w:t>
                  </w:r>
                  <w:r>
                    <w:rPr>
                      <w:rFonts w:hint="eastAsia" w:cs="Times New Roman"/>
                      <w:i w:val="0"/>
                      <w:iCs w:val="0"/>
                      <w:color w:val="auto"/>
                      <w:kern w:val="0"/>
                      <w:sz w:val="21"/>
                      <w:szCs w:val="21"/>
                      <w:u w:val="none"/>
                      <w:lang w:val="en-US" w:eastAsia="zh-CN" w:bidi="ar"/>
                    </w:rPr>
                    <w:t>2</w:t>
                  </w:r>
                </w:p>
              </w:tc>
              <w:tc>
                <w:tcPr>
                  <w:tcW w:w="865" w:type="dxa"/>
                  <w:vMerge w:val="restart"/>
                  <w:shd w:val="clear" w:color="auto" w:fill="auto"/>
                  <w:vAlign w:val="center"/>
                </w:tcPr>
                <w:p w14:paraId="28DCB4D1">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4800</w:t>
                  </w:r>
                  <w:r>
                    <w:rPr>
                      <w:rFonts w:hint="eastAsia" w:ascii="Times New Roman" w:hAnsi="Times New Roman" w:cs="Times New Roman"/>
                      <w:i w:val="0"/>
                      <w:iCs w:val="0"/>
                      <w:color w:val="auto"/>
                      <w:kern w:val="0"/>
                      <w:sz w:val="21"/>
                      <w:szCs w:val="21"/>
                      <w:u w:val="none"/>
                      <w:lang w:val="en-US" w:eastAsia="zh-CN" w:bidi="ar"/>
                    </w:rPr>
                    <w:t>h</w:t>
                  </w:r>
                </w:p>
              </w:tc>
              <w:tc>
                <w:tcPr>
                  <w:tcW w:w="939" w:type="dxa"/>
                  <w:shd w:val="clear" w:color="auto" w:fill="auto"/>
                  <w:vAlign w:val="center"/>
                </w:tcPr>
                <w:p w14:paraId="67EDD26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5600</w:t>
                  </w:r>
                </w:p>
              </w:tc>
            </w:tr>
            <w:tr w14:paraId="297ED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dxa"/>
                  <w:shd w:val="clear" w:color="auto" w:fill="auto"/>
                  <w:vAlign w:val="center"/>
                </w:tcPr>
                <w:p w14:paraId="4AE98FAD">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喷砂</w:t>
                  </w:r>
                </w:p>
              </w:tc>
              <w:tc>
                <w:tcPr>
                  <w:tcW w:w="1269" w:type="dxa"/>
                  <w:shd w:val="clear" w:color="auto" w:fill="auto"/>
                  <w:vAlign w:val="center"/>
                </w:tcPr>
                <w:p w14:paraId="264CFA9C">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颗粒物</w:t>
                  </w:r>
                </w:p>
              </w:tc>
              <w:tc>
                <w:tcPr>
                  <w:tcW w:w="928" w:type="dxa"/>
                  <w:shd w:val="clear" w:color="auto" w:fill="auto"/>
                  <w:vAlign w:val="center"/>
                </w:tcPr>
                <w:p w14:paraId="1B6AC2EE">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58.473</w:t>
                  </w:r>
                </w:p>
              </w:tc>
              <w:tc>
                <w:tcPr>
                  <w:tcW w:w="868" w:type="dxa"/>
                  <w:shd w:val="clear" w:color="auto" w:fill="auto"/>
                  <w:vAlign w:val="center"/>
                </w:tcPr>
                <w:p w14:paraId="497BB68B">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 xml:space="preserve">12.182 </w:t>
                  </w:r>
                </w:p>
              </w:tc>
              <w:tc>
                <w:tcPr>
                  <w:tcW w:w="1847" w:type="dxa"/>
                  <w:shd w:val="clear" w:color="auto" w:fill="auto"/>
                  <w:vAlign w:val="center"/>
                </w:tcPr>
                <w:p w14:paraId="629A8207">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 xml:space="preserve">1522.734 </w:t>
                  </w:r>
                </w:p>
              </w:tc>
              <w:tc>
                <w:tcPr>
                  <w:tcW w:w="1830" w:type="dxa"/>
                  <w:vMerge w:val="continue"/>
                </w:tcPr>
                <w:p w14:paraId="26A96AC1">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p>
              </w:tc>
              <w:tc>
                <w:tcPr>
                  <w:tcW w:w="569" w:type="dxa"/>
                  <w:shd w:val="clear" w:color="auto" w:fill="auto"/>
                  <w:vAlign w:val="center"/>
                </w:tcPr>
                <w:p w14:paraId="460F4E60">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95</w:t>
                  </w:r>
                </w:p>
              </w:tc>
              <w:tc>
                <w:tcPr>
                  <w:tcW w:w="569" w:type="dxa"/>
                  <w:shd w:val="clear" w:color="auto" w:fill="auto"/>
                  <w:vAlign w:val="center"/>
                </w:tcPr>
                <w:p w14:paraId="70878C33">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99</w:t>
                  </w:r>
                </w:p>
              </w:tc>
              <w:tc>
                <w:tcPr>
                  <w:tcW w:w="937" w:type="dxa"/>
                  <w:shd w:val="clear" w:color="auto" w:fill="auto"/>
                  <w:vAlign w:val="center"/>
                </w:tcPr>
                <w:p w14:paraId="06943CAD">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 xml:space="preserve">0.555 </w:t>
                  </w:r>
                </w:p>
              </w:tc>
              <w:tc>
                <w:tcPr>
                  <w:tcW w:w="796" w:type="dxa"/>
                  <w:shd w:val="clear" w:color="auto" w:fill="auto"/>
                  <w:vAlign w:val="center"/>
                </w:tcPr>
                <w:p w14:paraId="2E7191A2">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 xml:space="preserve">0.116 </w:t>
                  </w:r>
                </w:p>
              </w:tc>
              <w:tc>
                <w:tcPr>
                  <w:tcW w:w="1585" w:type="dxa"/>
                  <w:shd w:val="clear" w:color="auto" w:fill="auto"/>
                  <w:vAlign w:val="center"/>
                </w:tcPr>
                <w:p w14:paraId="7B0FB6E6">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 xml:space="preserve">14.466 </w:t>
                  </w:r>
                </w:p>
              </w:tc>
              <w:tc>
                <w:tcPr>
                  <w:tcW w:w="946" w:type="dxa"/>
                  <w:vMerge w:val="continue"/>
                </w:tcPr>
                <w:p w14:paraId="68BFB470">
                  <w:pPr>
                    <w:keepNext w:val="0"/>
                    <w:keepLines w:val="0"/>
                    <w:widowControl/>
                    <w:suppressLineNumbers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865" w:type="dxa"/>
                  <w:vMerge w:val="continue"/>
                </w:tcPr>
                <w:p w14:paraId="5F3B97CA">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c>
                <w:tcPr>
                  <w:tcW w:w="939" w:type="dxa"/>
                  <w:shd w:val="clear" w:color="auto" w:fill="auto"/>
                  <w:vAlign w:val="center"/>
                </w:tcPr>
                <w:p w14:paraId="7218AC1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8000</w:t>
                  </w:r>
                </w:p>
              </w:tc>
            </w:tr>
            <w:tr w14:paraId="28108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dxa"/>
                  <w:shd w:val="clear" w:color="auto" w:fill="auto"/>
                  <w:vAlign w:val="center"/>
                </w:tcPr>
                <w:p w14:paraId="52A2CDBF">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合计</w:t>
                  </w:r>
                </w:p>
              </w:tc>
              <w:tc>
                <w:tcPr>
                  <w:tcW w:w="1269" w:type="dxa"/>
                  <w:shd w:val="clear" w:color="auto" w:fill="auto"/>
                  <w:vAlign w:val="center"/>
                </w:tcPr>
                <w:p w14:paraId="4643FE59">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颗粒物</w:t>
                  </w:r>
                </w:p>
              </w:tc>
              <w:tc>
                <w:tcPr>
                  <w:tcW w:w="928" w:type="dxa"/>
                  <w:shd w:val="clear" w:color="auto" w:fill="auto"/>
                  <w:vAlign w:val="center"/>
                </w:tcPr>
                <w:p w14:paraId="01EC2208">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w:t>
                  </w:r>
                </w:p>
              </w:tc>
              <w:tc>
                <w:tcPr>
                  <w:tcW w:w="868" w:type="dxa"/>
                  <w:shd w:val="clear" w:color="auto" w:fill="auto"/>
                  <w:vAlign w:val="center"/>
                </w:tcPr>
                <w:p w14:paraId="01A88757">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w:t>
                  </w:r>
                </w:p>
              </w:tc>
              <w:tc>
                <w:tcPr>
                  <w:tcW w:w="1847" w:type="dxa"/>
                  <w:shd w:val="clear" w:color="auto" w:fill="auto"/>
                  <w:vAlign w:val="center"/>
                </w:tcPr>
                <w:p w14:paraId="764BA4BE">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w:t>
                  </w:r>
                </w:p>
              </w:tc>
              <w:tc>
                <w:tcPr>
                  <w:tcW w:w="1830" w:type="dxa"/>
                  <w:vMerge w:val="continue"/>
                </w:tcPr>
                <w:p w14:paraId="5805F51E">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p>
              </w:tc>
              <w:tc>
                <w:tcPr>
                  <w:tcW w:w="569" w:type="dxa"/>
                  <w:shd w:val="clear" w:color="auto" w:fill="auto"/>
                  <w:vAlign w:val="center"/>
                </w:tcPr>
                <w:p w14:paraId="0A12FE04">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w:t>
                  </w:r>
                </w:p>
              </w:tc>
              <w:tc>
                <w:tcPr>
                  <w:tcW w:w="569" w:type="dxa"/>
                  <w:shd w:val="clear" w:color="auto" w:fill="auto"/>
                  <w:vAlign w:val="center"/>
                </w:tcPr>
                <w:p w14:paraId="4D006FDC">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w:t>
                  </w:r>
                </w:p>
              </w:tc>
              <w:tc>
                <w:tcPr>
                  <w:tcW w:w="937" w:type="dxa"/>
                  <w:shd w:val="clear" w:color="auto" w:fill="auto"/>
                  <w:vAlign w:val="center"/>
                </w:tcPr>
                <w:p w14:paraId="465BF211">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0.595</w:t>
                  </w:r>
                </w:p>
              </w:tc>
              <w:tc>
                <w:tcPr>
                  <w:tcW w:w="796" w:type="dxa"/>
                  <w:shd w:val="clear" w:color="auto" w:fill="auto"/>
                  <w:vAlign w:val="center"/>
                </w:tcPr>
                <w:p w14:paraId="1F700786">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 xml:space="preserve">0.124 </w:t>
                  </w:r>
                </w:p>
              </w:tc>
              <w:tc>
                <w:tcPr>
                  <w:tcW w:w="1585" w:type="dxa"/>
                  <w:shd w:val="clear" w:color="auto" w:fill="auto"/>
                  <w:vAlign w:val="center"/>
                </w:tcPr>
                <w:p w14:paraId="109306DB">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 xml:space="preserve">9.115 </w:t>
                  </w:r>
                </w:p>
              </w:tc>
              <w:tc>
                <w:tcPr>
                  <w:tcW w:w="946" w:type="dxa"/>
                  <w:vMerge w:val="continue"/>
                </w:tcPr>
                <w:p w14:paraId="374C9D5E">
                  <w:pPr>
                    <w:keepNext w:val="0"/>
                    <w:keepLines w:val="0"/>
                    <w:widowControl/>
                    <w:suppressLineNumbers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865" w:type="dxa"/>
                  <w:vMerge w:val="continue"/>
                </w:tcPr>
                <w:p w14:paraId="7964FE29">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c>
                <w:tcPr>
                  <w:tcW w:w="939" w:type="dxa"/>
                  <w:shd w:val="clear" w:color="auto" w:fill="auto"/>
                  <w:vAlign w:val="center"/>
                </w:tcPr>
                <w:p w14:paraId="1FBC03E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13600</w:t>
                  </w:r>
                </w:p>
              </w:tc>
            </w:tr>
            <w:tr w14:paraId="2244C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dxa"/>
                  <w:vMerge w:val="restart"/>
                  <w:shd w:val="clear" w:color="auto" w:fill="auto"/>
                  <w:vAlign w:val="center"/>
                </w:tcPr>
                <w:p w14:paraId="385AA446">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涂胶</w:t>
                  </w:r>
                </w:p>
              </w:tc>
              <w:tc>
                <w:tcPr>
                  <w:tcW w:w="1269" w:type="dxa"/>
                  <w:shd w:val="clear" w:color="auto" w:fill="auto"/>
                  <w:vAlign w:val="center"/>
                </w:tcPr>
                <w:p w14:paraId="67A2CF85">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cs="Times New Roman" w:eastAsiaTheme="minorEastAsia"/>
                      <w:color w:val="auto"/>
                      <w:sz w:val="21"/>
                      <w:szCs w:val="21"/>
                      <w:lang w:val="en-US" w:eastAsia="zh-CN"/>
                    </w:rPr>
                    <w:t>非甲烷总烃</w:t>
                  </w:r>
                </w:p>
              </w:tc>
              <w:tc>
                <w:tcPr>
                  <w:tcW w:w="928" w:type="dxa"/>
                  <w:shd w:val="clear" w:color="auto" w:fill="auto"/>
                  <w:vAlign w:val="center"/>
                </w:tcPr>
                <w:p w14:paraId="38A4DDFD">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2.66</w:t>
                  </w:r>
                </w:p>
              </w:tc>
              <w:tc>
                <w:tcPr>
                  <w:tcW w:w="868" w:type="dxa"/>
                  <w:shd w:val="clear" w:color="auto" w:fill="auto"/>
                  <w:vAlign w:val="center"/>
                </w:tcPr>
                <w:p w14:paraId="0B0DD500">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 xml:space="preserve">2.217 </w:t>
                  </w:r>
                </w:p>
              </w:tc>
              <w:tc>
                <w:tcPr>
                  <w:tcW w:w="1847" w:type="dxa"/>
                  <w:shd w:val="clear" w:color="auto" w:fill="auto"/>
                  <w:vAlign w:val="center"/>
                </w:tcPr>
                <w:p w14:paraId="4546AEEF">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 xml:space="preserve">307.870 </w:t>
                  </w:r>
                </w:p>
              </w:tc>
              <w:tc>
                <w:tcPr>
                  <w:tcW w:w="1830" w:type="dxa"/>
                  <w:vMerge w:val="restart"/>
                  <w:shd w:val="clear" w:color="auto" w:fill="auto"/>
                  <w:vAlign w:val="center"/>
                </w:tcPr>
                <w:p w14:paraId="62194371">
                  <w:pPr>
                    <w:spacing w:line="240" w:lineRule="auto"/>
                    <w:ind w:firstLine="0" w:firstLineChars="0"/>
                    <w:jc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二级活性炭吸附装置</w:t>
                  </w:r>
                </w:p>
              </w:tc>
              <w:tc>
                <w:tcPr>
                  <w:tcW w:w="569" w:type="dxa"/>
                  <w:vMerge w:val="restart"/>
                  <w:shd w:val="clear" w:color="auto" w:fill="auto"/>
                  <w:vAlign w:val="center"/>
                </w:tcPr>
                <w:p w14:paraId="51F2D878">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95</w:t>
                  </w:r>
                </w:p>
              </w:tc>
              <w:tc>
                <w:tcPr>
                  <w:tcW w:w="569" w:type="dxa"/>
                  <w:vMerge w:val="restart"/>
                  <w:shd w:val="clear" w:color="auto" w:fill="auto"/>
                  <w:vAlign w:val="center"/>
                </w:tcPr>
                <w:p w14:paraId="4409A45B">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90</w:t>
                  </w:r>
                </w:p>
              </w:tc>
              <w:tc>
                <w:tcPr>
                  <w:tcW w:w="937" w:type="dxa"/>
                  <w:shd w:val="clear" w:color="auto" w:fill="auto"/>
                  <w:vAlign w:val="center"/>
                </w:tcPr>
                <w:p w14:paraId="5F5C6989">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 xml:space="preserve">0.253 </w:t>
                  </w:r>
                </w:p>
              </w:tc>
              <w:tc>
                <w:tcPr>
                  <w:tcW w:w="796" w:type="dxa"/>
                  <w:shd w:val="clear" w:color="auto" w:fill="auto"/>
                  <w:vAlign w:val="center"/>
                </w:tcPr>
                <w:p w14:paraId="328580BC">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 xml:space="preserve">0.211 </w:t>
                  </w:r>
                </w:p>
              </w:tc>
              <w:tc>
                <w:tcPr>
                  <w:tcW w:w="1585" w:type="dxa"/>
                  <w:shd w:val="clear" w:color="auto" w:fill="auto"/>
                  <w:vAlign w:val="center"/>
                </w:tcPr>
                <w:p w14:paraId="3B8BBB67">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 xml:space="preserve">29.248 </w:t>
                  </w:r>
                </w:p>
              </w:tc>
              <w:tc>
                <w:tcPr>
                  <w:tcW w:w="946" w:type="dxa"/>
                  <w:vMerge w:val="restart"/>
                  <w:shd w:val="clear" w:color="auto" w:fill="auto"/>
                  <w:vAlign w:val="center"/>
                </w:tcPr>
                <w:p w14:paraId="770FDA82">
                  <w:pPr>
                    <w:keepNext w:val="0"/>
                    <w:keepLines w:val="0"/>
                    <w:widowControl/>
                    <w:suppressLineNumbers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i w:val="0"/>
                      <w:iCs w:val="0"/>
                      <w:color w:val="auto"/>
                      <w:kern w:val="0"/>
                      <w:sz w:val="21"/>
                      <w:szCs w:val="21"/>
                      <w:u w:val="none"/>
                      <w:lang w:val="en-US" w:eastAsia="zh-CN" w:bidi="ar"/>
                    </w:rPr>
                    <w:t>DA00</w:t>
                  </w:r>
                  <w:r>
                    <w:rPr>
                      <w:rFonts w:hint="eastAsia" w:cs="Times New Roman"/>
                      <w:i w:val="0"/>
                      <w:iCs w:val="0"/>
                      <w:color w:val="auto"/>
                      <w:kern w:val="0"/>
                      <w:sz w:val="21"/>
                      <w:szCs w:val="21"/>
                      <w:u w:val="none"/>
                      <w:lang w:val="en-US" w:eastAsia="zh-CN" w:bidi="ar"/>
                    </w:rPr>
                    <w:t>3</w:t>
                  </w:r>
                </w:p>
              </w:tc>
              <w:tc>
                <w:tcPr>
                  <w:tcW w:w="865" w:type="dxa"/>
                  <w:vMerge w:val="restart"/>
                  <w:shd w:val="clear" w:color="auto" w:fill="auto"/>
                  <w:vAlign w:val="center"/>
                </w:tcPr>
                <w:p w14:paraId="5CF2414F">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1200</w:t>
                  </w:r>
                  <w:r>
                    <w:rPr>
                      <w:rFonts w:hint="eastAsia" w:ascii="Times New Roman" w:hAnsi="Times New Roman" w:cs="Times New Roman"/>
                      <w:i w:val="0"/>
                      <w:iCs w:val="0"/>
                      <w:color w:val="auto"/>
                      <w:kern w:val="0"/>
                      <w:sz w:val="21"/>
                      <w:szCs w:val="21"/>
                      <w:u w:val="none"/>
                      <w:lang w:val="en-US" w:eastAsia="zh-CN" w:bidi="ar"/>
                    </w:rPr>
                    <w:t>h</w:t>
                  </w:r>
                </w:p>
              </w:tc>
              <w:tc>
                <w:tcPr>
                  <w:tcW w:w="939" w:type="dxa"/>
                  <w:vMerge w:val="restart"/>
                  <w:shd w:val="clear" w:color="auto" w:fill="auto"/>
                  <w:vAlign w:val="center"/>
                </w:tcPr>
                <w:p w14:paraId="7A4D6FD9">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7200</w:t>
                  </w:r>
                </w:p>
              </w:tc>
            </w:tr>
            <w:tr w14:paraId="5E8D4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dxa"/>
                  <w:vMerge w:val="continue"/>
                  <w:tcBorders/>
                  <w:shd w:val="clear" w:color="auto" w:fill="auto"/>
                  <w:vAlign w:val="center"/>
                </w:tcPr>
                <w:p w14:paraId="55B90B26">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p>
              </w:tc>
              <w:tc>
                <w:tcPr>
                  <w:tcW w:w="1269" w:type="dxa"/>
                  <w:shd w:val="clear" w:color="auto" w:fill="auto"/>
                  <w:vAlign w:val="center"/>
                </w:tcPr>
                <w:p w14:paraId="38FFAD03">
                  <w:pPr>
                    <w:spacing w:line="240" w:lineRule="auto"/>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二甲苯</w:t>
                  </w:r>
                </w:p>
              </w:tc>
              <w:tc>
                <w:tcPr>
                  <w:tcW w:w="928" w:type="dxa"/>
                  <w:shd w:val="clear"/>
                  <w:vAlign w:val="center"/>
                </w:tcPr>
                <w:p w14:paraId="0A1F2DD8">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cs="Times New Roman" w:eastAsiaTheme="minorEastAsia"/>
                      <w:b w:val="0"/>
                      <w:bCs w:val="0"/>
                      <w:color w:val="auto"/>
                      <w:sz w:val="21"/>
                      <w:szCs w:val="21"/>
                      <w:lang w:val="en-US" w:eastAsia="zh-CN"/>
                    </w:rPr>
                    <w:t>0.45</w:t>
                  </w:r>
                </w:p>
              </w:tc>
              <w:tc>
                <w:tcPr>
                  <w:tcW w:w="868" w:type="dxa"/>
                  <w:shd w:val="clear" w:color="auto" w:fill="auto"/>
                  <w:vAlign w:val="center"/>
                </w:tcPr>
                <w:p w14:paraId="0FC78DDD">
                  <w:pPr>
                    <w:spacing w:line="240" w:lineRule="auto"/>
                    <w:ind w:firstLine="0" w:firstLineChars="0"/>
                    <w:jc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cs="Times New Roman" w:eastAsiaTheme="minorEastAsia"/>
                      <w:b w:val="0"/>
                      <w:bCs w:val="0"/>
                      <w:color w:val="auto"/>
                      <w:sz w:val="21"/>
                      <w:szCs w:val="21"/>
                      <w:lang w:val="en-US" w:eastAsia="zh-CN"/>
                    </w:rPr>
                    <w:t>0.375</w:t>
                  </w:r>
                </w:p>
              </w:tc>
              <w:tc>
                <w:tcPr>
                  <w:tcW w:w="1847" w:type="dxa"/>
                  <w:shd w:val="clear" w:color="auto" w:fill="auto"/>
                  <w:vAlign w:val="center"/>
                </w:tcPr>
                <w:p w14:paraId="1C30BFB7">
                  <w:pPr>
                    <w:spacing w:line="240" w:lineRule="auto"/>
                    <w:ind w:firstLine="0" w:firstLineChars="0"/>
                    <w:jc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cs="Times New Roman" w:eastAsiaTheme="minorEastAsia"/>
                      <w:b w:val="0"/>
                      <w:bCs w:val="0"/>
                      <w:color w:val="auto"/>
                      <w:sz w:val="21"/>
                      <w:szCs w:val="21"/>
                      <w:lang w:val="en-US" w:eastAsia="zh-CN"/>
                    </w:rPr>
                    <w:t>52.08</w:t>
                  </w:r>
                </w:p>
              </w:tc>
              <w:tc>
                <w:tcPr>
                  <w:tcW w:w="1830" w:type="dxa"/>
                  <w:vMerge w:val="continue"/>
                  <w:shd w:val="clear" w:color="auto" w:fill="auto"/>
                  <w:vAlign w:val="center"/>
                </w:tcPr>
                <w:p w14:paraId="2D854550">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p>
              </w:tc>
              <w:tc>
                <w:tcPr>
                  <w:tcW w:w="569" w:type="dxa"/>
                  <w:vMerge w:val="continue"/>
                  <w:tcBorders/>
                  <w:shd w:val="clear" w:color="auto" w:fill="auto"/>
                  <w:vAlign w:val="center"/>
                </w:tcPr>
                <w:p w14:paraId="36BE3249">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p>
              </w:tc>
              <w:tc>
                <w:tcPr>
                  <w:tcW w:w="569" w:type="dxa"/>
                  <w:vMerge w:val="continue"/>
                  <w:tcBorders/>
                  <w:shd w:val="clear" w:color="auto" w:fill="auto"/>
                  <w:vAlign w:val="center"/>
                </w:tcPr>
                <w:p w14:paraId="7605102F">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p>
              </w:tc>
              <w:tc>
                <w:tcPr>
                  <w:tcW w:w="937" w:type="dxa"/>
                  <w:shd w:val="clear" w:color="auto" w:fill="auto"/>
                  <w:vAlign w:val="center"/>
                </w:tcPr>
                <w:p w14:paraId="348B4282">
                  <w:pPr>
                    <w:spacing w:line="240" w:lineRule="auto"/>
                    <w:ind w:firstLine="0" w:firstLineChars="0"/>
                    <w:jc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cs="Times New Roman" w:eastAsiaTheme="minorEastAsia"/>
                      <w:b w:val="0"/>
                      <w:bCs w:val="0"/>
                      <w:color w:val="auto"/>
                      <w:sz w:val="21"/>
                      <w:szCs w:val="21"/>
                      <w:lang w:val="en-US" w:eastAsia="zh-CN"/>
                    </w:rPr>
                    <w:t>0.043</w:t>
                  </w:r>
                </w:p>
              </w:tc>
              <w:tc>
                <w:tcPr>
                  <w:tcW w:w="796" w:type="dxa"/>
                  <w:shd w:val="clear" w:color="auto" w:fill="auto"/>
                  <w:vAlign w:val="center"/>
                </w:tcPr>
                <w:p w14:paraId="05C6AFEB">
                  <w:pPr>
                    <w:spacing w:line="240" w:lineRule="auto"/>
                    <w:ind w:firstLine="0" w:firstLineChars="0"/>
                    <w:jc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cs="Times New Roman" w:eastAsiaTheme="minorEastAsia"/>
                      <w:b w:val="0"/>
                      <w:bCs w:val="0"/>
                      <w:color w:val="auto"/>
                      <w:sz w:val="21"/>
                      <w:szCs w:val="21"/>
                      <w:lang w:val="en-US" w:eastAsia="zh-CN"/>
                    </w:rPr>
                    <w:t>0.036</w:t>
                  </w:r>
                </w:p>
              </w:tc>
              <w:tc>
                <w:tcPr>
                  <w:tcW w:w="1585" w:type="dxa"/>
                  <w:shd w:val="clear" w:color="auto" w:fill="auto"/>
                  <w:vAlign w:val="center"/>
                </w:tcPr>
                <w:p w14:paraId="1B23E6FB">
                  <w:pPr>
                    <w:spacing w:line="240" w:lineRule="auto"/>
                    <w:ind w:firstLine="0" w:firstLineChars="0"/>
                    <w:jc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cs="Times New Roman" w:eastAsiaTheme="minorEastAsia"/>
                      <w:b w:val="0"/>
                      <w:bCs w:val="0"/>
                      <w:color w:val="auto"/>
                      <w:sz w:val="21"/>
                      <w:szCs w:val="21"/>
                      <w:lang w:val="en-US" w:eastAsia="zh-CN"/>
                    </w:rPr>
                    <w:t>4.95</w:t>
                  </w:r>
                </w:p>
              </w:tc>
              <w:tc>
                <w:tcPr>
                  <w:tcW w:w="946" w:type="dxa"/>
                  <w:vMerge w:val="continue"/>
                  <w:shd w:val="clear" w:color="auto" w:fill="auto"/>
                  <w:vAlign w:val="center"/>
                </w:tcPr>
                <w:p w14:paraId="364591F9">
                  <w:pPr>
                    <w:keepNext w:val="0"/>
                    <w:keepLines w:val="0"/>
                    <w:widowControl/>
                    <w:suppressLineNumbers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865" w:type="dxa"/>
                  <w:vMerge w:val="continue"/>
                  <w:tcBorders/>
                  <w:shd w:val="clear" w:color="auto" w:fill="auto"/>
                  <w:vAlign w:val="center"/>
                </w:tcPr>
                <w:p w14:paraId="7CEA25E4">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p>
              </w:tc>
              <w:tc>
                <w:tcPr>
                  <w:tcW w:w="939" w:type="dxa"/>
                  <w:vMerge w:val="continue"/>
                  <w:tcBorders/>
                  <w:shd w:val="clear" w:color="auto" w:fill="auto"/>
                  <w:vAlign w:val="center"/>
                </w:tcPr>
                <w:p w14:paraId="32028D38">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p>
              </w:tc>
            </w:tr>
            <w:tr w14:paraId="2A748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dxa"/>
                  <w:vMerge w:val="restart"/>
                  <w:shd w:val="clear" w:color="auto" w:fill="auto"/>
                  <w:vAlign w:val="center"/>
                </w:tcPr>
                <w:p w14:paraId="112E3E4A">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硫化</w:t>
                  </w:r>
                </w:p>
              </w:tc>
              <w:tc>
                <w:tcPr>
                  <w:tcW w:w="1269" w:type="dxa"/>
                  <w:shd w:val="clear" w:color="auto" w:fill="auto"/>
                  <w:vAlign w:val="center"/>
                </w:tcPr>
                <w:p w14:paraId="0975BC46">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非甲烷总烃</w:t>
                  </w:r>
                </w:p>
              </w:tc>
              <w:tc>
                <w:tcPr>
                  <w:tcW w:w="928" w:type="dxa"/>
                  <w:shd w:val="clear" w:color="auto" w:fill="auto"/>
                  <w:vAlign w:val="center"/>
                </w:tcPr>
                <w:p w14:paraId="5819F351">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1.356</w:t>
                  </w:r>
                </w:p>
              </w:tc>
              <w:tc>
                <w:tcPr>
                  <w:tcW w:w="868" w:type="dxa"/>
                  <w:shd w:val="clear" w:color="auto" w:fill="auto"/>
                  <w:vAlign w:val="center"/>
                </w:tcPr>
                <w:p w14:paraId="407236B6">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 xml:space="preserve">0.283 </w:t>
                  </w:r>
                </w:p>
              </w:tc>
              <w:tc>
                <w:tcPr>
                  <w:tcW w:w="1847" w:type="dxa"/>
                  <w:shd w:val="clear" w:color="auto" w:fill="auto"/>
                  <w:vAlign w:val="center"/>
                </w:tcPr>
                <w:p w14:paraId="7E3A226E">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 xml:space="preserve">2.354 </w:t>
                  </w:r>
                </w:p>
              </w:tc>
              <w:tc>
                <w:tcPr>
                  <w:tcW w:w="1830" w:type="dxa"/>
                  <w:vMerge w:val="continue"/>
                </w:tcPr>
                <w:p w14:paraId="39D6E16E">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p>
              </w:tc>
              <w:tc>
                <w:tcPr>
                  <w:tcW w:w="569" w:type="dxa"/>
                  <w:shd w:val="clear" w:color="auto" w:fill="auto"/>
                  <w:vAlign w:val="center"/>
                </w:tcPr>
                <w:p w14:paraId="3087B5A2">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90</w:t>
                  </w:r>
                </w:p>
              </w:tc>
              <w:tc>
                <w:tcPr>
                  <w:tcW w:w="569" w:type="dxa"/>
                  <w:shd w:val="clear" w:color="auto" w:fill="auto"/>
                  <w:vAlign w:val="center"/>
                </w:tcPr>
                <w:p w14:paraId="269A8739">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90</w:t>
                  </w:r>
                </w:p>
              </w:tc>
              <w:tc>
                <w:tcPr>
                  <w:tcW w:w="937" w:type="dxa"/>
                  <w:shd w:val="clear" w:color="auto" w:fill="auto"/>
                  <w:vAlign w:val="center"/>
                </w:tcPr>
                <w:p w14:paraId="08D35E24">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 xml:space="preserve">0.122 </w:t>
                  </w:r>
                </w:p>
              </w:tc>
              <w:tc>
                <w:tcPr>
                  <w:tcW w:w="796" w:type="dxa"/>
                  <w:shd w:val="clear" w:color="auto" w:fill="auto"/>
                  <w:vAlign w:val="center"/>
                </w:tcPr>
                <w:p w14:paraId="5CED77AB">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 xml:space="preserve">0.025 </w:t>
                  </w:r>
                </w:p>
              </w:tc>
              <w:tc>
                <w:tcPr>
                  <w:tcW w:w="1585" w:type="dxa"/>
                  <w:shd w:val="clear" w:color="auto" w:fill="auto"/>
                  <w:vAlign w:val="center"/>
                </w:tcPr>
                <w:p w14:paraId="79990530">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 xml:space="preserve">0.212 </w:t>
                  </w:r>
                </w:p>
              </w:tc>
              <w:tc>
                <w:tcPr>
                  <w:tcW w:w="946" w:type="dxa"/>
                  <w:vMerge w:val="continue"/>
                </w:tcPr>
                <w:p w14:paraId="213A81A0">
                  <w:pPr>
                    <w:keepNext w:val="0"/>
                    <w:keepLines w:val="0"/>
                    <w:widowControl/>
                    <w:suppressLineNumbers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865" w:type="dxa"/>
                  <w:vMerge w:val="restart"/>
                  <w:shd w:val="clear" w:color="auto" w:fill="auto"/>
                  <w:vAlign w:val="center"/>
                </w:tcPr>
                <w:p w14:paraId="7BB6B9CF">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4800</w:t>
                  </w:r>
                  <w:r>
                    <w:rPr>
                      <w:rFonts w:hint="eastAsia" w:ascii="Times New Roman" w:hAnsi="Times New Roman" w:cs="Times New Roman"/>
                      <w:i w:val="0"/>
                      <w:iCs w:val="0"/>
                      <w:color w:val="auto"/>
                      <w:kern w:val="0"/>
                      <w:sz w:val="21"/>
                      <w:szCs w:val="21"/>
                      <w:u w:val="none"/>
                      <w:lang w:val="en-US" w:eastAsia="zh-CN" w:bidi="ar"/>
                    </w:rPr>
                    <w:t>h</w:t>
                  </w:r>
                </w:p>
              </w:tc>
              <w:tc>
                <w:tcPr>
                  <w:tcW w:w="939" w:type="dxa"/>
                  <w:vMerge w:val="restart"/>
                  <w:shd w:val="clear" w:color="auto" w:fill="auto"/>
                  <w:vAlign w:val="center"/>
                </w:tcPr>
                <w:p w14:paraId="2CC77BD2">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120000</w:t>
                  </w:r>
                </w:p>
              </w:tc>
            </w:tr>
            <w:tr w14:paraId="54659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dxa"/>
                  <w:vMerge w:val="continue"/>
                </w:tcPr>
                <w:p w14:paraId="119A01A0">
                  <w:pPr>
                    <w:spacing w:line="240" w:lineRule="auto"/>
                    <w:ind w:firstLine="0" w:firstLineChars="0"/>
                    <w:jc w:val="center"/>
                    <w:rPr>
                      <w:rFonts w:hint="eastAsia" w:cs="Times New Roman" w:eastAsiaTheme="minorEastAsia"/>
                      <w:color w:val="auto"/>
                      <w:sz w:val="21"/>
                      <w:szCs w:val="21"/>
                      <w:lang w:val="en-US" w:eastAsia="zh-CN"/>
                    </w:rPr>
                  </w:pPr>
                </w:p>
              </w:tc>
              <w:tc>
                <w:tcPr>
                  <w:tcW w:w="1269" w:type="dxa"/>
                  <w:shd w:val="clear" w:color="auto" w:fill="auto"/>
                  <w:vAlign w:val="center"/>
                </w:tcPr>
                <w:p w14:paraId="0A81FC44">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硫化氢</w:t>
                  </w:r>
                </w:p>
              </w:tc>
              <w:tc>
                <w:tcPr>
                  <w:tcW w:w="928" w:type="dxa"/>
                  <w:shd w:val="clear" w:color="auto" w:fill="auto"/>
                  <w:vAlign w:val="center"/>
                </w:tcPr>
                <w:p w14:paraId="63FB808B">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1.864</w:t>
                  </w:r>
                </w:p>
              </w:tc>
              <w:tc>
                <w:tcPr>
                  <w:tcW w:w="868" w:type="dxa"/>
                  <w:shd w:val="clear" w:color="auto" w:fill="auto"/>
                  <w:vAlign w:val="center"/>
                </w:tcPr>
                <w:p w14:paraId="3CABB1E8">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 xml:space="preserve">0.388 </w:t>
                  </w:r>
                </w:p>
              </w:tc>
              <w:tc>
                <w:tcPr>
                  <w:tcW w:w="1847" w:type="dxa"/>
                  <w:shd w:val="clear" w:color="auto" w:fill="auto"/>
                  <w:vAlign w:val="center"/>
                </w:tcPr>
                <w:p w14:paraId="42BF3BD1">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 xml:space="preserve">3.236 </w:t>
                  </w:r>
                </w:p>
              </w:tc>
              <w:tc>
                <w:tcPr>
                  <w:tcW w:w="1830" w:type="dxa"/>
                  <w:vMerge w:val="continue"/>
                </w:tcPr>
                <w:p w14:paraId="611EDA9F">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p>
              </w:tc>
              <w:tc>
                <w:tcPr>
                  <w:tcW w:w="569" w:type="dxa"/>
                  <w:shd w:val="clear" w:color="auto" w:fill="auto"/>
                  <w:vAlign w:val="center"/>
                </w:tcPr>
                <w:p w14:paraId="271FFF61">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90</w:t>
                  </w:r>
                </w:p>
              </w:tc>
              <w:tc>
                <w:tcPr>
                  <w:tcW w:w="569" w:type="dxa"/>
                  <w:shd w:val="clear" w:color="auto" w:fill="auto"/>
                  <w:vAlign w:val="center"/>
                </w:tcPr>
                <w:p w14:paraId="29FFDFF6">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90</w:t>
                  </w:r>
                </w:p>
              </w:tc>
              <w:tc>
                <w:tcPr>
                  <w:tcW w:w="937" w:type="dxa"/>
                  <w:shd w:val="clear" w:color="auto" w:fill="auto"/>
                  <w:vAlign w:val="center"/>
                </w:tcPr>
                <w:p w14:paraId="24CECBB7">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 xml:space="preserve">0.168 </w:t>
                  </w:r>
                </w:p>
              </w:tc>
              <w:tc>
                <w:tcPr>
                  <w:tcW w:w="796" w:type="dxa"/>
                  <w:shd w:val="clear" w:color="auto" w:fill="auto"/>
                  <w:vAlign w:val="center"/>
                </w:tcPr>
                <w:p w14:paraId="0BDBCC53">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 xml:space="preserve">0.035 </w:t>
                  </w:r>
                </w:p>
              </w:tc>
              <w:tc>
                <w:tcPr>
                  <w:tcW w:w="1585" w:type="dxa"/>
                  <w:shd w:val="clear" w:color="auto" w:fill="auto"/>
                  <w:vAlign w:val="center"/>
                </w:tcPr>
                <w:p w14:paraId="0E0E96C8">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 xml:space="preserve">0.291 </w:t>
                  </w:r>
                </w:p>
              </w:tc>
              <w:tc>
                <w:tcPr>
                  <w:tcW w:w="946" w:type="dxa"/>
                  <w:vMerge w:val="continue"/>
                </w:tcPr>
                <w:p w14:paraId="184E304C">
                  <w:pPr>
                    <w:keepNext w:val="0"/>
                    <w:keepLines w:val="0"/>
                    <w:widowControl/>
                    <w:suppressLineNumbers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865" w:type="dxa"/>
                  <w:vMerge w:val="continue"/>
                </w:tcPr>
                <w:p w14:paraId="7BE60C92">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c>
                <w:tcPr>
                  <w:tcW w:w="939" w:type="dxa"/>
                  <w:vMerge w:val="continue"/>
                </w:tcPr>
                <w:p w14:paraId="51F640FB">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r>
            <w:tr w14:paraId="32CF8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dxa"/>
                  <w:vMerge w:val="continue"/>
                </w:tcPr>
                <w:p w14:paraId="5D6A9BEC">
                  <w:pPr>
                    <w:spacing w:line="240" w:lineRule="auto"/>
                    <w:ind w:firstLine="0" w:firstLineChars="0"/>
                    <w:jc w:val="center"/>
                    <w:rPr>
                      <w:rFonts w:hint="eastAsia" w:cs="Times New Roman" w:eastAsiaTheme="minorEastAsia"/>
                      <w:color w:val="auto"/>
                      <w:sz w:val="21"/>
                      <w:szCs w:val="21"/>
                      <w:lang w:val="en-US" w:eastAsia="zh-CN"/>
                    </w:rPr>
                  </w:pPr>
                </w:p>
              </w:tc>
              <w:tc>
                <w:tcPr>
                  <w:tcW w:w="1269" w:type="dxa"/>
                  <w:shd w:val="clear" w:color="auto" w:fill="auto"/>
                  <w:vAlign w:val="center"/>
                </w:tcPr>
                <w:p w14:paraId="42F8283F">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臭气浓度</w:t>
                  </w:r>
                </w:p>
              </w:tc>
              <w:tc>
                <w:tcPr>
                  <w:tcW w:w="928" w:type="dxa"/>
                  <w:shd w:val="clear" w:color="auto" w:fill="auto"/>
                  <w:vAlign w:val="center"/>
                </w:tcPr>
                <w:p w14:paraId="47DFF85B">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w:t>
                  </w:r>
                </w:p>
              </w:tc>
              <w:tc>
                <w:tcPr>
                  <w:tcW w:w="868" w:type="dxa"/>
                  <w:shd w:val="clear" w:color="auto" w:fill="auto"/>
                  <w:vAlign w:val="center"/>
                </w:tcPr>
                <w:p w14:paraId="5B8ABE4C">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w:t>
                  </w:r>
                </w:p>
              </w:tc>
              <w:tc>
                <w:tcPr>
                  <w:tcW w:w="1847" w:type="dxa"/>
                  <w:shd w:val="clear" w:color="auto" w:fill="auto"/>
                  <w:vAlign w:val="center"/>
                </w:tcPr>
                <w:p w14:paraId="0EE5AA19">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2442.5（无量纲）</w:t>
                  </w:r>
                </w:p>
              </w:tc>
              <w:tc>
                <w:tcPr>
                  <w:tcW w:w="1830" w:type="dxa"/>
                  <w:vMerge w:val="continue"/>
                </w:tcPr>
                <w:p w14:paraId="4DF4FA99">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p>
              </w:tc>
              <w:tc>
                <w:tcPr>
                  <w:tcW w:w="569" w:type="dxa"/>
                  <w:shd w:val="clear" w:color="auto" w:fill="auto"/>
                  <w:vAlign w:val="center"/>
                </w:tcPr>
                <w:p w14:paraId="2EA43BB4">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w:t>
                  </w:r>
                </w:p>
              </w:tc>
              <w:tc>
                <w:tcPr>
                  <w:tcW w:w="569" w:type="dxa"/>
                  <w:shd w:val="clear" w:color="auto" w:fill="auto"/>
                  <w:vAlign w:val="center"/>
                </w:tcPr>
                <w:p w14:paraId="139C325C">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w:t>
                  </w:r>
                </w:p>
              </w:tc>
              <w:tc>
                <w:tcPr>
                  <w:tcW w:w="937" w:type="dxa"/>
                  <w:shd w:val="clear" w:color="auto" w:fill="auto"/>
                  <w:vAlign w:val="center"/>
                </w:tcPr>
                <w:p w14:paraId="4B8E8640">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w:t>
                  </w:r>
                </w:p>
              </w:tc>
              <w:tc>
                <w:tcPr>
                  <w:tcW w:w="796" w:type="dxa"/>
                  <w:shd w:val="clear" w:color="auto" w:fill="auto"/>
                  <w:vAlign w:val="center"/>
                </w:tcPr>
                <w:p w14:paraId="4F5FA7CE">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w:t>
                  </w:r>
                </w:p>
              </w:tc>
              <w:tc>
                <w:tcPr>
                  <w:tcW w:w="1585" w:type="dxa"/>
                  <w:shd w:val="clear" w:color="auto" w:fill="auto"/>
                  <w:vAlign w:val="center"/>
                </w:tcPr>
                <w:p w14:paraId="556688A4">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977（无量纲）</w:t>
                  </w:r>
                </w:p>
              </w:tc>
              <w:tc>
                <w:tcPr>
                  <w:tcW w:w="946" w:type="dxa"/>
                  <w:vMerge w:val="continue"/>
                </w:tcPr>
                <w:p w14:paraId="0A1D0965">
                  <w:pPr>
                    <w:keepNext w:val="0"/>
                    <w:keepLines w:val="0"/>
                    <w:widowControl/>
                    <w:suppressLineNumbers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865" w:type="dxa"/>
                  <w:vMerge w:val="continue"/>
                </w:tcPr>
                <w:p w14:paraId="63C85C68">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c>
                <w:tcPr>
                  <w:tcW w:w="939" w:type="dxa"/>
                  <w:vMerge w:val="continue"/>
                </w:tcPr>
                <w:p w14:paraId="151B6FE3">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r>
            <w:tr w14:paraId="2B957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dxa"/>
                  <w:vMerge w:val="restart"/>
                  <w:shd w:val="clear" w:color="auto" w:fill="auto"/>
                  <w:vAlign w:val="center"/>
                </w:tcPr>
                <w:p w14:paraId="23A3E11C">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合计</w:t>
                  </w:r>
                </w:p>
              </w:tc>
              <w:tc>
                <w:tcPr>
                  <w:tcW w:w="1269" w:type="dxa"/>
                  <w:shd w:val="clear" w:color="auto" w:fill="auto"/>
                  <w:vAlign w:val="center"/>
                </w:tcPr>
                <w:p w14:paraId="25B5A8F2">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非甲烷总烃</w:t>
                  </w:r>
                </w:p>
              </w:tc>
              <w:tc>
                <w:tcPr>
                  <w:tcW w:w="928" w:type="dxa"/>
                  <w:shd w:val="clear" w:color="auto" w:fill="auto"/>
                  <w:vAlign w:val="center"/>
                </w:tcPr>
                <w:p w14:paraId="5BEEF508">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w:t>
                  </w:r>
                </w:p>
              </w:tc>
              <w:tc>
                <w:tcPr>
                  <w:tcW w:w="868" w:type="dxa"/>
                  <w:shd w:val="clear" w:color="auto" w:fill="auto"/>
                  <w:vAlign w:val="center"/>
                </w:tcPr>
                <w:p w14:paraId="32EAFEBB">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w:t>
                  </w:r>
                </w:p>
              </w:tc>
              <w:tc>
                <w:tcPr>
                  <w:tcW w:w="1847" w:type="dxa"/>
                  <w:shd w:val="clear" w:color="auto" w:fill="auto"/>
                  <w:vAlign w:val="center"/>
                </w:tcPr>
                <w:p w14:paraId="557E7B78">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w:t>
                  </w:r>
                </w:p>
              </w:tc>
              <w:tc>
                <w:tcPr>
                  <w:tcW w:w="1830" w:type="dxa"/>
                  <w:vMerge w:val="continue"/>
                </w:tcPr>
                <w:p w14:paraId="35745C03">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p>
              </w:tc>
              <w:tc>
                <w:tcPr>
                  <w:tcW w:w="569" w:type="dxa"/>
                  <w:shd w:val="clear" w:color="auto" w:fill="auto"/>
                  <w:vAlign w:val="center"/>
                </w:tcPr>
                <w:p w14:paraId="645D995A">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w:t>
                  </w:r>
                </w:p>
              </w:tc>
              <w:tc>
                <w:tcPr>
                  <w:tcW w:w="569" w:type="dxa"/>
                  <w:shd w:val="clear" w:color="auto" w:fill="auto"/>
                  <w:vAlign w:val="center"/>
                </w:tcPr>
                <w:p w14:paraId="0844C0DA">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w:t>
                  </w:r>
                </w:p>
              </w:tc>
              <w:tc>
                <w:tcPr>
                  <w:tcW w:w="937" w:type="dxa"/>
                  <w:shd w:val="clear" w:color="auto" w:fill="auto"/>
                  <w:vAlign w:val="center"/>
                </w:tcPr>
                <w:p w14:paraId="70A9B0AF">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0.375</w:t>
                  </w:r>
                </w:p>
              </w:tc>
              <w:tc>
                <w:tcPr>
                  <w:tcW w:w="796" w:type="dxa"/>
                  <w:shd w:val="clear" w:color="auto" w:fill="auto"/>
                  <w:vAlign w:val="center"/>
                </w:tcPr>
                <w:p w14:paraId="38157625">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 xml:space="preserve">0.078 </w:t>
                  </w:r>
                </w:p>
              </w:tc>
              <w:tc>
                <w:tcPr>
                  <w:tcW w:w="1585" w:type="dxa"/>
                  <w:shd w:val="clear" w:color="auto" w:fill="auto"/>
                  <w:vAlign w:val="center"/>
                </w:tcPr>
                <w:p w14:paraId="2B5D59DE">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 xml:space="preserve">0.614 </w:t>
                  </w:r>
                </w:p>
              </w:tc>
              <w:tc>
                <w:tcPr>
                  <w:tcW w:w="946" w:type="dxa"/>
                  <w:vMerge w:val="continue"/>
                </w:tcPr>
                <w:p w14:paraId="6515A8A8">
                  <w:pPr>
                    <w:keepNext w:val="0"/>
                    <w:keepLines w:val="0"/>
                    <w:widowControl/>
                    <w:suppressLineNumbers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865" w:type="dxa"/>
                  <w:vMerge w:val="restart"/>
                  <w:shd w:val="clear" w:color="auto" w:fill="auto"/>
                  <w:vAlign w:val="center"/>
                </w:tcPr>
                <w:p w14:paraId="255EE2A6">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4800</w:t>
                  </w:r>
                  <w:r>
                    <w:rPr>
                      <w:rFonts w:hint="eastAsia" w:ascii="Times New Roman" w:hAnsi="Times New Roman" w:cs="Times New Roman"/>
                      <w:i w:val="0"/>
                      <w:iCs w:val="0"/>
                      <w:color w:val="auto"/>
                      <w:kern w:val="0"/>
                      <w:sz w:val="21"/>
                      <w:szCs w:val="21"/>
                      <w:u w:val="none"/>
                      <w:lang w:val="en-US" w:eastAsia="zh-CN" w:bidi="ar"/>
                    </w:rPr>
                    <w:t>h</w:t>
                  </w:r>
                </w:p>
              </w:tc>
              <w:tc>
                <w:tcPr>
                  <w:tcW w:w="939" w:type="dxa"/>
                  <w:vMerge w:val="restart"/>
                  <w:shd w:val="clear" w:color="auto" w:fill="auto"/>
                  <w:vAlign w:val="center"/>
                </w:tcPr>
                <w:p w14:paraId="3E8E8081">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127200</w:t>
                  </w:r>
                </w:p>
              </w:tc>
            </w:tr>
            <w:tr w14:paraId="7CBDF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dxa"/>
                  <w:vMerge w:val="continue"/>
                  <w:shd w:val="clear" w:color="auto" w:fill="auto"/>
                  <w:vAlign w:val="center"/>
                </w:tcPr>
                <w:p w14:paraId="2D990BB8">
                  <w:pPr>
                    <w:spacing w:line="240" w:lineRule="auto"/>
                    <w:ind w:firstLine="0" w:firstLineChars="0"/>
                    <w:jc w:val="center"/>
                    <w:rPr>
                      <w:rFonts w:hint="eastAsia" w:cs="Times New Roman" w:eastAsiaTheme="minorEastAsia"/>
                      <w:color w:val="auto"/>
                      <w:sz w:val="21"/>
                      <w:szCs w:val="21"/>
                      <w:lang w:val="en-US" w:eastAsia="zh-CN"/>
                    </w:rPr>
                  </w:pPr>
                </w:p>
              </w:tc>
              <w:tc>
                <w:tcPr>
                  <w:tcW w:w="1269" w:type="dxa"/>
                  <w:shd w:val="clear" w:color="auto" w:fill="auto"/>
                  <w:vAlign w:val="center"/>
                </w:tcPr>
                <w:p w14:paraId="57583DBC">
                  <w:pPr>
                    <w:spacing w:line="240" w:lineRule="auto"/>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二甲苯</w:t>
                  </w:r>
                </w:p>
              </w:tc>
              <w:tc>
                <w:tcPr>
                  <w:tcW w:w="928" w:type="dxa"/>
                  <w:shd w:val="clear" w:color="auto" w:fill="auto"/>
                  <w:vAlign w:val="center"/>
                </w:tcPr>
                <w:p w14:paraId="7AEAD849">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w:t>
                  </w:r>
                </w:p>
              </w:tc>
              <w:tc>
                <w:tcPr>
                  <w:tcW w:w="868" w:type="dxa"/>
                  <w:shd w:val="clear" w:color="auto" w:fill="auto"/>
                  <w:vAlign w:val="center"/>
                </w:tcPr>
                <w:p w14:paraId="5F84C605">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w:t>
                  </w:r>
                </w:p>
              </w:tc>
              <w:tc>
                <w:tcPr>
                  <w:tcW w:w="1847" w:type="dxa"/>
                  <w:shd w:val="clear" w:color="auto" w:fill="auto"/>
                  <w:vAlign w:val="center"/>
                </w:tcPr>
                <w:p w14:paraId="7986A6E1">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w:t>
                  </w:r>
                </w:p>
              </w:tc>
              <w:tc>
                <w:tcPr>
                  <w:tcW w:w="1830" w:type="dxa"/>
                  <w:vMerge w:val="continue"/>
                </w:tcPr>
                <w:p w14:paraId="1ED2BFA5">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p>
              </w:tc>
              <w:tc>
                <w:tcPr>
                  <w:tcW w:w="569" w:type="dxa"/>
                  <w:shd w:val="clear" w:color="auto" w:fill="auto"/>
                  <w:vAlign w:val="center"/>
                </w:tcPr>
                <w:p w14:paraId="0A4E0976">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w:t>
                  </w:r>
                </w:p>
              </w:tc>
              <w:tc>
                <w:tcPr>
                  <w:tcW w:w="569" w:type="dxa"/>
                  <w:shd w:val="clear" w:color="auto" w:fill="auto"/>
                  <w:vAlign w:val="center"/>
                </w:tcPr>
                <w:p w14:paraId="4AE8BD9F">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w:t>
                  </w:r>
                </w:p>
              </w:tc>
              <w:tc>
                <w:tcPr>
                  <w:tcW w:w="937" w:type="dxa"/>
                  <w:shd w:val="clear" w:color="auto" w:fill="auto"/>
                  <w:vAlign w:val="center"/>
                </w:tcPr>
                <w:p w14:paraId="7218C2AC">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cs="Times New Roman" w:eastAsiaTheme="minorEastAsia"/>
                      <w:b w:val="0"/>
                      <w:bCs w:val="0"/>
                      <w:color w:val="auto"/>
                      <w:sz w:val="21"/>
                      <w:szCs w:val="21"/>
                      <w:lang w:val="en-US" w:eastAsia="zh-CN"/>
                    </w:rPr>
                    <w:t>0.043</w:t>
                  </w:r>
                </w:p>
              </w:tc>
              <w:tc>
                <w:tcPr>
                  <w:tcW w:w="796" w:type="dxa"/>
                  <w:shd w:val="clear" w:color="auto" w:fill="auto"/>
                  <w:vAlign w:val="center"/>
                </w:tcPr>
                <w:p w14:paraId="5E3FB0B8">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cs="Times New Roman" w:eastAsiaTheme="minorEastAsia"/>
                      <w:b w:val="0"/>
                      <w:bCs w:val="0"/>
                      <w:color w:val="auto"/>
                      <w:sz w:val="21"/>
                      <w:szCs w:val="21"/>
                      <w:lang w:val="en-US" w:eastAsia="zh-CN"/>
                    </w:rPr>
                    <w:t>0.009</w:t>
                  </w:r>
                </w:p>
              </w:tc>
              <w:tc>
                <w:tcPr>
                  <w:tcW w:w="1585" w:type="dxa"/>
                  <w:shd w:val="clear" w:color="auto" w:fill="auto"/>
                  <w:vAlign w:val="center"/>
                </w:tcPr>
                <w:p w14:paraId="0DFBDE6B">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cs="Times New Roman" w:eastAsiaTheme="minorEastAsia"/>
                      <w:b w:val="0"/>
                      <w:bCs w:val="0"/>
                      <w:color w:val="auto"/>
                      <w:sz w:val="21"/>
                      <w:szCs w:val="21"/>
                      <w:lang w:val="en-US" w:eastAsia="zh-CN"/>
                    </w:rPr>
                    <w:t>0.07</w:t>
                  </w:r>
                </w:p>
              </w:tc>
              <w:tc>
                <w:tcPr>
                  <w:tcW w:w="946" w:type="dxa"/>
                  <w:vMerge w:val="continue"/>
                </w:tcPr>
                <w:p w14:paraId="6A61EF49">
                  <w:pPr>
                    <w:keepNext w:val="0"/>
                    <w:keepLines w:val="0"/>
                    <w:widowControl/>
                    <w:suppressLineNumbers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865" w:type="dxa"/>
                  <w:vMerge w:val="continue"/>
                  <w:shd w:val="clear" w:color="auto" w:fill="auto"/>
                  <w:vAlign w:val="center"/>
                </w:tcPr>
                <w:p w14:paraId="22F7FDD3">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c>
                <w:tcPr>
                  <w:tcW w:w="939" w:type="dxa"/>
                  <w:vMerge w:val="continue"/>
                  <w:shd w:val="clear" w:color="auto" w:fill="auto"/>
                  <w:vAlign w:val="center"/>
                </w:tcPr>
                <w:p w14:paraId="73F1185D">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r>
            <w:tr w14:paraId="4CE36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dxa"/>
                  <w:vMerge w:val="continue"/>
                </w:tcPr>
                <w:p w14:paraId="220A0752">
                  <w:pPr>
                    <w:spacing w:line="240" w:lineRule="auto"/>
                    <w:ind w:firstLine="0" w:firstLineChars="0"/>
                    <w:jc w:val="center"/>
                    <w:rPr>
                      <w:rFonts w:hint="eastAsia" w:cs="Times New Roman" w:eastAsiaTheme="minorEastAsia"/>
                      <w:color w:val="auto"/>
                      <w:sz w:val="21"/>
                      <w:szCs w:val="21"/>
                      <w:lang w:val="en-US" w:eastAsia="zh-CN"/>
                    </w:rPr>
                  </w:pPr>
                </w:p>
              </w:tc>
              <w:tc>
                <w:tcPr>
                  <w:tcW w:w="1269" w:type="dxa"/>
                  <w:shd w:val="clear" w:color="auto" w:fill="auto"/>
                  <w:vAlign w:val="center"/>
                </w:tcPr>
                <w:p w14:paraId="72C08171">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硫化氢</w:t>
                  </w:r>
                </w:p>
              </w:tc>
              <w:tc>
                <w:tcPr>
                  <w:tcW w:w="928" w:type="dxa"/>
                  <w:shd w:val="clear" w:color="auto" w:fill="auto"/>
                  <w:vAlign w:val="center"/>
                </w:tcPr>
                <w:p w14:paraId="4961E24A">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w:t>
                  </w:r>
                </w:p>
              </w:tc>
              <w:tc>
                <w:tcPr>
                  <w:tcW w:w="868" w:type="dxa"/>
                  <w:shd w:val="clear" w:color="auto" w:fill="auto"/>
                  <w:vAlign w:val="center"/>
                </w:tcPr>
                <w:p w14:paraId="6FBEA989">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w:t>
                  </w:r>
                </w:p>
              </w:tc>
              <w:tc>
                <w:tcPr>
                  <w:tcW w:w="1847" w:type="dxa"/>
                  <w:shd w:val="clear" w:color="auto" w:fill="auto"/>
                  <w:vAlign w:val="center"/>
                </w:tcPr>
                <w:p w14:paraId="164B8891">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w:t>
                  </w:r>
                </w:p>
              </w:tc>
              <w:tc>
                <w:tcPr>
                  <w:tcW w:w="1830" w:type="dxa"/>
                  <w:vMerge w:val="continue"/>
                </w:tcPr>
                <w:p w14:paraId="53B1AC3B">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p>
              </w:tc>
              <w:tc>
                <w:tcPr>
                  <w:tcW w:w="569" w:type="dxa"/>
                  <w:shd w:val="clear" w:color="auto" w:fill="auto"/>
                  <w:vAlign w:val="center"/>
                </w:tcPr>
                <w:p w14:paraId="1B9DD14C">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w:t>
                  </w:r>
                </w:p>
              </w:tc>
              <w:tc>
                <w:tcPr>
                  <w:tcW w:w="569" w:type="dxa"/>
                  <w:shd w:val="clear" w:color="auto" w:fill="auto"/>
                  <w:vAlign w:val="center"/>
                </w:tcPr>
                <w:p w14:paraId="3E24F4C8">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w:t>
                  </w:r>
                </w:p>
              </w:tc>
              <w:tc>
                <w:tcPr>
                  <w:tcW w:w="937" w:type="dxa"/>
                  <w:shd w:val="clear" w:color="auto" w:fill="auto"/>
                  <w:vAlign w:val="center"/>
                </w:tcPr>
                <w:p w14:paraId="3BD5974D">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0.168</w:t>
                  </w:r>
                </w:p>
              </w:tc>
              <w:tc>
                <w:tcPr>
                  <w:tcW w:w="796" w:type="dxa"/>
                  <w:shd w:val="clear" w:color="auto" w:fill="auto"/>
                  <w:vAlign w:val="center"/>
                </w:tcPr>
                <w:p w14:paraId="526D0E43">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 xml:space="preserve">0.035 </w:t>
                  </w:r>
                </w:p>
              </w:tc>
              <w:tc>
                <w:tcPr>
                  <w:tcW w:w="1585" w:type="dxa"/>
                  <w:shd w:val="clear" w:color="auto" w:fill="auto"/>
                  <w:vAlign w:val="center"/>
                </w:tcPr>
                <w:p w14:paraId="23A1D0E4">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 xml:space="preserve">0.275 </w:t>
                  </w:r>
                </w:p>
              </w:tc>
              <w:tc>
                <w:tcPr>
                  <w:tcW w:w="946" w:type="dxa"/>
                  <w:vMerge w:val="continue"/>
                </w:tcPr>
                <w:p w14:paraId="20F7FE17">
                  <w:pPr>
                    <w:keepNext w:val="0"/>
                    <w:keepLines w:val="0"/>
                    <w:widowControl/>
                    <w:suppressLineNumbers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865" w:type="dxa"/>
                  <w:vMerge w:val="continue"/>
                </w:tcPr>
                <w:p w14:paraId="6EC18984">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c>
                <w:tcPr>
                  <w:tcW w:w="939" w:type="dxa"/>
                  <w:vMerge w:val="continue"/>
                </w:tcPr>
                <w:p w14:paraId="5DC05099">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r>
            <w:tr w14:paraId="68B7A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1" w:type="dxa"/>
                  <w:vMerge w:val="continue"/>
                </w:tcPr>
                <w:p w14:paraId="32711512">
                  <w:pPr>
                    <w:spacing w:line="240" w:lineRule="auto"/>
                    <w:ind w:firstLine="0" w:firstLineChars="0"/>
                    <w:jc w:val="center"/>
                    <w:rPr>
                      <w:rFonts w:hint="eastAsia" w:cs="Times New Roman" w:eastAsiaTheme="minorEastAsia"/>
                      <w:color w:val="auto"/>
                      <w:sz w:val="21"/>
                      <w:szCs w:val="21"/>
                      <w:lang w:val="en-US" w:eastAsia="zh-CN"/>
                    </w:rPr>
                  </w:pPr>
                </w:p>
              </w:tc>
              <w:tc>
                <w:tcPr>
                  <w:tcW w:w="1269" w:type="dxa"/>
                  <w:shd w:val="clear" w:color="auto" w:fill="auto"/>
                  <w:vAlign w:val="center"/>
                </w:tcPr>
                <w:p w14:paraId="37E7EE40">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臭气浓度</w:t>
                  </w:r>
                </w:p>
              </w:tc>
              <w:tc>
                <w:tcPr>
                  <w:tcW w:w="928" w:type="dxa"/>
                  <w:shd w:val="clear" w:color="auto" w:fill="auto"/>
                  <w:vAlign w:val="center"/>
                </w:tcPr>
                <w:p w14:paraId="54DC744B">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w:t>
                  </w:r>
                </w:p>
              </w:tc>
              <w:tc>
                <w:tcPr>
                  <w:tcW w:w="868" w:type="dxa"/>
                  <w:shd w:val="clear" w:color="auto" w:fill="auto"/>
                  <w:vAlign w:val="center"/>
                </w:tcPr>
                <w:p w14:paraId="0EA070F0">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w:t>
                  </w:r>
                </w:p>
              </w:tc>
              <w:tc>
                <w:tcPr>
                  <w:tcW w:w="1847" w:type="dxa"/>
                  <w:shd w:val="clear" w:color="auto" w:fill="auto"/>
                  <w:vAlign w:val="center"/>
                </w:tcPr>
                <w:p w14:paraId="63CFAD91">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2442.5（无量纲）</w:t>
                  </w:r>
                </w:p>
              </w:tc>
              <w:tc>
                <w:tcPr>
                  <w:tcW w:w="1830" w:type="dxa"/>
                  <w:vMerge w:val="continue"/>
                </w:tcPr>
                <w:p w14:paraId="79410F99">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p>
              </w:tc>
              <w:tc>
                <w:tcPr>
                  <w:tcW w:w="569" w:type="dxa"/>
                  <w:shd w:val="clear" w:color="auto" w:fill="auto"/>
                  <w:vAlign w:val="center"/>
                </w:tcPr>
                <w:p w14:paraId="4E107E4B">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w:t>
                  </w:r>
                </w:p>
              </w:tc>
              <w:tc>
                <w:tcPr>
                  <w:tcW w:w="569" w:type="dxa"/>
                  <w:shd w:val="clear" w:color="auto" w:fill="auto"/>
                  <w:vAlign w:val="center"/>
                </w:tcPr>
                <w:p w14:paraId="1AB1D9E4">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w:t>
                  </w:r>
                </w:p>
              </w:tc>
              <w:tc>
                <w:tcPr>
                  <w:tcW w:w="937" w:type="dxa"/>
                  <w:shd w:val="clear" w:color="auto" w:fill="auto"/>
                  <w:vAlign w:val="center"/>
                </w:tcPr>
                <w:p w14:paraId="4EE1FDF6">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w:t>
                  </w:r>
                </w:p>
              </w:tc>
              <w:tc>
                <w:tcPr>
                  <w:tcW w:w="796" w:type="dxa"/>
                  <w:shd w:val="clear" w:color="auto" w:fill="auto"/>
                  <w:vAlign w:val="center"/>
                </w:tcPr>
                <w:p w14:paraId="537C3555">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w:t>
                  </w:r>
                </w:p>
              </w:tc>
              <w:tc>
                <w:tcPr>
                  <w:tcW w:w="1585" w:type="dxa"/>
                  <w:shd w:val="clear" w:color="auto" w:fill="auto"/>
                  <w:vAlign w:val="center"/>
                </w:tcPr>
                <w:p w14:paraId="387C3D51">
                  <w:pPr>
                    <w:spacing w:line="240" w:lineRule="auto"/>
                    <w:ind w:firstLine="0" w:firstLineChars="0"/>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977（无量纲）</w:t>
                  </w:r>
                </w:p>
              </w:tc>
              <w:tc>
                <w:tcPr>
                  <w:tcW w:w="946" w:type="dxa"/>
                  <w:vMerge w:val="continue"/>
                </w:tcPr>
                <w:p w14:paraId="0B779CC0">
                  <w:pPr>
                    <w:keepNext w:val="0"/>
                    <w:keepLines w:val="0"/>
                    <w:widowControl/>
                    <w:suppressLineNumbers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865" w:type="dxa"/>
                  <w:vMerge w:val="continue"/>
                </w:tcPr>
                <w:p w14:paraId="326822BA">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c>
                <w:tcPr>
                  <w:tcW w:w="939" w:type="dxa"/>
                  <w:vMerge w:val="continue"/>
                </w:tcPr>
                <w:p w14:paraId="2E27723C">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r>
          </w:tbl>
          <w:p w14:paraId="42A3BBCE">
            <w:pPr>
              <w:ind w:firstLine="0" w:firstLineChars="0"/>
              <w:jc w:val="center"/>
              <w:rPr>
                <w:rFonts w:hint="default" w:eastAsia="宋体"/>
                <w:b/>
                <w:bCs/>
                <w:color w:val="auto"/>
                <w:lang w:val="en-US" w:eastAsia="zh-CN"/>
              </w:rPr>
            </w:pPr>
            <w:r>
              <w:rPr>
                <w:rFonts w:hint="eastAsia"/>
                <w:b/>
                <w:bCs/>
                <w:color w:val="auto"/>
                <w:lang w:val="en-US" w:eastAsia="zh-CN"/>
              </w:rPr>
              <w:t>表4-2 项目废气排放源参数一览表</w:t>
            </w:r>
          </w:p>
          <w:tbl>
            <w:tblPr>
              <w:tblStyle w:val="24"/>
              <w:tblW w:w="14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9"/>
              <w:gridCol w:w="3650"/>
              <w:gridCol w:w="3650"/>
              <w:gridCol w:w="3650"/>
            </w:tblGrid>
            <w:tr w14:paraId="46137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99" w:type="dxa"/>
                  <w:gridSpan w:val="4"/>
                  <w:vAlign w:val="center"/>
                </w:tcPr>
                <w:p w14:paraId="5B53680C">
                  <w:pPr>
                    <w:spacing w:line="240" w:lineRule="auto"/>
                    <w:jc w:val="center"/>
                    <w:rPr>
                      <w:rFonts w:hint="eastAsia"/>
                      <w:b/>
                      <w:bCs/>
                      <w:color w:val="auto"/>
                      <w:sz w:val="21"/>
                      <w:szCs w:val="21"/>
                      <w:vertAlign w:val="baseline"/>
                    </w:rPr>
                  </w:pPr>
                  <w:r>
                    <w:rPr>
                      <w:rFonts w:ascii="Times New Roman" w:hAnsi="Times New Roman"/>
                      <w:b/>
                      <w:bCs/>
                      <w:color w:val="auto"/>
                      <w:kern w:val="0"/>
                      <w:sz w:val="21"/>
                      <w:szCs w:val="21"/>
                    </w:rPr>
                    <w:t>排放源参数</w:t>
                  </w:r>
                </w:p>
              </w:tc>
            </w:tr>
            <w:tr w14:paraId="47D3C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49" w:type="dxa"/>
                  <w:vAlign w:val="center"/>
                </w:tcPr>
                <w:p w14:paraId="687C35BD">
                  <w:pPr>
                    <w:widowControl/>
                    <w:spacing w:line="240" w:lineRule="auto"/>
                    <w:jc w:val="center"/>
                    <w:rPr>
                      <w:rFonts w:hint="eastAsia" w:ascii="Times New Roman" w:hAnsi="Times New Roman" w:eastAsia="宋体" w:cs="Times New Roman"/>
                      <w:b/>
                      <w:bCs/>
                      <w:color w:val="auto"/>
                      <w:kern w:val="0"/>
                      <w:sz w:val="21"/>
                      <w:szCs w:val="21"/>
                      <w:lang w:val="en-US" w:eastAsia="zh-CN" w:bidi="ar-SA"/>
                    </w:rPr>
                  </w:pPr>
                  <w:r>
                    <w:rPr>
                      <w:rFonts w:hint="eastAsia" w:ascii="Times New Roman" w:hAnsi="Times New Roman"/>
                      <w:b/>
                      <w:bCs/>
                      <w:color w:val="auto"/>
                      <w:kern w:val="0"/>
                      <w:sz w:val="21"/>
                      <w:szCs w:val="21"/>
                      <w:lang w:val="en-US" w:eastAsia="zh-CN"/>
                    </w:rPr>
                    <w:t>编号</w:t>
                  </w:r>
                </w:p>
              </w:tc>
              <w:tc>
                <w:tcPr>
                  <w:tcW w:w="3650" w:type="dxa"/>
                  <w:vAlign w:val="center"/>
                </w:tcPr>
                <w:p w14:paraId="05DC1EC4">
                  <w:pPr>
                    <w:widowControl/>
                    <w:spacing w:line="240" w:lineRule="auto"/>
                    <w:ind w:firstLine="0" w:firstLineChars="0"/>
                    <w:jc w:val="center"/>
                    <w:rPr>
                      <w:rFonts w:hint="eastAsia" w:ascii="Times New Roman" w:hAnsi="Times New Roman" w:eastAsia="宋体" w:cs="Times New Roman"/>
                      <w:b/>
                      <w:bCs/>
                      <w:color w:val="auto"/>
                      <w:kern w:val="0"/>
                      <w:sz w:val="21"/>
                      <w:szCs w:val="21"/>
                      <w:lang w:val="en-US" w:eastAsia="zh-CN" w:bidi="ar-SA"/>
                    </w:rPr>
                  </w:pPr>
                  <w:r>
                    <w:rPr>
                      <w:rFonts w:ascii="Times New Roman" w:hAnsi="Times New Roman"/>
                      <w:b/>
                      <w:bCs/>
                      <w:color w:val="auto"/>
                      <w:kern w:val="0"/>
                      <w:sz w:val="21"/>
                      <w:szCs w:val="21"/>
                    </w:rPr>
                    <w:t>直径(m)</w:t>
                  </w:r>
                </w:p>
              </w:tc>
              <w:tc>
                <w:tcPr>
                  <w:tcW w:w="3650" w:type="dxa"/>
                  <w:vAlign w:val="center"/>
                </w:tcPr>
                <w:p w14:paraId="49888A97">
                  <w:pPr>
                    <w:widowControl/>
                    <w:spacing w:line="240" w:lineRule="auto"/>
                    <w:ind w:firstLine="0" w:firstLineChars="0"/>
                    <w:jc w:val="center"/>
                    <w:rPr>
                      <w:rFonts w:hint="eastAsia" w:ascii="Times New Roman" w:hAnsi="Times New Roman" w:eastAsia="宋体" w:cs="Times New Roman"/>
                      <w:b/>
                      <w:bCs/>
                      <w:color w:val="auto"/>
                      <w:kern w:val="0"/>
                      <w:sz w:val="21"/>
                      <w:szCs w:val="21"/>
                      <w:lang w:val="en-US" w:eastAsia="zh-CN" w:bidi="ar-SA"/>
                    </w:rPr>
                  </w:pPr>
                  <w:r>
                    <w:rPr>
                      <w:rFonts w:ascii="Times New Roman" w:hAnsi="Times New Roman"/>
                      <w:b/>
                      <w:bCs/>
                      <w:color w:val="auto"/>
                      <w:kern w:val="0"/>
                      <w:sz w:val="21"/>
                      <w:szCs w:val="21"/>
                    </w:rPr>
                    <w:t>温度(℃)</w:t>
                  </w:r>
                </w:p>
              </w:tc>
              <w:tc>
                <w:tcPr>
                  <w:tcW w:w="3650" w:type="dxa"/>
                  <w:vAlign w:val="center"/>
                </w:tcPr>
                <w:p w14:paraId="7ECEE92C">
                  <w:pPr>
                    <w:widowControl/>
                    <w:spacing w:line="240" w:lineRule="auto"/>
                    <w:ind w:firstLine="0" w:firstLineChars="0"/>
                    <w:jc w:val="center"/>
                    <w:rPr>
                      <w:rFonts w:hint="eastAsia" w:ascii="Times New Roman" w:hAnsi="Times New Roman" w:eastAsia="宋体" w:cs="Times New Roman"/>
                      <w:b/>
                      <w:bCs/>
                      <w:color w:val="auto"/>
                      <w:kern w:val="0"/>
                      <w:sz w:val="21"/>
                      <w:szCs w:val="21"/>
                      <w:lang w:val="en-US" w:eastAsia="zh-CN" w:bidi="ar-SA"/>
                    </w:rPr>
                  </w:pPr>
                  <w:r>
                    <w:rPr>
                      <w:rFonts w:ascii="Times New Roman" w:hAnsi="Times New Roman"/>
                      <w:b/>
                      <w:bCs/>
                      <w:color w:val="auto"/>
                      <w:kern w:val="0"/>
                      <w:sz w:val="21"/>
                      <w:szCs w:val="21"/>
                    </w:rPr>
                    <w:t>高度(m)</w:t>
                  </w:r>
                </w:p>
              </w:tc>
            </w:tr>
            <w:tr w14:paraId="7A99B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9" w:type="dxa"/>
                  <w:vAlign w:val="center"/>
                </w:tcPr>
                <w:p w14:paraId="3653F1A7">
                  <w:pPr>
                    <w:widowControl/>
                    <w:spacing w:line="240" w:lineRule="auto"/>
                    <w:jc w:val="center"/>
                    <w:rPr>
                      <w:rFonts w:hint="eastAsia" w:ascii="Times New Roman" w:hAnsi="Times New Roman" w:eastAsia="宋体"/>
                      <w:b w:val="0"/>
                      <w:bCs w:val="0"/>
                      <w:color w:val="auto"/>
                      <w:kern w:val="0"/>
                      <w:sz w:val="21"/>
                      <w:szCs w:val="21"/>
                      <w:lang w:eastAsia="zh-CN"/>
                    </w:rPr>
                  </w:pPr>
                  <w:r>
                    <w:rPr>
                      <w:rFonts w:hint="eastAsia"/>
                      <w:b w:val="0"/>
                      <w:bCs w:val="0"/>
                      <w:color w:val="auto"/>
                      <w:sz w:val="21"/>
                      <w:szCs w:val="21"/>
                    </w:rPr>
                    <w:t>DA00</w:t>
                  </w:r>
                  <w:r>
                    <w:rPr>
                      <w:rFonts w:hint="eastAsia"/>
                      <w:b w:val="0"/>
                      <w:bCs w:val="0"/>
                      <w:color w:val="auto"/>
                      <w:sz w:val="21"/>
                      <w:szCs w:val="21"/>
                      <w:lang w:val="en-US" w:eastAsia="zh-CN"/>
                    </w:rPr>
                    <w:t>1</w:t>
                  </w:r>
                </w:p>
              </w:tc>
              <w:tc>
                <w:tcPr>
                  <w:tcW w:w="3650" w:type="dxa"/>
                  <w:vAlign w:val="center"/>
                </w:tcPr>
                <w:p w14:paraId="0EFA581B">
                  <w:pPr>
                    <w:widowControl/>
                    <w:spacing w:line="240" w:lineRule="auto"/>
                    <w:ind w:firstLine="0" w:firstLineChars="0"/>
                    <w:jc w:val="center"/>
                    <w:rPr>
                      <w:rFonts w:hint="default" w:ascii="Times New Roman" w:hAnsi="Times New Roman" w:eastAsia="宋体"/>
                      <w:b w:val="0"/>
                      <w:bCs w:val="0"/>
                      <w:color w:val="auto"/>
                      <w:kern w:val="0"/>
                      <w:sz w:val="21"/>
                      <w:szCs w:val="21"/>
                      <w:lang w:val="en-US" w:eastAsia="zh-CN"/>
                    </w:rPr>
                  </w:pPr>
                  <w:r>
                    <w:rPr>
                      <w:rFonts w:hint="eastAsia" w:ascii="Times New Roman" w:hAnsi="Times New Roman"/>
                      <w:b w:val="0"/>
                      <w:bCs w:val="0"/>
                      <w:color w:val="auto"/>
                      <w:kern w:val="0"/>
                      <w:sz w:val="21"/>
                      <w:szCs w:val="21"/>
                      <w:lang w:val="en-US" w:eastAsia="zh-CN"/>
                    </w:rPr>
                    <w:t>0.</w:t>
                  </w:r>
                  <w:r>
                    <w:rPr>
                      <w:rFonts w:hint="eastAsia"/>
                      <w:b w:val="0"/>
                      <w:bCs w:val="0"/>
                      <w:color w:val="auto"/>
                      <w:kern w:val="0"/>
                      <w:sz w:val="21"/>
                      <w:szCs w:val="21"/>
                      <w:lang w:val="en-US" w:eastAsia="zh-CN"/>
                    </w:rPr>
                    <w:t>6</w:t>
                  </w:r>
                </w:p>
              </w:tc>
              <w:tc>
                <w:tcPr>
                  <w:tcW w:w="3650" w:type="dxa"/>
                  <w:vAlign w:val="center"/>
                </w:tcPr>
                <w:p w14:paraId="6AB2FB8A">
                  <w:pPr>
                    <w:widowControl/>
                    <w:spacing w:line="240" w:lineRule="auto"/>
                    <w:ind w:firstLine="0" w:firstLineChars="0"/>
                    <w:jc w:val="center"/>
                    <w:rPr>
                      <w:rFonts w:hint="eastAsia" w:ascii="Times New Roman" w:hAnsi="Times New Roman" w:eastAsia="宋体"/>
                      <w:b w:val="0"/>
                      <w:bCs w:val="0"/>
                      <w:color w:val="auto"/>
                      <w:kern w:val="0"/>
                      <w:sz w:val="21"/>
                      <w:szCs w:val="21"/>
                      <w:lang w:val="en-US" w:eastAsia="zh-CN"/>
                    </w:rPr>
                  </w:pPr>
                  <w:r>
                    <w:rPr>
                      <w:rFonts w:hint="eastAsia" w:ascii="Times New Roman" w:hAnsi="Times New Roman"/>
                      <w:b w:val="0"/>
                      <w:bCs w:val="0"/>
                      <w:color w:val="auto"/>
                      <w:kern w:val="0"/>
                      <w:sz w:val="21"/>
                      <w:szCs w:val="21"/>
                      <w:lang w:val="en-US" w:eastAsia="zh-CN"/>
                    </w:rPr>
                    <w:t>常温</w:t>
                  </w:r>
                </w:p>
              </w:tc>
              <w:tc>
                <w:tcPr>
                  <w:tcW w:w="3650" w:type="dxa"/>
                  <w:vAlign w:val="center"/>
                </w:tcPr>
                <w:p w14:paraId="41B3D54F">
                  <w:pPr>
                    <w:widowControl/>
                    <w:spacing w:line="240" w:lineRule="auto"/>
                    <w:ind w:firstLine="0" w:firstLineChars="0"/>
                    <w:jc w:val="center"/>
                    <w:rPr>
                      <w:rFonts w:hint="default" w:ascii="Times New Roman" w:hAnsi="Times New Roman" w:eastAsia="宋体"/>
                      <w:b w:val="0"/>
                      <w:bCs w:val="0"/>
                      <w:color w:val="auto"/>
                      <w:kern w:val="0"/>
                      <w:sz w:val="21"/>
                      <w:szCs w:val="21"/>
                      <w:lang w:val="en-US" w:eastAsia="zh-CN"/>
                    </w:rPr>
                  </w:pPr>
                  <w:r>
                    <w:rPr>
                      <w:rFonts w:hint="eastAsia"/>
                      <w:b w:val="0"/>
                      <w:bCs w:val="0"/>
                      <w:color w:val="auto"/>
                      <w:kern w:val="0"/>
                      <w:sz w:val="21"/>
                      <w:szCs w:val="21"/>
                      <w:lang w:val="en-US" w:eastAsia="zh-CN"/>
                    </w:rPr>
                    <w:t>15</w:t>
                  </w:r>
                </w:p>
              </w:tc>
            </w:tr>
            <w:tr w14:paraId="5BB3A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9" w:type="dxa"/>
                  <w:vAlign w:val="center"/>
                </w:tcPr>
                <w:p w14:paraId="416D4670">
                  <w:pPr>
                    <w:widowControl/>
                    <w:spacing w:line="240" w:lineRule="auto"/>
                    <w:jc w:val="center"/>
                    <w:rPr>
                      <w:rFonts w:hint="eastAsia" w:ascii="Times New Roman" w:hAnsi="Times New Roman" w:eastAsia="宋体"/>
                      <w:b w:val="0"/>
                      <w:bCs w:val="0"/>
                      <w:color w:val="auto"/>
                      <w:kern w:val="0"/>
                      <w:sz w:val="21"/>
                      <w:szCs w:val="21"/>
                      <w:lang w:val="en-US" w:eastAsia="zh-CN"/>
                    </w:rPr>
                  </w:pPr>
                  <w:r>
                    <w:rPr>
                      <w:rFonts w:hint="eastAsia"/>
                      <w:b w:val="0"/>
                      <w:bCs w:val="0"/>
                      <w:color w:val="auto"/>
                      <w:sz w:val="21"/>
                      <w:szCs w:val="21"/>
                    </w:rPr>
                    <w:t>DA00</w:t>
                  </w:r>
                  <w:r>
                    <w:rPr>
                      <w:rFonts w:hint="eastAsia"/>
                      <w:b w:val="0"/>
                      <w:bCs w:val="0"/>
                      <w:color w:val="auto"/>
                      <w:sz w:val="21"/>
                      <w:szCs w:val="21"/>
                      <w:lang w:val="en-US" w:eastAsia="zh-CN"/>
                    </w:rPr>
                    <w:t>2</w:t>
                  </w:r>
                </w:p>
              </w:tc>
              <w:tc>
                <w:tcPr>
                  <w:tcW w:w="3650" w:type="dxa"/>
                  <w:vAlign w:val="center"/>
                </w:tcPr>
                <w:p w14:paraId="4BC76875">
                  <w:pPr>
                    <w:widowControl/>
                    <w:spacing w:line="240" w:lineRule="auto"/>
                    <w:ind w:firstLine="0" w:firstLineChars="0"/>
                    <w:jc w:val="center"/>
                    <w:rPr>
                      <w:rFonts w:ascii="Times New Roman" w:hAnsi="Times New Roman"/>
                      <w:b w:val="0"/>
                      <w:bCs w:val="0"/>
                      <w:color w:val="auto"/>
                      <w:kern w:val="0"/>
                      <w:sz w:val="21"/>
                      <w:szCs w:val="21"/>
                    </w:rPr>
                  </w:pPr>
                  <w:r>
                    <w:rPr>
                      <w:rFonts w:hint="eastAsia" w:ascii="Times New Roman" w:hAnsi="Times New Roman"/>
                      <w:b w:val="0"/>
                      <w:bCs w:val="0"/>
                      <w:color w:val="auto"/>
                      <w:kern w:val="0"/>
                      <w:sz w:val="21"/>
                      <w:szCs w:val="21"/>
                      <w:lang w:val="en-US" w:eastAsia="zh-CN"/>
                    </w:rPr>
                    <w:t>0.</w:t>
                  </w:r>
                  <w:r>
                    <w:rPr>
                      <w:rFonts w:hint="eastAsia"/>
                      <w:b w:val="0"/>
                      <w:bCs w:val="0"/>
                      <w:color w:val="auto"/>
                      <w:kern w:val="0"/>
                      <w:sz w:val="21"/>
                      <w:szCs w:val="21"/>
                      <w:lang w:val="en-US" w:eastAsia="zh-CN"/>
                    </w:rPr>
                    <w:t>4</w:t>
                  </w:r>
                </w:p>
              </w:tc>
              <w:tc>
                <w:tcPr>
                  <w:tcW w:w="3650" w:type="dxa"/>
                  <w:vAlign w:val="center"/>
                </w:tcPr>
                <w:p w14:paraId="0C2438B3">
                  <w:pPr>
                    <w:widowControl/>
                    <w:spacing w:line="240" w:lineRule="auto"/>
                    <w:ind w:firstLine="0" w:firstLineChars="0"/>
                    <w:jc w:val="center"/>
                    <w:rPr>
                      <w:rFonts w:ascii="Times New Roman" w:hAnsi="Times New Roman"/>
                      <w:b w:val="0"/>
                      <w:bCs w:val="0"/>
                      <w:color w:val="auto"/>
                      <w:kern w:val="0"/>
                      <w:sz w:val="21"/>
                      <w:szCs w:val="21"/>
                    </w:rPr>
                  </w:pPr>
                  <w:r>
                    <w:rPr>
                      <w:rFonts w:hint="eastAsia" w:ascii="Times New Roman" w:hAnsi="Times New Roman"/>
                      <w:b w:val="0"/>
                      <w:bCs w:val="0"/>
                      <w:color w:val="auto"/>
                      <w:kern w:val="0"/>
                      <w:sz w:val="21"/>
                      <w:szCs w:val="21"/>
                      <w:lang w:val="en-US" w:eastAsia="zh-CN"/>
                    </w:rPr>
                    <w:t>常温</w:t>
                  </w:r>
                </w:p>
              </w:tc>
              <w:tc>
                <w:tcPr>
                  <w:tcW w:w="3650" w:type="dxa"/>
                  <w:vAlign w:val="center"/>
                </w:tcPr>
                <w:p w14:paraId="625ED4A8">
                  <w:pPr>
                    <w:widowControl/>
                    <w:spacing w:line="240" w:lineRule="auto"/>
                    <w:ind w:firstLine="0" w:firstLineChars="0"/>
                    <w:jc w:val="center"/>
                    <w:rPr>
                      <w:rFonts w:hint="default" w:ascii="Times New Roman" w:hAnsi="Times New Roman" w:eastAsia="宋体"/>
                      <w:b w:val="0"/>
                      <w:bCs w:val="0"/>
                      <w:color w:val="auto"/>
                      <w:kern w:val="0"/>
                      <w:sz w:val="21"/>
                      <w:szCs w:val="21"/>
                      <w:lang w:val="en-US" w:eastAsia="zh-CN"/>
                    </w:rPr>
                  </w:pPr>
                  <w:r>
                    <w:rPr>
                      <w:rFonts w:hint="eastAsia"/>
                      <w:b w:val="0"/>
                      <w:bCs w:val="0"/>
                      <w:color w:val="auto"/>
                      <w:kern w:val="0"/>
                      <w:sz w:val="21"/>
                      <w:szCs w:val="21"/>
                      <w:lang w:val="en-US" w:eastAsia="zh-CN"/>
                    </w:rPr>
                    <w:t>15</w:t>
                  </w:r>
                </w:p>
              </w:tc>
            </w:tr>
            <w:tr w14:paraId="5BC14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9" w:type="dxa"/>
                  <w:vAlign w:val="center"/>
                </w:tcPr>
                <w:p w14:paraId="1DFD783F">
                  <w:pPr>
                    <w:widowControl/>
                    <w:spacing w:line="240" w:lineRule="auto"/>
                    <w:jc w:val="center"/>
                    <w:rPr>
                      <w:rFonts w:hint="eastAsia" w:ascii="Times New Roman" w:hAnsi="Times New Roman" w:eastAsia="宋体"/>
                      <w:b w:val="0"/>
                      <w:bCs w:val="0"/>
                      <w:color w:val="auto"/>
                      <w:kern w:val="0"/>
                      <w:sz w:val="21"/>
                      <w:szCs w:val="21"/>
                      <w:lang w:val="en-US" w:eastAsia="zh-CN"/>
                    </w:rPr>
                  </w:pPr>
                  <w:r>
                    <w:rPr>
                      <w:rFonts w:hint="eastAsia"/>
                      <w:b w:val="0"/>
                      <w:bCs w:val="0"/>
                      <w:color w:val="auto"/>
                      <w:sz w:val="21"/>
                      <w:szCs w:val="21"/>
                    </w:rPr>
                    <w:t>DA00</w:t>
                  </w:r>
                  <w:r>
                    <w:rPr>
                      <w:rFonts w:hint="eastAsia"/>
                      <w:b w:val="0"/>
                      <w:bCs w:val="0"/>
                      <w:color w:val="auto"/>
                      <w:sz w:val="21"/>
                      <w:szCs w:val="21"/>
                      <w:lang w:val="en-US" w:eastAsia="zh-CN"/>
                    </w:rPr>
                    <w:t>3</w:t>
                  </w:r>
                </w:p>
              </w:tc>
              <w:tc>
                <w:tcPr>
                  <w:tcW w:w="3650" w:type="dxa"/>
                  <w:vAlign w:val="center"/>
                </w:tcPr>
                <w:p w14:paraId="4B213B7B">
                  <w:pPr>
                    <w:widowControl/>
                    <w:spacing w:line="240" w:lineRule="auto"/>
                    <w:ind w:firstLine="0" w:firstLineChars="0"/>
                    <w:jc w:val="center"/>
                    <w:rPr>
                      <w:rFonts w:ascii="Times New Roman" w:hAnsi="Times New Roman"/>
                      <w:b w:val="0"/>
                      <w:bCs w:val="0"/>
                      <w:color w:val="auto"/>
                      <w:kern w:val="0"/>
                      <w:sz w:val="21"/>
                      <w:szCs w:val="21"/>
                    </w:rPr>
                  </w:pPr>
                  <w:r>
                    <w:rPr>
                      <w:rFonts w:hint="eastAsia" w:ascii="Times New Roman" w:hAnsi="Times New Roman"/>
                      <w:b w:val="0"/>
                      <w:bCs w:val="0"/>
                      <w:color w:val="auto"/>
                      <w:kern w:val="0"/>
                      <w:sz w:val="21"/>
                      <w:szCs w:val="21"/>
                      <w:lang w:val="en-US" w:eastAsia="zh-CN"/>
                    </w:rPr>
                    <w:t>0.</w:t>
                  </w:r>
                  <w:r>
                    <w:rPr>
                      <w:rFonts w:hint="eastAsia"/>
                      <w:b w:val="0"/>
                      <w:bCs w:val="0"/>
                      <w:color w:val="auto"/>
                      <w:kern w:val="0"/>
                      <w:sz w:val="21"/>
                      <w:szCs w:val="21"/>
                      <w:lang w:val="en-US" w:eastAsia="zh-CN"/>
                    </w:rPr>
                    <w:t>8</w:t>
                  </w:r>
                </w:p>
              </w:tc>
              <w:tc>
                <w:tcPr>
                  <w:tcW w:w="3650" w:type="dxa"/>
                  <w:vAlign w:val="center"/>
                </w:tcPr>
                <w:p w14:paraId="1C9C5532">
                  <w:pPr>
                    <w:widowControl/>
                    <w:spacing w:line="240" w:lineRule="auto"/>
                    <w:ind w:firstLine="0" w:firstLineChars="0"/>
                    <w:jc w:val="center"/>
                    <w:rPr>
                      <w:rFonts w:ascii="Times New Roman" w:hAnsi="Times New Roman"/>
                      <w:b w:val="0"/>
                      <w:bCs w:val="0"/>
                      <w:color w:val="auto"/>
                      <w:kern w:val="0"/>
                      <w:sz w:val="21"/>
                      <w:szCs w:val="21"/>
                    </w:rPr>
                  </w:pPr>
                  <w:r>
                    <w:rPr>
                      <w:rFonts w:hint="eastAsia" w:ascii="Times New Roman" w:hAnsi="Times New Roman"/>
                      <w:b w:val="0"/>
                      <w:bCs w:val="0"/>
                      <w:color w:val="auto"/>
                      <w:kern w:val="0"/>
                      <w:sz w:val="21"/>
                      <w:szCs w:val="21"/>
                      <w:lang w:val="en-US" w:eastAsia="zh-CN"/>
                    </w:rPr>
                    <w:t>常温</w:t>
                  </w:r>
                </w:p>
              </w:tc>
              <w:tc>
                <w:tcPr>
                  <w:tcW w:w="3650" w:type="dxa"/>
                  <w:vAlign w:val="center"/>
                </w:tcPr>
                <w:p w14:paraId="1BE5B1B2">
                  <w:pPr>
                    <w:widowControl/>
                    <w:spacing w:line="240" w:lineRule="auto"/>
                    <w:ind w:firstLine="0" w:firstLineChars="0"/>
                    <w:jc w:val="center"/>
                    <w:rPr>
                      <w:rFonts w:hint="default" w:ascii="Times New Roman" w:hAnsi="Times New Roman" w:eastAsia="宋体"/>
                      <w:b w:val="0"/>
                      <w:bCs w:val="0"/>
                      <w:color w:val="auto"/>
                      <w:kern w:val="0"/>
                      <w:sz w:val="21"/>
                      <w:szCs w:val="21"/>
                      <w:lang w:val="en-US" w:eastAsia="zh-CN"/>
                    </w:rPr>
                  </w:pPr>
                  <w:r>
                    <w:rPr>
                      <w:rFonts w:hint="eastAsia"/>
                      <w:b w:val="0"/>
                      <w:bCs w:val="0"/>
                      <w:color w:val="auto"/>
                      <w:kern w:val="0"/>
                      <w:sz w:val="21"/>
                      <w:szCs w:val="21"/>
                      <w:lang w:val="en-US" w:eastAsia="zh-CN"/>
                    </w:rPr>
                    <w:t>15</w:t>
                  </w:r>
                </w:p>
              </w:tc>
            </w:tr>
          </w:tbl>
          <w:p w14:paraId="672EC7AB">
            <w:pPr>
              <w:ind w:firstLine="0" w:firstLineChars="0"/>
              <w:jc w:val="center"/>
              <w:rPr>
                <w:rFonts w:hint="eastAsia"/>
                <w:b/>
                <w:bCs/>
                <w:color w:val="auto"/>
              </w:rPr>
            </w:pPr>
            <w:r>
              <w:rPr>
                <w:rFonts w:hint="eastAsia"/>
                <w:b/>
                <w:bCs/>
                <w:color w:val="auto"/>
              </w:rPr>
              <w:t>表</w:t>
            </w:r>
            <w:r>
              <w:rPr>
                <w:rFonts w:hint="eastAsia"/>
                <w:b/>
                <w:bCs/>
                <w:color w:val="auto"/>
                <w:lang w:val="en-US" w:eastAsia="zh-CN"/>
              </w:rPr>
              <w:t>4-3</w:t>
            </w:r>
            <w:r>
              <w:rPr>
                <w:rFonts w:hint="eastAsia"/>
                <w:b/>
                <w:bCs/>
                <w:color w:val="auto"/>
              </w:rPr>
              <w:t xml:space="preserve"> 项目大气污染物</w:t>
            </w:r>
            <w:r>
              <w:rPr>
                <w:rFonts w:hint="eastAsia"/>
                <w:b/>
                <w:bCs/>
                <w:color w:val="auto"/>
                <w:lang w:eastAsia="zh-CN"/>
              </w:rPr>
              <w:t>无组织</w:t>
            </w:r>
            <w:r>
              <w:rPr>
                <w:rFonts w:hint="eastAsia"/>
                <w:b/>
                <w:bCs/>
                <w:color w:val="auto"/>
              </w:rPr>
              <w:t>排放情况一览表</w:t>
            </w:r>
          </w:p>
          <w:tbl>
            <w:tblPr>
              <w:tblStyle w:val="24"/>
              <w:tblW w:w="14490"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1310"/>
              <w:gridCol w:w="1025"/>
              <w:gridCol w:w="1004"/>
              <w:gridCol w:w="1113"/>
              <w:gridCol w:w="1113"/>
              <w:gridCol w:w="1113"/>
              <w:gridCol w:w="1113"/>
              <w:gridCol w:w="1113"/>
              <w:gridCol w:w="1113"/>
              <w:gridCol w:w="1113"/>
              <w:gridCol w:w="1113"/>
              <w:gridCol w:w="1120"/>
              <w:gridCol w:w="14"/>
            </w:tblGrid>
            <w:tr w14:paraId="01DF1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3" w:hRule="atLeast"/>
              </w:trPr>
              <w:tc>
                <w:tcPr>
                  <w:tcW w:w="1113" w:type="dxa"/>
                  <w:vMerge w:val="restart"/>
                  <w:vAlign w:val="center"/>
                </w:tcPr>
                <w:p w14:paraId="0FC8F3E4">
                  <w:pPr>
                    <w:spacing w:line="240" w:lineRule="auto"/>
                    <w:jc w:val="center"/>
                    <w:rPr>
                      <w:b/>
                      <w:bCs/>
                      <w:color w:val="auto"/>
                      <w:sz w:val="21"/>
                      <w:szCs w:val="21"/>
                    </w:rPr>
                  </w:pPr>
                  <w:r>
                    <w:rPr>
                      <w:rFonts w:hint="eastAsia"/>
                      <w:b/>
                      <w:bCs/>
                      <w:color w:val="auto"/>
                      <w:sz w:val="21"/>
                      <w:szCs w:val="21"/>
                    </w:rPr>
                    <w:t>产污环节</w:t>
                  </w:r>
                </w:p>
              </w:tc>
              <w:tc>
                <w:tcPr>
                  <w:tcW w:w="1310" w:type="dxa"/>
                  <w:vMerge w:val="restart"/>
                  <w:vAlign w:val="center"/>
                </w:tcPr>
                <w:p w14:paraId="799049EF">
                  <w:pPr>
                    <w:spacing w:line="240" w:lineRule="auto"/>
                    <w:jc w:val="center"/>
                    <w:rPr>
                      <w:b/>
                      <w:bCs/>
                      <w:color w:val="auto"/>
                      <w:sz w:val="21"/>
                      <w:szCs w:val="21"/>
                    </w:rPr>
                  </w:pPr>
                  <w:r>
                    <w:rPr>
                      <w:rFonts w:hint="eastAsia"/>
                      <w:b/>
                      <w:bCs/>
                      <w:color w:val="auto"/>
                      <w:sz w:val="21"/>
                      <w:szCs w:val="21"/>
                    </w:rPr>
                    <w:t>污染物种类</w:t>
                  </w:r>
                </w:p>
              </w:tc>
              <w:tc>
                <w:tcPr>
                  <w:tcW w:w="3142" w:type="dxa"/>
                  <w:gridSpan w:val="3"/>
                  <w:vAlign w:val="center"/>
                </w:tcPr>
                <w:p w14:paraId="67F83524">
                  <w:pPr>
                    <w:spacing w:line="240" w:lineRule="auto"/>
                    <w:jc w:val="center"/>
                    <w:rPr>
                      <w:b/>
                      <w:bCs/>
                      <w:color w:val="auto"/>
                      <w:sz w:val="21"/>
                      <w:szCs w:val="21"/>
                    </w:rPr>
                  </w:pPr>
                  <w:r>
                    <w:rPr>
                      <w:rFonts w:hint="eastAsia"/>
                      <w:b/>
                      <w:bCs/>
                      <w:color w:val="auto"/>
                      <w:sz w:val="21"/>
                      <w:szCs w:val="21"/>
                    </w:rPr>
                    <w:t>产生情况</w:t>
                  </w:r>
                </w:p>
              </w:tc>
              <w:tc>
                <w:tcPr>
                  <w:tcW w:w="1113" w:type="dxa"/>
                  <w:vMerge w:val="restart"/>
                  <w:vAlign w:val="center"/>
                </w:tcPr>
                <w:p w14:paraId="634898BC">
                  <w:pPr>
                    <w:spacing w:line="240" w:lineRule="auto"/>
                    <w:jc w:val="center"/>
                    <w:rPr>
                      <w:b/>
                      <w:bCs/>
                      <w:color w:val="auto"/>
                      <w:sz w:val="21"/>
                      <w:szCs w:val="21"/>
                    </w:rPr>
                  </w:pPr>
                  <w:r>
                    <w:rPr>
                      <w:rFonts w:hint="eastAsia"/>
                      <w:b/>
                      <w:bCs/>
                      <w:color w:val="auto"/>
                      <w:sz w:val="21"/>
                      <w:szCs w:val="21"/>
                    </w:rPr>
                    <w:t>排放形式</w:t>
                  </w:r>
                </w:p>
              </w:tc>
              <w:tc>
                <w:tcPr>
                  <w:tcW w:w="5565" w:type="dxa"/>
                  <w:gridSpan w:val="5"/>
                  <w:vAlign w:val="center"/>
                </w:tcPr>
                <w:p w14:paraId="61A11042">
                  <w:pPr>
                    <w:spacing w:line="240" w:lineRule="auto"/>
                    <w:jc w:val="center"/>
                    <w:rPr>
                      <w:b/>
                      <w:bCs/>
                      <w:color w:val="auto"/>
                      <w:sz w:val="21"/>
                      <w:szCs w:val="21"/>
                    </w:rPr>
                  </w:pPr>
                  <w:r>
                    <w:rPr>
                      <w:rFonts w:hint="eastAsia"/>
                      <w:b/>
                      <w:bCs/>
                      <w:color w:val="auto"/>
                      <w:sz w:val="21"/>
                      <w:szCs w:val="21"/>
                    </w:rPr>
                    <w:t>治理设施</w:t>
                  </w:r>
                </w:p>
              </w:tc>
              <w:tc>
                <w:tcPr>
                  <w:tcW w:w="2233" w:type="dxa"/>
                  <w:gridSpan w:val="2"/>
                  <w:vAlign w:val="center"/>
                </w:tcPr>
                <w:p w14:paraId="5780D438">
                  <w:pPr>
                    <w:spacing w:line="240" w:lineRule="auto"/>
                    <w:jc w:val="center"/>
                    <w:rPr>
                      <w:b/>
                      <w:bCs/>
                      <w:color w:val="auto"/>
                      <w:sz w:val="21"/>
                      <w:szCs w:val="21"/>
                    </w:rPr>
                  </w:pPr>
                  <w:r>
                    <w:rPr>
                      <w:rFonts w:hint="eastAsia"/>
                      <w:b/>
                      <w:bCs/>
                      <w:color w:val="auto"/>
                      <w:sz w:val="21"/>
                      <w:szCs w:val="21"/>
                    </w:rPr>
                    <w:t>排放情况</w:t>
                  </w:r>
                </w:p>
              </w:tc>
            </w:tr>
            <w:tr w14:paraId="1B0A1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3" w:type="dxa"/>
                  <w:vMerge w:val="continue"/>
                  <w:vAlign w:val="center"/>
                </w:tcPr>
                <w:p w14:paraId="276923AE">
                  <w:pPr>
                    <w:spacing w:line="240" w:lineRule="auto"/>
                    <w:jc w:val="center"/>
                    <w:rPr>
                      <w:b/>
                      <w:bCs/>
                      <w:color w:val="auto"/>
                      <w:sz w:val="21"/>
                      <w:szCs w:val="21"/>
                    </w:rPr>
                  </w:pPr>
                </w:p>
              </w:tc>
              <w:tc>
                <w:tcPr>
                  <w:tcW w:w="1310" w:type="dxa"/>
                  <w:vMerge w:val="continue"/>
                  <w:tcBorders>
                    <w:right w:val="single" w:color="auto" w:sz="2" w:space="0"/>
                  </w:tcBorders>
                  <w:vAlign w:val="center"/>
                </w:tcPr>
                <w:p w14:paraId="237104E6">
                  <w:pPr>
                    <w:spacing w:line="240" w:lineRule="auto"/>
                    <w:jc w:val="center"/>
                    <w:rPr>
                      <w:b/>
                      <w:bCs/>
                      <w:color w:val="auto"/>
                      <w:sz w:val="21"/>
                      <w:szCs w:val="21"/>
                    </w:rPr>
                  </w:pPr>
                </w:p>
              </w:tc>
              <w:tc>
                <w:tcPr>
                  <w:tcW w:w="1025" w:type="dxa"/>
                  <w:tcBorders>
                    <w:top w:val="single" w:color="auto" w:sz="2" w:space="0"/>
                    <w:left w:val="single" w:color="auto" w:sz="2" w:space="0"/>
                    <w:bottom w:val="single" w:color="auto" w:sz="2" w:space="0"/>
                    <w:right w:val="single" w:color="auto" w:sz="2" w:space="0"/>
                  </w:tcBorders>
                  <w:vAlign w:val="center"/>
                </w:tcPr>
                <w:p w14:paraId="66559CB7">
                  <w:pPr>
                    <w:spacing w:line="240" w:lineRule="auto"/>
                    <w:jc w:val="center"/>
                    <w:rPr>
                      <w:b/>
                      <w:bCs/>
                      <w:color w:val="auto"/>
                      <w:sz w:val="21"/>
                      <w:szCs w:val="21"/>
                    </w:rPr>
                  </w:pPr>
                  <w:r>
                    <w:rPr>
                      <w:rFonts w:hint="eastAsia"/>
                      <w:b/>
                      <w:bCs/>
                      <w:color w:val="auto"/>
                      <w:sz w:val="21"/>
                      <w:szCs w:val="21"/>
                    </w:rPr>
                    <w:t>污染源</w:t>
                  </w:r>
                </w:p>
              </w:tc>
              <w:tc>
                <w:tcPr>
                  <w:tcW w:w="1004" w:type="dxa"/>
                  <w:tcBorders>
                    <w:top w:val="single" w:color="auto" w:sz="2" w:space="0"/>
                    <w:left w:val="single" w:color="auto" w:sz="2" w:space="0"/>
                    <w:bottom w:val="single" w:color="auto" w:sz="2" w:space="0"/>
                    <w:right w:val="single" w:color="auto" w:sz="2" w:space="0"/>
                  </w:tcBorders>
                  <w:vAlign w:val="center"/>
                </w:tcPr>
                <w:p w14:paraId="08FA468A">
                  <w:pPr>
                    <w:spacing w:line="240" w:lineRule="auto"/>
                    <w:jc w:val="center"/>
                    <w:rPr>
                      <w:b/>
                      <w:bCs/>
                      <w:color w:val="auto"/>
                      <w:sz w:val="21"/>
                      <w:szCs w:val="21"/>
                    </w:rPr>
                  </w:pPr>
                  <w:r>
                    <w:rPr>
                      <w:rFonts w:hint="eastAsia"/>
                      <w:b/>
                      <w:bCs/>
                      <w:color w:val="auto"/>
                      <w:sz w:val="21"/>
                      <w:szCs w:val="21"/>
                    </w:rPr>
                    <w:t>产生量（t/a）</w:t>
                  </w:r>
                </w:p>
              </w:tc>
              <w:tc>
                <w:tcPr>
                  <w:tcW w:w="1113" w:type="dxa"/>
                  <w:tcBorders>
                    <w:left w:val="single" w:color="auto" w:sz="2" w:space="0"/>
                    <w:right w:val="single" w:color="auto" w:sz="4" w:space="0"/>
                  </w:tcBorders>
                  <w:vAlign w:val="center"/>
                </w:tcPr>
                <w:p w14:paraId="2D61BD52">
                  <w:pPr>
                    <w:spacing w:line="240" w:lineRule="auto"/>
                    <w:jc w:val="center"/>
                    <w:rPr>
                      <w:b/>
                      <w:bCs/>
                      <w:color w:val="auto"/>
                      <w:sz w:val="21"/>
                      <w:szCs w:val="21"/>
                    </w:rPr>
                  </w:pPr>
                  <w:r>
                    <w:rPr>
                      <w:rFonts w:hint="eastAsia"/>
                      <w:b/>
                      <w:bCs/>
                      <w:color w:val="auto"/>
                      <w:sz w:val="21"/>
                      <w:szCs w:val="21"/>
                    </w:rPr>
                    <w:t>速率（kg/h）</w:t>
                  </w:r>
                </w:p>
              </w:tc>
              <w:tc>
                <w:tcPr>
                  <w:tcW w:w="1113" w:type="dxa"/>
                  <w:vMerge w:val="continue"/>
                  <w:tcBorders>
                    <w:left w:val="single" w:color="auto" w:sz="4" w:space="0"/>
                  </w:tcBorders>
                  <w:vAlign w:val="center"/>
                </w:tcPr>
                <w:p w14:paraId="78B9A6B3">
                  <w:pPr>
                    <w:spacing w:line="240" w:lineRule="auto"/>
                    <w:jc w:val="center"/>
                    <w:rPr>
                      <w:b/>
                      <w:bCs/>
                      <w:color w:val="auto"/>
                      <w:sz w:val="21"/>
                      <w:szCs w:val="21"/>
                    </w:rPr>
                  </w:pPr>
                </w:p>
              </w:tc>
              <w:tc>
                <w:tcPr>
                  <w:tcW w:w="1113" w:type="dxa"/>
                  <w:vAlign w:val="center"/>
                </w:tcPr>
                <w:p w14:paraId="7FE98168">
                  <w:pPr>
                    <w:spacing w:line="240" w:lineRule="auto"/>
                    <w:jc w:val="center"/>
                    <w:rPr>
                      <w:b/>
                      <w:bCs/>
                      <w:color w:val="auto"/>
                      <w:sz w:val="21"/>
                      <w:szCs w:val="21"/>
                    </w:rPr>
                  </w:pPr>
                  <w:r>
                    <w:rPr>
                      <w:rFonts w:hint="eastAsia"/>
                      <w:b/>
                      <w:bCs/>
                      <w:color w:val="auto"/>
                      <w:sz w:val="21"/>
                      <w:szCs w:val="21"/>
                    </w:rPr>
                    <w:t>处理措施</w:t>
                  </w:r>
                </w:p>
              </w:tc>
              <w:tc>
                <w:tcPr>
                  <w:tcW w:w="1113" w:type="dxa"/>
                  <w:vAlign w:val="center"/>
                </w:tcPr>
                <w:p w14:paraId="32E14987">
                  <w:pPr>
                    <w:spacing w:line="240" w:lineRule="auto"/>
                    <w:jc w:val="center"/>
                    <w:rPr>
                      <w:b/>
                      <w:bCs/>
                      <w:color w:val="auto"/>
                      <w:sz w:val="21"/>
                      <w:szCs w:val="21"/>
                    </w:rPr>
                  </w:pPr>
                  <w:r>
                    <w:rPr>
                      <w:rFonts w:hint="eastAsia"/>
                      <w:b/>
                      <w:bCs/>
                      <w:color w:val="auto"/>
                      <w:sz w:val="21"/>
                      <w:szCs w:val="21"/>
                    </w:rPr>
                    <w:t>处理能力（m</w:t>
                  </w:r>
                  <w:r>
                    <w:rPr>
                      <w:rFonts w:hint="eastAsia"/>
                      <w:b/>
                      <w:bCs/>
                      <w:color w:val="auto"/>
                      <w:sz w:val="21"/>
                      <w:szCs w:val="21"/>
                      <w:vertAlign w:val="superscript"/>
                    </w:rPr>
                    <w:t>3</w:t>
                  </w:r>
                  <w:r>
                    <w:rPr>
                      <w:rFonts w:hint="eastAsia"/>
                      <w:b/>
                      <w:bCs/>
                      <w:color w:val="auto"/>
                      <w:sz w:val="21"/>
                      <w:szCs w:val="21"/>
                    </w:rPr>
                    <w:t>/h）</w:t>
                  </w:r>
                </w:p>
              </w:tc>
              <w:tc>
                <w:tcPr>
                  <w:tcW w:w="1113" w:type="dxa"/>
                  <w:vAlign w:val="center"/>
                </w:tcPr>
                <w:p w14:paraId="4E27C77B">
                  <w:pPr>
                    <w:spacing w:line="240" w:lineRule="auto"/>
                    <w:jc w:val="center"/>
                    <w:rPr>
                      <w:b/>
                      <w:bCs/>
                      <w:color w:val="auto"/>
                      <w:sz w:val="21"/>
                      <w:szCs w:val="21"/>
                    </w:rPr>
                  </w:pPr>
                  <w:r>
                    <w:rPr>
                      <w:rFonts w:hint="eastAsia"/>
                      <w:b/>
                      <w:bCs/>
                      <w:color w:val="auto"/>
                      <w:sz w:val="21"/>
                      <w:szCs w:val="21"/>
                    </w:rPr>
                    <w:t>收集效率</w:t>
                  </w:r>
                </w:p>
              </w:tc>
              <w:tc>
                <w:tcPr>
                  <w:tcW w:w="1113" w:type="dxa"/>
                  <w:vAlign w:val="center"/>
                </w:tcPr>
                <w:p w14:paraId="2F843737">
                  <w:pPr>
                    <w:spacing w:line="240" w:lineRule="auto"/>
                    <w:jc w:val="center"/>
                    <w:rPr>
                      <w:b/>
                      <w:bCs/>
                      <w:color w:val="auto"/>
                      <w:sz w:val="21"/>
                      <w:szCs w:val="21"/>
                    </w:rPr>
                  </w:pPr>
                  <w:r>
                    <w:rPr>
                      <w:rFonts w:hint="eastAsia"/>
                      <w:b/>
                      <w:bCs/>
                      <w:color w:val="auto"/>
                      <w:sz w:val="21"/>
                      <w:szCs w:val="21"/>
                    </w:rPr>
                    <w:t>去除率</w:t>
                  </w:r>
                </w:p>
              </w:tc>
              <w:tc>
                <w:tcPr>
                  <w:tcW w:w="1113" w:type="dxa"/>
                  <w:vAlign w:val="center"/>
                </w:tcPr>
                <w:p w14:paraId="55B0AFC6">
                  <w:pPr>
                    <w:spacing w:line="240" w:lineRule="auto"/>
                    <w:jc w:val="center"/>
                    <w:rPr>
                      <w:b/>
                      <w:bCs/>
                      <w:color w:val="auto"/>
                      <w:sz w:val="21"/>
                      <w:szCs w:val="21"/>
                    </w:rPr>
                  </w:pPr>
                  <w:r>
                    <w:rPr>
                      <w:rFonts w:hint="eastAsia"/>
                      <w:b/>
                      <w:bCs/>
                      <w:color w:val="auto"/>
                      <w:sz w:val="21"/>
                      <w:szCs w:val="21"/>
                    </w:rPr>
                    <w:t>是否为可行技术</w:t>
                  </w:r>
                </w:p>
              </w:tc>
              <w:tc>
                <w:tcPr>
                  <w:tcW w:w="1113" w:type="dxa"/>
                  <w:vAlign w:val="center"/>
                </w:tcPr>
                <w:p w14:paraId="095240F6">
                  <w:pPr>
                    <w:widowControl/>
                    <w:spacing w:line="240" w:lineRule="auto"/>
                    <w:jc w:val="center"/>
                    <w:textAlignment w:val="center"/>
                    <w:rPr>
                      <w:b/>
                      <w:bCs/>
                      <w:color w:val="auto"/>
                      <w:sz w:val="21"/>
                      <w:szCs w:val="18"/>
                    </w:rPr>
                  </w:pPr>
                  <w:r>
                    <w:rPr>
                      <w:b/>
                      <w:bCs/>
                      <w:color w:val="auto"/>
                      <w:sz w:val="21"/>
                      <w:szCs w:val="18"/>
                    </w:rPr>
                    <w:t>排放量</w:t>
                  </w:r>
                  <w:r>
                    <w:rPr>
                      <w:rFonts w:hint="eastAsia"/>
                      <w:b/>
                      <w:bCs/>
                      <w:color w:val="auto"/>
                      <w:sz w:val="21"/>
                      <w:szCs w:val="18"/>
                    </w:rPr>
                    <w:t>（</w:t>
                  </w:r>
                  <w:r>
                    <w:rPr>
                      <w:b/>
                      <w:bCs/>
                      <w:color w:val="auto"/>
                      <w:sz w:val="21"/>
                      <w:szCs w:val="18"/>
                    </w:rPr>
                    <w:t>t/a</w:t>
                  </w:r>
                  <w:r>
                    <w:rPr>
                      <w:rFonts w:hint="eastAsia"/>
                      <w:b/>
                      <w:bCs/>
                      <w:color w:val="auto"/>
                      <w:sz w:val="21"/>
                      <w:szCs w:val="18"/>
                    </w:rPr>
                    <w:t>）</w:t>
                  </w:r>
                </w:p>
              </w:tc>
              <w:tc>
                <w:tcPr>
                  <w:tcW w:w="1134" w:type="dxa"/>
                  <w:gridSpan w:val="2"/>
                  <w:vAlign w:val="center"/>
                </w:tcPr>
                <w:p w14:paraId="5276FCC5">
                  <w:pPr>
                    <w:widowControl/>
                    <w:spacing w:line="240" w:lineRule="auto"/>
                    <w:jc w:val="center"/>
                    <w:textAlignment w:val="center"/>
                    <w:rPr>
                      <w:b/>
                      <w:bCs/>
                      <w:color w:val="auto"/>
                      <w:sz w:val="21"/>
                      <w:szCs w:val="18"/>
                    </w:rPr>
                  </w:pPr>
                  <w:r>
                    <w:rPr>
                      <w:b/>
                      <w:bCs/>
                      <w:color w:val="auto"/>
                      <w:sz w:val="21"/>
                      <w:szCs w:val="18"/>
                    </w:rPr>
                    <w:t>速率</w:t>
                  </w:r>
                  <w:r>
                    <w:rPr>
                      <w:rFonts w:hint="eastAsia"/>
                      <w:b/>
                      <w:bCs/>
                      <w:color w:val="auto"/>
                      <w:sz w:val="21"/>
                      <w:szCs w:val="18"/>
                    </w:rPr>
                    <w:t>（</w:t>
                  </w:r>
                  <w:r>
                    <w:rPr>
                      <w:b/>
                      <w:bCs/>
                      <w:color w:val="auto"/>
                      <w:sz w:val="21"/>
                      <w:szCs w:val="18"/>
                    </w:rPr>
                    <w:t>kg/h</w:t>
                  </w:r>
                  <w:r>
                    <w:rPr>
                      <w:rFonts w:hint="eastAsia"/>
                      <w:b/>
                      <w:bCs/>
                      <w:color w:val="auto"/>
                      <w:sz w:val="21"/>
                      <w:szCs w:val="18"/>
                    </w:rPr>
                    <w:t>）</w:t>
                  </w:r>
                </w:p>
              </w:tc>
            </w:tr>
            <w:tr w14:paraId="4C158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3" w:hRule="atLeast"/>
              </w:trPr>
              <w:tc>
                <w:tcPr>
                  <w:tcW w:w="1113" w:type="dxa"/>
                  <w:vAlign w:val="center"/>
                </w:tcPr>
                <w:p w14:paraId="7C330194">
                  <w:pPr>
                    <w:widowControl/>
                    <w:spacing w:line="240" w:lineRule="auto"/>
                    <w:jc w:val="center"/>
                    <w:textAlignment w:val="center"/>
                    <w:rPr>
                      <w:rFonts w:hint="eastAsia" w:eastAsia="宋体"/>
                      <w:color w:val="auto"/>
                      <w:sz w:val="21"/>
                      <w:szCs w:val="18"/>
                      <w:lang w:eastAsia="zh-CN"/>
                    </w:rPr>
                  </w:pPr>
                  <w:r>
                    <w:rPr>
                      <w:rFonts w:hint="eastAsia" w:cs="Times New Roman" w:eastAsiaTheme="minorEastAsia"/>
                      <w:color w:val="auto"/>
                      <w:sz w:val="21"/>
                      <w:szCs w:val="21"/>
                      <w:lang w:val="en-US" w:eastAsia="zh-CN"/>
                    </w:rPr>
                    <w:t>配料、投料粉尘</w:t>
                  </w:r>
                </w:p>
              </w:tc>
              <w:tc>
                <w:tcPr>
                  <w:tcW w:w="1310" w:type="dxa"/>
                  <w:vAlign w:val="center"/>
                </w:tcPr>
                <w:p w14:paraId="7F915381">
                  <w:pPr>
                    <w:widowControl/>
                    <w:spacing w:line="240" w:lineRule="auto"/>
                    <w:jc w:val="center"/>
                    <w:textAlignment w:val="center"/>
                    <w:rPr>
                      <w:rFonts w:hint="eastAsia" w:eastAsia="宋体"/>
                      <w:color w:val="auto"/>
                      <w:sz w:val="21"/>
                      <w:szCs w:val="18"/>
                      <w:lang w:eastAsia="zh-CN"/>
                    </w:rPr>
                  </w:pPr>
                  <w:r>
                    <w:rPr>
                      <w:rFonts w:hint="eastAsia"/>
                      <w:color w:val="auto"/>
                      <w:sz w:val="21"/>
                      <w:lang w:val="en-US" w:eastAsia="zh-CN"/>
                    </w:rPr>
                    <w:t>颗粒物</w:t>
                  </w:r>
                </w:p>
              </w:tc>
              <w:tc>
                <w:tcPr>
                  <w:tcW w:w="1025" w:type="dxa"/>
                  <w:tcBorders>
                    <w:top w:val="single" w:color="auto" w:sz="2" w:space="0"/>
                  </w:tcBorders>
                  <w:vAlign w:val="center"/>
                </w:tcPr>
                <w:p w14:paraId="0FBB775F">
                  <w:pPr>
                    <w:widowControl/>
                    <w:spacing w:line="240" w:lineRule="auto"/>
                    <w:jc w:val="center"/>
                    <w:textAlignment w:val="center"/>
                    <w:rPr>
                      <w:rFonts w:hint="default" w:eastAsia="宋体"/>
                      <w:color w:val="auto"/>
                      <w:sz w:val="21"/>
                      <w:szCs w:val="18"/>
                      <w:lang w:val="en-US" w:eastAsia="zh-CN"/>
                    </w:rPr>
                  </w:pPr>
                  <w:r>
                    <w:rPr>
                      <w:rFonts w:hint="eastAsia" w:cs="Times New Roman" w:eastAsiaTheme="minorEastAsia"/>
                      <w:color w:val="auto"/>
                      <w:sz w:val="21"/>
                      <w:szCs w:val="21"/>
                      <w:lang w:val="en-US" w:eastAsia="zh-CN"/>
                    </w:rPr>
                    <w:t>配料间</w:t>
                  </w:r>
                </w:p>
              </w:tc>
              <w:tc>
                <w:tcPr>
                  <w:tcW w:w="1004" w:type="dxa"/>
                  <w:tcBorders>
                    <w:top w:val="single" w:color="auto" w:sz="2" w:space="0"/>
                    <w:bottom w:val="single" w:color="auto" w:sz="2" w:space="0"/>
                  </w:tcBorders>
                  <w:vAlign w:val="center"/>
                </w:tcPr>
                <w:p w14:paraId="5A453E6A">
                  <w:pPr>
                    <w:widowControl/>
                    <w:spacing w:line="240" w:lineRule="auto"/>
                    <w:jc w:val="center"/>
                    <w:textAlignment w:val="center"/>
                    <w:rPr>
                      <w:rFonts w:hint="default" w:ascii="Times New Roman" w:hAnsi="Times New Roman" w:cs="Times New Roman"/>
                      <w:color w:val="auto"/>
                      <w:sz w:val="21"/>
                      <w:szCs w:val="18"/>
                      <w:lang w:val="en-US" w:eastAsia="zh-CN"/>
                    </w:rPr>
                  </w:pPr>
                  <w:r>
                    <w:rPr>
                      <w:rFonts w:hint="eastAsia" w:cs="Times New Roman"/>
                      <w:color w:val="auto"/>
                      <w:sz w:val="21"/>
                      <w:szCs w:val="18"/>
                      <w:lang w:val="en-US" w:eastAsia="zh-CN"/>
                    </w:rPr>
                    <w:t>0.159</w:t>
                  </w:r>
                </w:p>
              </w:tc>
              <w:tc>
                <w:tcPr>
                  <w:tcW w:w="1113" w:type="dxa"/>
                  <w:vAlign w:val="center"/>
                </w:tcPr>
                <w:p w14:paraId="3A5CBD88">
                  <w:pPr>
                    <w:widowControl/>
                    <w:spacing w:line="240" w:lineRule="auto"/>
                    <w:jc w:val="center"/>
                    <w:textAlignment w:val="center"/>
                    <w:rPr>
                      <w:rFonts w:hint="default" w:ascii="Times New Roman" w:hAnsi="Times New Roman" w:cs="Times New Roman"/>
                      <w:color w:val="auto"/>
                      <w:sz w:val="21"/>
                      <w:szCs w:val="18"/>
                      <w:lang w:val="en-US" w:eastAsia="zh-CN"/>
                    </w:rPr>
                  </w:pPr>
                  <w:r>
                    <w:rPr>
                      <w:rFonts w:hint="eastAsia" w:cs="Times New Roman"/>
                      <w:color w:val="auto"/>
                      <w:sz w:val="21"/>
                      <w:szCs w:val="18"/>
                      <w:lang w:val="en-US" w:eastAsia="zh-CN"/>
                    </w:rPr>
                    <w:t>0.033</w:t>
                  </w:r>
                </w:p>
              </w:tc>
              <w:tc>
                <w:tcPr>
                  <w:tcW w:w="1113" w:type="dxa"/>
                  <w:vMerge w:val="restart"/>
                  <w:vAlign w:val="center"/>
                </w:tcPr>
                <w:p w14:paraId="2913CB7F">
                  <w:pPr>
                    <w:widowControl/>
                    <w:spacing w:line="240" w:lineRule="auto"/>
                    <w:jc w:val="center"/>
                    <w:textAlignment w:val="center"/>
                    <w:rPr>
                      <w:rFonts w:hint="eastAsia" w:eastAsia="宋体"/>
                      <w:color w:val="auto"/>
                      <w:sz w:val="21"/>
                      <w:szCs w:val="18"/>
                      <w:lang w:eastAsia="zh-CN"/>
                    </w:rPr>
                  </w:pPr>
                  <w:r>
                    <w:rPr>
                      <w:rFonts w:hint="eastAsia"/>
                      <w:color w:val="auto"/>
                      <w:sz w:val="21"/>
                      <w:szCs w:val="18"/>
                      <w:lang w:eastAsia="zh-CN"/>
                    </w:rPr>
                    <w:t>无组织</w:t>
                  </w:r>
                </w:p>
              </w:tc>
              <w:tc>
                <w:tcPr>
                  <w:tcW w:w="1113" w:type="dxa"/>
                  <w:vMerge w:val="restart"/>
                  <w:vAlign w:val="center"/>
                </w:tcPr>
                <w:p w14:paraId="58A5C493">
                  <w:pPr>
                    <w:widowControl/>
                    <w:spacing w:line="240" w:lineRule="auto"/>
                    <w:jc w:val="center"/>
                    <w:textAlignment w:val="center"/>
                    <w:rPr>
                      <w:rFonts w:hint="default" w:eastAsia="宋体"/>
                      <w:color w:val="auto"/>
                      <w:sz w:val="21"/>
                      <w:szCs w:val="18"/>
                      <w:lang w:val="en-US" w:eastAsia="zh-CN"/>
                    </w:rPr>
                  </w:pPr>
                  <w:r>
                    <w:rPr>
                      <w:rFonts w:hint="eastAsia"/>
                      <w:color w:val="auto"/>
                      <w:sz w:val="21"/>
                      <w:szCs w:val="18"/>
                      <w:lang w:val="en-US" w:eastAsia="zh-CN"/>
                    </w:rPr>
                    <w:t>加强收集措施</w:t>
                  </w:r>
                </w:p>
              </w:tc>
              <w:tc>
                <w:tcPr>
                  <w:tcW w:w="1113" w:type="dxa"/>
                  <w:vAlign w:val="center"/>
                </w:tcPr>
                <w:p w14:paraId="096AA6F0">
                  <w:pPr>
                    <w:spacing w:line="240" w:lineRule="auto"/>
                    <w:jc w:val="center"/>
                    <w:rPr>
                      <w:rFonts w:hint="default" w:eastAsia="宋体"/>
                      <w:color w:val="auto"/>
                      <w:sz w:val="21"/>
                      <w:szCs w:val="18"/>
                      <w:lang w:val="en-US" w:eastAsia="zh-CN"/>
                    </w:rPr>
                  </w:pPr>
                  <w:r>
                    <w:rPr>
                      <w:rFonts w:hint="eastAsia"/>
                      <w:color w:val="auto"/>
                      <w:sz w:val="21"/>
                      <w:szCs w:val="18"/>
                      <w:lang w:val="en-US" w:eastAsia="zh-CN"/>
                    </w:rPr>
                    <w:t>/</w:t>
                  </w:r>
                </w:p>
              </w:tc>
              <w:tc>
                <w:tcPr>
                  <w:tcW w:w="1113" w:type="dxa"/>
                  <w:vAlign w:val="center"/>
                </w:tcPr>
                <w:p w14:paraId="44429F64">
                  <w:pPr>
                    <w:widowControl/>
                    <w:spacing w:line="240" w:lineRule="auto"/>
                    <w:ind w:firstLine="0" w:firstLineChars="0"/>
                    <w:jc w:val="center"/>
                    <w:textAlignment w:val="center"/>
                    <w:rPr>
                      <w:color w:val="auto"/>
                      <w:sz w:val="21"/>
                      <w:szCs w:val="18"/>
                    </w:rPr>
                  </w:pPr>
                  <w:r>
                    <w:rPr>
                      <w:rFonts w:hint="eastAsia"/>
                      <w:color w:val="auto"/>
                      <w:sz w:val="21"/>
                      <w:szCs w:val="18"/>
                      <w:lang w:val="en-US" w:eastAsia="zh-CN"/>
                    </w:rPr>
                    <w:t>/</w:t>
                  </w:r>
                </w:p>
              </w:tc>
              <w:tc>
                <w:tcPr>
                  <w:tcW w:w="1113" w:type="dxa"/>
                  <w:vAlign w:val="center"/>
                </w:tcPr>
                <w:p w14:paraId="476D3D78">
                  <w:pPr>
                    <w:widowControl/>
                    <w:spacing w:line="240" w:lineRule="auto"/>
                    <w:ind w:firstLine="0" w:firstLineChars="0"/>
                    <w:jc w:val="center"/>
                    <w:textAlignment w:val="center"/>
                    <w:rPr>
                      <w:rFonts w:hint="default" w:eastAsia="宋体"/>
                      <w:color w:val="auto"/>
                      <w:sz w:val="21"/>
                      <w:szCs w:val="18"/>
                      <w:lang w:val="en-US" w:eastAsia="zh-CN"/>
                    </w:rPr>
                  </w:pPr>
                  <w:r>
                    <w:rPr>
                      <w:rFonts w:hint="eastAsia"/>
                      <w:color w:val="auto"/>
                      <w:sz w:val="21"/>
                      <w:szCs w:val="18"/>
                      <w:lang w:val="en-US" w:eastAsia="zh-CN"/>
                    </w:rPr>
                    <w:t>/</w:t>
                  </w:r>
                </w:p>
              </w:tc>
              <w:tc>
                <w:tcPr>
                  <w:tcW w:w="1113" w:type="dxa"/>
                  <w:vAlign w:val="center"/>
                </w:tcPr>
                <w:p w14:paraId="61D20062">
                  <w:pPr>
                    <w:widowControl/>
                    <w:spacing w:line="240" w:lineRule="auto"/>
                    <w:ind w:firstLine="0" w:firstLineChars="0"/>
                    <w:jc w:val="center"/>
                    <w:textAlignment w:val="center"/>
                    <w:rPr>
                      <w:rFonts w:hint="eastAsia" w:eastAsia="宋体"/>
                      <w:color w:val="auto"/>
                      <w:sz w:val="21"/>
                      <w:szCs w:val="18"/>
                      <w:lang w:eastAsia="zh-CN"/>
                    </w:rPr>
                  </w:pPr>
                  <w:r>
                    <w:rPr>
                      <w:rFonts w:hint="eastAsia"/>
                      <w:color w:val="auto"/>
                      <w:sz w:val="21"/>
                      <w:szCs w:val="18"/>
                      <w:lang w:val="en-US" w:eastAsia="zh-CN"/>
                    </w:rPr>
                    <w:t>/</w:t>
                  </w:r>
                </w:p>
              </w:tc>
              <w:tc>
                <w:tcPr>
                  <w:tcW w:w="1113" w:type="dxa"/>
                  <w:shd w:val="clear" w:color="auto" w:fill="auto"/>
                  <w:vAlign w:val="center"/>
                </w:tcPr>
                <w:p w14:paraId="10CF0068">
                  <w:pPr>
                    <w:widowControl/>
                    <w:spacing w:line="240" w:lineRule="auto"/>
                    <w:ind w:firstLine="0" w:firstLineChars="0"/>
                    <w:jc w:val="center"/>
                    <w:textAlignment w:val="center"/>
                    <w:rPr>
                      <w:rFonts w:hint="eastAsia" w:ascii="Times New Roman" w:hAnsi="Times New Roman" w:eastAsia="宋体" w:cs="Times New Roman"/>
                      <w:color w:val="auto"/>
                      <w:kern w:val="2"/>
                      <w:sz w:val="21"/>
                      <w:szCs w:val="18"/>
                      <w:lang w:val="en-US" w:eastAsia="zh-CN" w:bidi="ar-SA"/>
                    </w:rPr>
                  </w:pPr>
                  <w:r>
                    <w:rPr>
                      <w:rFonts w:hint="eastAsia" w:cs="Times New Roman"/>
                      <w:color w:val="auto"/>
                      <w:sz w:val="21"/>
                      <w:szCs w:val="18"/>
                      <w:lang w:val="en-US" w:eastAsia="zh-CN"/>
                    </w:rPr>
                    <w:t>0.159</w:t>
                  </w:r>
                </w:p>
              </w:tc>
              <w:tc>
                <w:tcPr>
                  <w:tcW w:w="1120" w:type="dxa"/>
                  <w:shd w:val="clear" w:color="auto" w:fill="auto"/>
                  <w:vAlign w:val="center"/>
                </w:tcPr>
                <w:p w14:paraId="4782A201">
                  <w:pPr>
                    <w:widowControl/>
                    <w:spacing w:line="240" w:lineRule="auto"/>
                    <w:ind w:firstLine="0" w:firstLineChars="0"/>
                    <w:jc w:val="center"/>
                    <w:textAlignment w:val="center"/>
                    <w:rPr>
                      <w:rFonts w:hint="eastAsia" w:ascii="Times New Roman" w:hAnsi="Times New Roman" w:eastAsia="宋体" w:cs="Times New Roman"/>
                      <w:color w:val="auto"/>
                      <w:kern w:val="2"/>
                      <w:sz w:val="21"/>
                      <w:szCs w:val="18"/>
                      <w:lang w:val="en-US" w:eastAsia="zh-CN" w:bidi="ar-SA"/>
                    </w:rPr>
                  </w:pPr>
                  <w:r>
                    <w:rPr>
                      <w:rFonts w:hint="eastAsia" w:cs="Times New Roman"/>
                      <w:color w:val="auto"/>
                      <w:sz w:val="21"/>
                      <w:szCs w:val="18"/>
                      <w:lang w:val="en-US" w:eastAsia="zh-CN"/>
                    </w:rPr>
                    <w:t>0.033</w:t>
                  </w:r>
                </w:p>
              </w:tc>
            </w:tr>
            <w:tr w14:paraId="66FCC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3" w:hRule="atLeast"/>
              </w:trPr>
              <w:tc>
                <w:tcPr>
                  <w:tcW w:w="1113" w:type="dxa"/>
                  <w:vMerge w:val="restart"/>
                  <w:vAlign w:val="center"/>
                </w:tcPr>
                <w:p w14:paraId="022A8600">
                  <w:pPr>
                    <w:widowControl/>
                    <w:spacing w:line="240" w:lineRule="auto"/>
                    <w:jc w:val="center"/>
                    <w:textAlignment w:val="center"/>
                    <w:rPr>
                      <w:color w:val="auto"/>
                      <w:sz w:val="21"/>
                      <w:szCs w:val="18"/>
                    </w:rPr>
                  </w:pPr>
                  <w:r>
                    <w:rPr>
                      <w:rFonts w:hint="default" w:cs="Times New Roman" w:eastAsiaTheme="minorEastAsia"/>
                      <w:color w:val="auto"/>
                      <w:sz w:val="21"/>
                      <w:szCs w:val="21"/>
                      <w:lang w:val="en-US" w:eastAsia="zh-CN"/>
                    </w:rPr>
                    <w:t>密炼</w:t>
                  </w:r>
                  <w:r>
                    <w:rPr>
                      <w:rFonts w:hint="eastAsia" w:cs="Times New Roman" w:eastAsiaTheme="minorEastAsia"/>
                      <w:color w:val="auto"/>
                      <w:sz w:val="21"/>
                      <w:szCs w:val="21"/>
                      <w:lang w:val="en-US" w:eastAsia="zh-CN"/>
                    </w:rPr>
                    <w:t>废气</w:t>
                  </w:r>
                </w:p>
              </w:tc>
              <w:tc>
                <w:tcPr>
                  <w:tcW w:w="1310" w:type="dxa"/>
                  <w:shd w:val="clear" w:color="auto" w:fill="auto"/>
                  <w:vAlign w:val="center"/>
                </w:tcPr>
                <w:p w14:paraId="5023DD7F">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颗粒物</w:t>
                  </w:r>
                </w:p>
              </w:tc>
              <w:tc>
                <w:tcPr>
                  <w:tcW w:w="1025" w:type="dxa"/>
                  <w:vMerge w:val="restart"/>
                  <w:vAlign w:val="center"/>
                </w:tcPr>
                <w:p w14:paraId="25C27068">
                  <w:pPr>
                    <w:widowControl/>
                    <w:spacing w:line="240" w:lineRule="auto"/>
                    <w:jc w:val="center"/>
                    <w:textAlignment w:val="center"/>
                    <w:rPr>
                      <w:rFonts w:hint="eastAsia" w:eastAsia="宋体"/>
                      <w:color w:val="auto"/>
                      <w:sz w:val="21"/>
                      <w:szCs w:val="18"/>
                      <w:lang w:val="en-US" w:eastAsia="zh-CN"/>
                    </w:rPr>
                  </w:pPr>
                  <w:r>
                    <w:rPr>
                      <w:rFonts w:hint="eastAsia"/>
                      <w:color w:val="auto"/>
                      <w:sz w:val="21"/>
                      <w:szCs w:val="18"/>
                      <w:lang w:val="en-US" w:eastAsia="zh-CN"/>
                    </w:rPr>
                    <w:t>密炼机</w:t>
                  </w:r>
                </w:p>
              </w:tc>
              <w:tc>
                <w:tcPr>
                  <w:tcW w:w="1004" w:type="dxa"/>
                  <w:tcBorders>
                    <w:top w:val="single" w:color="auto" w:sz="2" w:space="0"/>
                    <w:bottom w:val="single" w:color="auto" w:sz="2" w:space="0"/>
                  </w:tcBorders>
                  <w:vAlign w:val="center"/>
                </w:tcPr>
                <w:p w14:paraId="1C0DA4FD">
                  <w:pPr>
                    <w:widowControl/>
                    <w:spacing w:line="240" w:lineRule="auto"/>
                    <w:jc w:val="center"/>
                    <w:textAlignment w:val="center"/>
                    <w:rPr>
                      <w:rFonts w:hint="default" w:cs="Times New Roman"/>
                      <w:color w:val="auto"/>
                      <w:sz w:val="21"/>
                      <w:szCs w:val="18"/>
                      <w:lang w:val="en-US" w:eastAsia="zh-CN"/>
                    </w:rPr>
                  </w:pPr>
                  <w:r>
                    <w:rPr>
                      <w:rFonts w:hint="eastAsia" w:cs="Times New Roman"/>
                      <w:color w:val="auto"/>
                      <w:sz w:val="21"/>
                      <w:szCs w:val="18"/>
                      <w:lang w:val="en-US" w:eastAsia="zh-CN"/>
                    </w:rPr>
                    <w:t>0.431</w:t>
                  </w:r>
                </w:p>
              </w:tc>
              <w:tc>
                <w:tcPr>
                  <w:tcW w:w="1113" w:type="dxa"/>
                  <w:vAlign w:val="center"/>
                </w:tcPr>
                <w:p w14:paraId="22FAAB4B">
                  <w:pPr>
                    <w:widowControl/>
                    <w:spacing w:line="240" w:lineRule="auto"/>
                    <w:jc w:val="center"/>
                    <w:textAlignment w:val="center"/>
                    <w:rPr>
                      <w:rFonts w:hint="default" w:cs="Times New Roman"/>
                      <w:color w:val="auto"/>
                      <w:sz w:val="21"/>
                      <w:szCs w:val="18"/>
                      <w:lang w:val="en-US" w:eastAsia="zh-CN"/>
                    </w:rPr>
                  </w:pPr>
                  <w:r>
                    <w:rPr>
                      <w:rFonts w:hint="eastAsia" w:cs="Times New Roman"/>
                      <w:color w:val="auto"/>
                      <w:sz w:val="21"/>
                      <w:szCs w:val="18"/>
                      <w:lang w:val="en-US" w:eastAsia="zh-CN"/>
                    </w:rPr>
                    <w:t>0.09</w:t>
                  </w:r>
                </w:p>
              </w:tc>
              <w:tc>
                <w:tcPr>
                  <w:tcW w:w="1113" w:type="dxa"/>
                  <w:vMerge w:val="continue"/>
                  <w:vAlign w:val="center"/>
                </w:tcPr>
                <w:p w14:paraId="1F42E5A2">
                  <w:pPr>
                    <w:widowControl/>
                    <w:spacing w:line="240" w:lineRule="auto"/>
                    <w:jc w:val="center"/>
                    <w:textAlignment w:val="center"/>
                    <w:rPr>
                      <w:rFonts w:hint="eastAsia"/>
                      <w:color w:val="auto"/>
                      <w:sz w:val="21"/>
                      <w:szCs w:val="18"/>
                      <w:lang w:eastAsia="zh-CN"/>
                    </w:rPr>
                  </w:pPr>
                </w:p>
              </w:tc>
              <w:tc>
                <w:tcPr>
                  <w:tcW w:w="1113" w:type="dxa"/>
                  <w:vMerge w:val="continue"/>
                  <w:vAlign w:val="center"/>
                </w:tcPr>
                <w:p w14:paraId="5FACD472">
                  <w:pPr>
                    <w:widowControl/>
                    <w:spacing w:line="240" w:lineRule="auto"/>
                    <w:jc w:val="center"/>
                    <w:textAlignment w:val="center"/>
                    <w:rPr>
                      <w:color w:val="auto"/>
                      <w:sz w:val="21"/>
                      <w:szCs w:val="21"/>
                    </w:rPr>
                  </w:pPr>
                </w:p>
              </w:tc>
              <w:tc>
                <w:tcPr>
                  <w:tcW w:w="1113" w:type="dxa"/>
                  <w:vAlign w:val="center"/>
                </w:tcPr>
                <w:p w14:paraId="323F7354">
                  <w:pPr>
                    <w:spacing w:line="240" w:lineRule="auto"/>
                    <w:ind w:firstLine="0" w:firstLineChars="0"/>
                    <w:jc w:val="center"/>
                    <w:rPr>
                      <w:color w:val="auto"/>
                      <w:sz w:val="21"/>
                      <w:szCs w:val="18"/>
                    </w:rPr>
                  </w:pPr>
                  <w:r>
                    <w:rPr>
                      <w:rFonts w:hint="eastAsia"/>
                      <w:color w:val="auto"/>
                      <w:sz w:val="21"/>
                      <w:szCs w:val="18"/>
                      <w:lang w:val="en-US" w:eastAsia="zh-CN"/>
                    </w:rPr>
                    <w:t>/</w:t>
                  </w:r>
                </w:p>
              </w:tc>
              <w:tc>
                <w:tcPr>
                  <w:tcW w:w="1113" w:type="dxa"/>
                  <w:vAlign w:val="center"/>
                </w:tcPr>
                <w:p w14:paraId="1BC61696">
                  <w:pPr>
                    <w:widowControl/>
                    <w:spacing w:line="240" w:lineRule="auto"/>
                    <w:ind w:firstLine="0" w:firstLineChars="0"/>
                    <w:jc w:val="center"/>
                    <w:textAlignment w:val="center"/>
                    <w:rPr>
                      <w:rFonts w:ascii="Times New Roman" w:hAnsi="Times New Roman" w:eastAsia="宋体" w:cs="Times New Roman"/>
                      <w:color w:val="auto"/>
                      <w:kern w:val="2"/>
                      <w:sz w:val="21"/>
                      <w:szCs w:val="18"/>
                      <w:lang w:val="en-US" w:eastAsia="zh-CN" w:bidi="ar-SA"/>
                    </w:rPr>
                  </w:pPr>
                  <w:r>
                    <w:rPr>
                      <w:rFonts w:hint="eastAsia"/>
                      <w:color w:val="auto"/>
                      <w:sz w:val="21"/>
                      <w:szCs w:val="18"/>
                      <w:lang w:val="en-US" w:eastAsia="zh-CN"/>
                    </w:rPr>
                    <w:t>/</w:t>
                  </w:r>
                </w:p>
              </w:tc>
              <w:tc>
                <w:tcPr>
                  <w:tcW w:w="1113" w:type="dxa"/>
                  <w:vAlign w:val="center"/>
                </w:tcPr>
                <w:p w14:paraId="0D4584B9">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18"/>
                      <w:lang w:val="en-US" w:eastAsia="zh-CN" w:bidi="ar-SA"/>
                    </w:rPr>
                  </w:pPr>
                  <w:r>
                    <w:rPr>
                      <w:rFonts w:hint="eastAsia"/>
                      <w:color w:val="auto"/>
                      <w:sz w:val="21"/>
                      <w:szCs w:val="18"/>
                      <w:lang w:val="en-US" w:eastAsia="zh-CN"/>
                    </w:rPr>
                    <w:t>/</w:t>
                  </w:r>
                </w:p>
              </w:tc>
              <w:tc>
                <w:tcPr>
                  <w:tcW w:w="1113" w:type="dxa"/>
                  <w:vAlign w:val="center"/>
                </w:tcPr>
                <w:p w14:paraId="7017E1A0">
                  <w:pPr>
                    <w:widowControl/>
                    <w:spacing w:line="240" w:lineRule="auto"/>
                    <w:ind w:firstLine="0" w:firstLineChars="0"/>
                    <w:jc w:val="center"/>
                    <w:textAlignment w:val="center"/>
                    <w:rPr>
                      <w:rFonts w:hint="eastAsia" w:ascii="Times New Roman" w:hAnsi="Times New Roman" w:eastAsia="宋体" w:cs="Times New Roman"/>
                      <w:color w:val="auto"/>
                      <w:kern w:val="2"/>
                      <w:sz w:val="21"/>
                      <w:szCs w:val="18"/>
                      <w:lang w:val="en-US" w:eastAsia="zh-CN" w:bidi="ar-SA"/>
                    </w:rPr>
                  </w:pPr>
                  <w:r>
                    <w:rPr>
                      <w:rFonts w:hint="eastAsia"/>
                      <w:color w:val="auto"/>
                      <w:sz w:val="21"/>
                      <w:szCs w:val="18"/>
                      <w:lang w:val="en-US" w:eastAsia="zh-CN"/>
                    </w:rPr>
                    <w:t>/</w:t>
                  </w:r>
                </w:p>
              </w:tc>
              <w:tc>
                <w:tcPr>
                  <w:tcW w:w="1113" w:type="dxa"/>
                  <w:shd w:val="clear" w:color="auto" w:fill="auto"/>
                  <w:vAlign w:val="center"/>
                </w:tcPr>
                <w:p w14:paraId="5F67D2B5">
                  <w:pPr>
                    <w:widowControl/>
                    <w:spacing w:line="240" w:lineRule="auto"/>
                    <w:ind w:firstLine="0" w:firstLineChars="0"/>
                    <w:jc w:val="center"/>
                    <w:textAlignment w:val="center"/>
                    <w:rPr>
                      <w:rFonts w:hint="eastAsia" w:ascii="Times New Roman" w:hAnsi="Times New Roman" w:eastAsia="宋体" w:cs="Times New Roman"/>
                      <w:color w:val="auto"/>
                      <w:kern w:val="2"/>
                      <w:sz w:val="21"/>
                      <w:szCs w:val="18"/>
                      <w:lang w:val="en-US" w:eastAsia="zh-CN" w:bidi="ar-SA"/>
                    </w:rPr>
                  </w:pPr>
                  <w:r>
                    <w:rPr>
                      <w:rFonts w:hint="eastAsia" w:cs="Times New Roman"/>
                      <w:color w:val="auto"/>
                      <w:sz w:val="21"/>
                      <w:szCs w:val="18"/>
                      <w:lang w:val="en-US" w:eastAsia="zh-CN"/>
                    </w:rPr>
                    <w:t>0.431</w:t>
                  </w:r>
                </w:p>
              </w:tc>
              <w:tc>
                <w:tcPr>
                  <w:tcW w:w="1120" w:type="dxa"/>
                  <w:shd w:val="clear" w:color="auto" w:fill="auto"/>
                  <w:vAlign w:val="center"/>
                </w:tcPr>
                <w:p w14:paraId="4386DBAF">
                  <w:pPr>
                    <w:widowControl/>
                    <w:spacing w:line="240" w:lineRule="auto"/>
                    <w:ind w:firstLine="0" w:firstLineChars="0"/>
                    <w:jc w:val="center"/>
                    <w:textAlignment w:val="center"/>
                    <w:rPr>
                      <w:rFonts w:hint="eastAsia" w:ascii="Times New Roman" w:hAnsi="Times New Roman" w:eastAsia="宋体" w:cs="Times New Roman"/>
                      <w:color w:val="auto"/>
                      <w:kern w:val="2"/>
                      <w:sz w:val="21"/>
                      <w:szCs w:val="18"/>
                      <w:lang w:val="en-US" w:eastAsia="zh-CN" w:bidi="ar-SA"/>
                    </w:rPr>
                  </w:pPr>
                  <w:r>
                    <w:rPr>
                      <w:rFonts w:hint="eastAsia" w:cs="Times New Roman"/>
                      <w:color w:val="auto"/>
                      <w:sz w:val="21"/>
                      <w:szCs w:val="18"/>
                      <w:lang w:val="en-US" w:eastAsia="zh-CN"/>
                    </w:rPr>
                    <w:t>0.09</w:t>
                  </w:r>
                </w:p>
              </w:tc>
            </w:tr>
            <w:tr w14:paraId="5E341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3" w:hRule="atLeast"/>
              </w:trPr>
              <w:tc>
                <w:tcPr>
                  <w:tcW w:w="1113" w:type="dxa"/>
                  <w:vMerge w:val="continue"/>
                  <w:vAlign w:val="center"/>
                </w:tcPr>
                <w:p w14:paraId="3663904C">
                  <w:pPr>
                    <w:widowControl/>
                    <w:spacing w:line="240" w:lineRule="auto"/>
                    <w:jc w:val="center"/>
                    <w:textAlignment w:val="center"/>
                    <w:rPr>
                      <w:color w:val="auto"/>
                      <w:sz w:val="21"/>
                      <w:szCs w:val="18"/>
                    </w:rPr>
                  </w:pPr>
                </w:p>
              </w:tc>
              <w:tc>
                <w:tcPr>
                  <w:tcW w:w="1310" w:type="dxa"/>
                  <w:shd w:val="clear" w:color="auto" w:fill="auto"/>
                  <w:vAlign w:val="center"/>
                </w:tcPr>
                <w:p w14:paraId="56836D9A">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非甲烷总烃</w:t>
                  </w:r>
                </w:p>
              </w:tc>
              <w:tc>
                <w:tcPr>
                  <w:tcW w:w="1025" w:type="dxa"/>
                  <w:vMerge w:val="continue"/>
                  <w:vAlign w:val="center"/>
                </w:tcPr>
                <w:p w14:paraId="733749F2">
                  <w:pPr>
                    <w:widowControl/>
                    <w:spacing w:line="240" w:lineRule="auto"/>
                    <w:jc w:val="center"/>
                    <w:textAlignment w:val="center"/>
                    <w:rPr>
                      <w:color w:val="auto"/>
                      <w:sz w:val="21"/>
                      <w:szCs w:val="18"/>
                    </w:rPr>
                  </w:pPr>
                </w:p>
              </w:tc>
              <w:tc>
                <w:tcPr>
                  <w:tcW w:w="1004" w:type="dxa"/>
                  <w:tcBorders>
                    <w:top w:val="single" w:color="auto" w:sz="2" w:space="0"/>
                    <w:bottom w:val="single" w:color="auto" w:sz="2" w:space="0"/>
                  </w:tcBorders>
                  <w:vAlign w:val="center"/>
                </w:tcPr>
                <w:p w14:paraId="03CC38C0">
                  <w:pPr>
                    <w:widowControl/>
                    <w:spacing w:line="240" w:lineRule="auto"/>
                    <w:jc w:val="center"/>
                    <w:textAlignment w:val="center"/>
                    <w:rPr>
                      <w:rFonts w:hint="default" w:cs="Times New Roman"/>
                      <w:color w:val="auto"/>
                      <w:sz w:val="21"/>
                      <w:szCs w:val="18"/>
                      <w:lang w:val="en-US" w:eastAsia="zh-CN"/>
                    </w:rPr>
                  </w:pPr>
                  <w:r>
                    <w:rPr>
                      <w:rFonts w:hint="eastAsia" w:cs="Times New Roman"/>
                      <w:color w:val="auto"/>
                      <w:sz w:val="21"/>
                      <w:szCs w:val="18"/>
                      <w:lang w:val="en-US" w:eastAsia="zh-CN"/>
                    </w:rPr>
                    <w:t>0.139</w:t>
                  </w:r>
                </w:p>
              </w:tc>
              <w:tc>
                <w:tcPr>
                  <w:tcW w:w="1113" w:type="dxa"/>
                  <w:vAlign w:val="center"/>
                </w:tcPr>
                <w:p w14:paraId="61652CC3">
                  <w:pPr>
                    <w:widowControl/>
                    <w:spacing w:line="240" w:lineRule="auto"/>
                    <w:jc w:val="center"/>
                    <w:textAlignment w:val="center"/>
                    <w:rPr>
                      <w:rFonts w:hint="default" w:cs="Times New Roman"/>
                      <w:color w:val="auto"/>
                      <w:sz w:val="21"/>
                      <w:szCs w:val="18"/>
                      <w:lang w:val="en-US" w:eastAsia="zh-CN"/>
                    </w:rPr>
                  </w:pPr>
                  <w:r>
                    <w:rPr>
                      <w:rFonts w:hint="eastAsia" w:cs="Times New Roman"/>
                      <w:color w:val="auto"/>
                      <w:sz w:val="21"/>
                      <w:szCs w:val="18"/>
                      <w:lang w:val="en-US" w:eastAsia="zh-CN"/>
                    </w:rPr>
                    <w:t>0.029</w:t>
                  </w:r>
                </w:p>
              </w:tc>
              <w:tc>
                <w:tcPr>
                  <w:tcW w:w="1113" w:type="dxa"/>
                  <w:vMerge w:val="continue"/>
                  <w:vAlign w:val="center"/>
                </w:tcPr>
                <w:p w14:paraId="7D01047B">
                  <w:pPr>
                    <w:widowControl/>
                    <w:spacing w:line="240" w:lineRule="auto"/>
                    <w:jc w:val="center"/>
                    <w:textAlignment w:val="center"/>
                    <w:rPr>
                      <w:rFonts w:hint="eastAsia"/>
                      <w:color w:val="auto"/>
                      <w:sz w:val="21"/>
                      <w:szCs w:val="18"/>
                      <w:lang w:eastAsia="zh-CN"/>
                    </w:rPr>
                  </w:pPr>
                </w:p>
              </w:tc>
              <w:tc>
                <w:tcPr>
                  <w:tcW w:w="1113" w:type="dxa"/>
                  <w:vMerge w:val="continue"/>
                  <w:vAlign w:val="center"/>
                </w:tcPr>
                <w:p w14:paraId="54FAC857">
                  <w:pPr>
                    <w:widowControl/>
                    <w:spacing w:line="240" w:lineRule="auto"/>
                    <w:jc w:val="center"/>
                    <w:textAlignment w:val="center"/>
                    <w:rPr>
                      <w:color w:val="auto"/>
                      <w:sz w:val="21"/>
                      <w:szCs w:val="21"/>
                    </w:rPr>
                  </w:pPr>
                </w:p>
              </w:tc>
              <w:tc>
                <w:tcPr>
                  <w:tcW w:w="1113" w:type="dxa"/>
                  <w:vAlign w:val="center"/>
                </w:tcPr>
                <w:p w14:paraId="165C2ACC">
                  <w:pPr>
                    <w:spacing w:line="240" w:lineRule="auto"/>
                    <w:ind w:firstLine="0" w:firstLineChars="0"/>
                    <w:jc w:val="center"/>
                    <w:rPr>
                      <w:color w:val="auto"/>
                      <w:sz w:val="21"/>
                      <w:szCs w:val="18"/>
                    </w:rPr>
                  </w:pPr>
                  <w:r>
                    <w:rPr>
                      <w:rFonts w:hint="eastAsia"/>
                      <w:color w:val="auto"/>
                      <w:sz w:val="21"/>
                      <w:szCs w:val="18"/>
                      <w:lang w:val="en-US" w:eastAsia="zh-CN"/>
                    </w:rPr>
                    <w:t>/</w:t>
                  </w:r>
                </w:p>
              </w:tc>
              <w:tc>
                <w:tcPr>
                  <w:tcW w:w="1113" w:type="dxa"/>
                  <w:vAlign w:val="center"/>
                </w:tcPr>
                <w:p w14:paraId="0DAF76C7">
                  <w:pPr>
                    <w:widowControl/>
                    <w:spacing w:line="240" w:lineRule="auto"/>
                    <w:ind w:firstLine="0" w:firstLineChars="0"/>
                    <w:jc w:val="center"/>
                    <w:textAlignment w:val="center"/>
                    <w:rPr>
                      <w:rFonts w:ascii="Times New Roman" w:hAnsi="Times New Roman" w:eastAsia="宋体" w:cs="Times New Roman"/>
                      <w:color w:val="auto"/>
                      <w:kern w:val="2"/>
                      <w:sz w:val="21"/>
                      <w:szCs w:val="18"/>
                      <w:lang w:val="en-US" w:eastAsia="zh-CN" w:bidi="ar-SA"/>
                    </w:rPr>
                  </w:pPr>
                  <w:r>
                    <w:rPr>
                      <w:rFonts w:hint="eastAsia"/>
                      <w:color w:val="auto"/>
                      <w:sz w:val="21"/>
                      <w:szCs w:val="18"/>
                      <w:lang w:val="en-US" w:eastAsia="zh-CN"/>
                    </w:rPr>
                    <w:t>/</w:t>
                  </w:r>
                </w:p>
              </w:tc>
              <w:tc>
                <w:tcPr>
                  <w:tcW w:w="1113" w:type="dxa"/>
                  <w:vAlign w:val="center"/>
                </w:tcPr>
                <w:p w14:paraId="5FEEE6A6">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18"/>
                      <w:lang w:val="en-US" w:eastAsia="zh-CN" w:bidi="ar-SA"/>
                    </w:rPr>
                  </w:pPr>
                  <w:r>
                    <w:rPr>
                      <w:rFonts w:hint="eastAsia"/>
                      <w:color w:val="auto"/>
                      <w:sz w:val="21"/>
                      <w:szCs w:val="18"/>
                      <w:lang w:val="en-US" w:eastAsia="zh-CN"/>
                    </w:rPr>
                    <w:t>/</w:t>
                  </w:r>
                </w:p>
              </w:tc>
              <w:tc>
                <w:tcPr>
                  <w:tcW w:w="1113" w:type="dxa"/>
                  <w:vAlign w:val="center"/>
                </w:tcPr>
                <w:p w14:paraId="3062730B">
                  <w:pPr>
                    <w:widowControl/>
                    <w:spacing w:line="240" w:lineRule="auto"/>
                    <w:ind w:firstLine="0" w:firstLineChars="0"/>
                    <w:jc w:val="center"/>
                    <w:textAlignment w:val="center"/>
                    <w:rPr>
                      <w:rFonts w:hint="eastAsia" w:ascii="Times New Roman" w:hAnsi="Times New Roman" w:eastAsia="宋体" w:cs="Times New Roman"/>
                      <w:color w:val="auto"/>
                      <w:kern w:val="2"/>
                      <w:sz w:val="21"/>
                      <w:szCs w:val="18"/>
                      <w:lang w:val="en-US" w:eastAsia="zh-CN" w:bidi="ar-SA"/>
                    </w:rPr>
                  </w:pPr>
                  <w:r>
                    <w:rPr>
                      <w:rFonts w:hint="eastAsia"/>
                      <w:color w:val="auto"/>
                      <w:sz w:val="21"/>
                      <w:szCs w:val="18"/>
                      <w:lang w:val="en-US" w:eastAsia="zh-CN"/>
                    </w:rPr>
                    <w:t>/</w:t>
                  </w:r>
                </w:p>
              </w:tc>
              <w:tc>
                <w:tcPr>
                  <w:tcW w:w="1113" w:type="dxa"/>
                  <w:shd w:val="clear" w:color="auto" w:fill="auto"/>
                  <w:vAlign w:val="center"/>
                </w:tcPr>
                <w:p w14:paraId="20CA62FD">
                  <w:pPr>
                    <w:widowControl/>
                    <w:spacing w:line="240" w:lineRule="auto"/>
                    <w:ind w:firstLine="0" w:firstLineChars="0"/>
                    <w:jc w:val="center"/>
                    <w:textAlignment w:val="center"/>
                    <w:rPr>
                      <w:rFonts w:hint="eastAsia" w:ascii="Times New Roman" w:hAnsi="Times New Roman" w:eastAsia="宋体" w:cs="Times New Roman"/>
                      <w:color w:val="auto"/>
                      <w:kern w:val="2"/>
                      <w:sz w:val="21"/>
                      <w:szCs w:val="18"/>
                      <w:lang w:val="en-US" w:eastAsia="zh-CN" w:bidi="ar-SA"/>
                    </w:rPr>
                  </w:pPr>
                  <w:r>
                    <w:rPr>
                      <w:rFonts w:hint="eastAsia" w:cs="Times New Roman"/>
                      <w:color w:val="auto"/>
                      <w:sz w:val="21"/>
                      <w:szCs w:val="18"/>
                      <w:lang w:val="en-US" w:eastAsia="zh-CN"/>
                    </w:rPr>
                    <w:t>0.139</w:t>
                  </w:r>
                </w:p>
              </w:tc>
              <w:tc>
                <w:tcPr>
                  <w:tcW w:w="1120" w:type="dxa"/>
                  <w:shd w:val="clear" w:color="auto" w:fill="auto"/>
                  <w:vAlign w:val="center"/>
                </w:tcPr>
                <w:p w14:paraId="351A0C0A">
                  <w:pPr>
                    <w:widowControl/>
                    <w:spacing w:line="240" w:lineRule="auto"/>
                    <w:ind w:firstLine="0" w:firstLineChars="0"/>
                    <w:jc w:val="center"/>
                    <w:textAlignment w:val="center"/>
                    <w:rPr>
                      <w:rFonts w:hint="eastAsia" w:ascii="Times New Roman" w:hAnsi="Times New Roman" w:eastAsia="宋体" w:cs="Times New Roman"/>
                      <w:color w:val="auto"/>
                      <w:kern w:val="2"/>
                      <w:sz w:val="21"/>
                      <w:szCs w:val="18"/>
                      <w:lang w:val="en-US" w:eastAsia="zh-CN" w:bidi="ar-SA"/>
                    </w:rPr>
                  </w:pPr>
                  <w:r>
                    <w:rPr>
                      <w:rFonts w:hint="eastAsia" w:cs="Times New Roman"/>
                      <w:color w:val="auto"/>
                      <w:sz w:val="21"/>
                      <w:szCs w:val="18"/>
                      <w:lang w:val="en-US" w:eastAsia="zh-CN"/>
                    </w:rPr>
                    <w:t>0.029</w:t>
                  </w:r>
                </w:p>
              </w:tc>
            </w:tr>
            <w:tr w14:paraId="210AB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3" w:hRule="atLeast"/>
              </w:trPr>
              <w:tc>
                <w:tcPr>
                  <w:tcW w:w="1113" w:type="dxa"/>
                  <w:vAlign w:val="center"/>
                </w:tcPr>
                <w:p w14:paraId="24E60A54">
                  <w:pPr>
                    <w:widowControl/>
                    <w:spacing w:line="240" w:lineRule="auto"/>
                    <w:jc w:val="center"/>
                    <w:textAlignment w:val="center"/>
                    <w:rPr>
                      <w:color w:val="auto"/>
                      <w:sz w:val="21"/>
                      <w:szCs w:val="18"/>
                    </w:rPr>
                  </w:pPr>
                  <w:r>
                    <w:rPr>
                      <w:rFonts w:hint="eastAsia" w:cs="Times New Roman" w:eastAsiaTheme="minorEastAsia"/>
                      <w:color w:val="auto"/>
                      <w:sz w:val="21"/>
                      <w:szCs w:val="21"/>
                      <w:lang w:val="en-US" w:eastAsia="zh-CN"/>
                    </w:rPr>
                    <w:t>开炼废气</w:t>
                  </w:r>
                </w:p>
              </w:tc>
              <w:tc>
                <w:tcPr>
                  <w:tcW w:w="1310" w:type="dxa"/>
                  <w:vAlign w:val="center"/>
                </w:tcPr>
                <w:p w14:paraId="60FDD137">
                  <w:pPr>
                    <w:widowControl/>
                    <w:spacing w:line="240" w:lineRule="auto"/>
                    <w:jc w:val="center"/>
                    <w:textAlignment w:val="center"/>
                    <w:rPr>
                      <w:rFonts w:hint="eastAsia"/>
                      <w:color w:val="auto"/>
                      <w:sz w:val="21"/>
                      <w:szCs w:val="18"/>
                      <w:lang w:val="en-US" w:eastAsia="zh-CN"/>
                    </w:rPr>
                  </w:pPr>
                  <w:r>
                    <w:rPr>
                      <w:rFonts w:hint="eastAsia" w:cs="Times New Roman" w:eastAsiaTheme="minorEastAsia"/>
                      <w:color w:val="auto"/>
                      <w:sz w:val="21"/>
                      <w:szCs w:val="21"/>
                      <w:lang w:val="en-US" w:eastAsia="zh-CN"/>
                    </w:rPr>
                    <w:t>非甲烷总烃</w:t>
                  </w:r>
                </w:p>
              </w:tc>
              <w:tc>
                <w:tcPr>
                  <w:tcW w:w="1025" w:type="dxa"/>
                  <w:vAlign w:val="center"/>
                </w:tcPr>
                <w:p w14:paraId="24C16A14">
                  <w:pPr>
                    <w:widowControl/>
                    <w:spacing w:line="240" w:lineRule="auto"/>
                    <w:jc w:val="center"/>
                    <w:textAlignment w:val="center"/>
                    <w:rPr>
                      <w:rFonts w:hint="default" w:eastAsia="宋体"/>
                      <w:color w:val="auto"/>
                      <w:sz w:val="21"/>
                      <w:szCs w:val="18"/>
                      <w:lang w:val="en-US" w:eastAsia="zh-CN"/>
                    </w:rPr>
                  </w:pPr>
                  <w:r>
                    <w:rPr>
                      <w:rFonts w:hint="eastAsia"/>
                      <w:color w:val="auto"/>
                      <w:sz w:val="21"/>
                      <w:szCs w:val="18"/>
                      <w:lang w:val="en-US" w:eastAsia="zh-CN"/>
                    </w:rPr>
                    <w:t>开炼机</w:t>
                  </w:r>
                </w:p>
              </w:tc>
              <w:tc>
                <w:tcPr>
                  <w:tcW w:w="1004" w:type="dxa"/>
                  <w:tcBorders>
                    <w:top w:val="single" w:color="auto" w:sz="2" w:space="0"/>
                    <w:bottom w:val="single" w:color="auto" w:sz="2" w:space="0"/>
                  </w:tcBorders>
                  <w:vAlign w:val="center"/>
                </w:tcPr>
                <w:p w14:paraId="1C502248">
                  <w:pPr>
                    <w:widowControl/>
                    <w:spacing w:line="240" w:lineRule="auto"/>
                    <w:jc w:val="center"/>
                    <w:textAlignment w:val="center"/>
                    <w:rPr>
                      <w:rFonts w:hint="default" w:cs="Times New Roman"/>
                      <w:color w:val="auto"/>
                      <w:sz w:val="21"/>
                      <w:szCs w:val="18"/>
                      <w:lang w:val="en-US" w:eastAsia="zh-CN"/>
                    </w:rPr>
                  </w:pPr>
                  <w:r>
                    <w:rPr>
                      <w:rFonts w:hint="eastAsia" w:cs="Times New Roman"/>
                      <w:color w:val="auto"/>
                      <w:sz w:val="21"/>
                      <w:szCs w:val="18"/>
                      <w:lang w:val="en-US" w:eastAsia="zh-CN"/>
                    </w:rPr>
                    <w:t>0.072</w:t>
                  </w:r>
                </w:p>
              </w:tc>
              <w:tc>
                <w:tcPr>
                  <w:tcW w:w="1113" w:type="dxa"/>
                  <w:vAlign w:val="center"/>
                </w:tcPr>
                <w:p w14:paraId="18BD0B94">
                  <w:pPr>
                    <w:widowControl/>
                    <w:spacing w:line="240" w:lineRule="auto"/>
                    <w:jc w:val="center"/>
                    <w:textAlignment w:val="center"/>
                    <w:rPr>
                      <w:rFonts w:hint="default" w:cs="Times New Roman"/>
                      <w:color w:val="auto"/>
                      <w:sz w:val="21"/>
                      <w:szCs w:val="18"/>
                      <w:lang w:val="en-US" w:eastAsia="zh-CN"/>
                    </w:rPr>
                  </w:pPr>
                  <w:r>
                    <w:rPr>
                      <w:rFonts w:hint="eastAsia" w:cs="Times New Roman"/>
                      <w:color w:val="auto"/>
                      <w:sz w:val="21"/>
                      <w:szCs w:val="18"/>
                      <w:lang w:val="en-US" w:eastAsia="zh-CN"/>
                    </w:rPr>
                    <w:t>0.015</w:t>
                  </w:r>
                </w:p>
              </w:tc>
              <w:tc>
                <w:tcPr>
                  <w:tcW w:w="1113" w:type="dxa"/>
                  <w:vMerge w:val="continue"/>
                  <w:vAlign w:val="center"/>
                </w:tcPr>
                <w:p w14:paraId="6CC0615E">
                  <w:pPr>
                    <w:widowControl/>
                    <w:spacing w:line="240" w:lineRule="auto"/>
                    <w:jc w:val="center"/>
                    <w:textAlignment w:val="center"/>
                    <w:rPr>
                      <w:rFonts w:hint="eastAsia"/>
                      <w:color w:val="auto"/>
                      <w:sz w:val="21"/>
                      <w:szCs w:val="18"/>
                      <w:lang w:eastAsia="zh-CN"/>
                    </w:rPr>
                  </w:pPr>
                </w:p>
              </w:tc>
              <w:tc>
                <w:tcPr>
                  <w:tcW w:w="1113" w:type="dxa"/>
                  <w:vMerge w:val="continue"/>
                  <w:vAlign w:val="center"/>
                </w:tcPr>
                <w:p w14:paraId="47EBC7CB">
                  <w:pPr>
                    <w:widowControl/>
                    <w:spacing w:line="240" w:lineRule="auto"/>
                    <w:jc w:val="center"/>
                    <w:textAlignment w:val="center"/>
                    <w:rPr>
                      <w:color w:val="auto"/>
                      <w:sz w:val="21"/>
                      <w:szCs w:val="21"/>
                    </w:rPr>
                  </w:pPr>
                </w:p>
              </w:tc>
              <w:tc>
                <w:tcPr>
                  <w:tcW w:w="1113" w:type="dxa"/>
                  <w:vAlign w:val="center"/>
                </w:tcPr>
                <w:p w14:paraId="5E14A30B">
                  <w:pPr>
                    <w:spacing w:line="240" w:lineRule="auto"/>
                    <w:ind w:firstLine="0" w:firstLineChars="0"/>
                    <w:jc w:val="center"/>
                    <w:rPr>
                      <w:color w:val="auto"/>
                      <w:sz w:val="21"/>
                      <w:szCs w:val="18"/>
                    </w:rPr>
                  </w:pPr>
                  <w:r>
                    <w:rPr>
                      <w:rFonts w:hint="eastAsia"/>
                      <w:color w:val="auto"/>
                      <w:sz w:val="21"/>
                      <w:szCs w:val="18"/>
                      <w:lang w:val="en-US" w:eastAsia="zh-CN"/>
                    </w:rPr>
                    <w:t>/</w:t>
                  </w:r>
                </w:p>
              </w:tc>
              <w:tc>
                <w:tcPr>
                  <w:tcW w:w="1113" w:type="dxa"/>
                  <w:vAlign w:val="center"/>
                </w:tcPr>
                <w:p w14:paraId="67DDCC1E">
                  <w:pPr>
                    <w:widowControl/>
                    <w:spacing w:line="240" w:lineRule="auto"/>
                    <w:ind w:firstLine="0" w:firstLineChars="0"/>
                    <w:jc w:val="center"/>
                    <w:textAlignment w:val="center"/>
                    <w:rPr>
                      <w:rFonts w:ascii="Times New Roman" w:hAnsi="Times New Roman" w:eastAsia="宋体" w:cs="Times New Roman"/>
                      <w:color w:val="auto"/>
                      <w:kern w:val="2"/>
                      <w:sz w:val="21"/>
                      <w:szCs w:val="18"/>
                      <w:lang w:val="en-US" w:eastAsia="zh-CN" w:bidi="ar-SA"/>
                    </w:rPr>
                  </w:pPr>
                  <w:r>
                    <w:rPr>
                      <w:rFonts w:hint="eastAsia"/>
                      <w:color w:val="auto"/>
                      <w:sz w:val="21"/>
                      <w:szCs w:val="18"/>
                      <w:lang w:val="en-US" w:eastAsia="zh-CN"/>
                    </w:rPr>
                    <w:t>/</w:t>
                  </w:r>
                </w:p>
              </w:tc>
              <w:tc>
                <w:tcPr>
                  <w:tcW w:w="1113" w:type="dxa"/>
                  <w:vAlign w:val="center"/>
                </w:tcPr>
                <w:p w14:paraId="05CFB46B">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18"/>
                      <w:lang w:val="en-US" w:eastAsia="zh-CN" w:bidi="ar-SA"/>
                    </w:rPr>
                  </w:pPr>
                  <w:r>
                    <w:rPr>
                      <w:rFonts w:hint="eastAsia"/>
                      <w:color w:val="auto"/>
                      <w:sz w:val="21"/>
                      <w:szCs w:val="18"/>
                      <w:lang w:val="en-US" w:eastAsia="zh-CN"/>
                    </w:rPr>
                    <w:t>/</w:t>
                  </w:r>
                </w:p>
              </w:tc>
              <w:tc>
                <w:tcPr>
                  <w:tcW w:w="1113" w:type="dxa"/>
                  <w:vAlign w:val="center"/>
                </w:tcPr>
                <w:p w14:paraId="4781121E">
                  <w:pPr>
                    <w:widowControl/>
                    <w:spacing w:line="240" w:lineRule="auto"/>
                    <w:ind w:firstLine="0" w:firstLineChars="0"/>
                    <w:jc w:val="center"/>
                    <w:textAlignment w:val="center"/>
                    <w:rPr>
                      <w:rFonts w:hint="eastAsia" w:ascii="Times New Roman" w:hAnsi="Times New Roman" w:eastAsia="宋体" w:cs="Times New Roman"/>
                      <w:color w:val="auto"/>
                      <w:kern w:val="2"/>
                      <w:sz w:val="21"/>
                      <w:szCs w:val="18"/>
                      <w:lang w:val="en-US" w:eastAsia="zh-CN" w:bidi="ar-SA"/>
                    </w:rPr>
                  </w:pPr>
                  <w:r>
                    <w:rPr>
                      <w:rFonts w:hint="eastAsia"/>
                      <w:color w:val="auto"/>
                      <w:sz w:val="21"/>
                      <w:szCs w:val="18"/>
                      <w:lang w:val="en-US" w:eastAsia="zh-CN"/>
                    </w:rPr>
                    <w:t>/</w:t>
                  </w:r>
                </w:p>
              </w:tc>
              <w:tc>
                <w:tcPr>
                  <w:tcW w:w="1113" w:type="dxa"/>
                  <w:shd w:val="clear" w:color="auto" w:fill="auto"/>
                  <w:vAlign w:val="center"/>
                </w:tcPr>
                <w:p w14:paraId="165F1B42">
                  <w:pPr>
                    <w:widowControl/>
                    <w:spacing w:line="240" w:lineRule="auto"/>
                    <w:ind w:firstLine="0" w:firstLineChars="0"/>
                    <w:jc w:val="center"/>
                    <w:textAlignment w:val="center"/>
                    <w:rPr>
                      <w:rFonts w:hint="eastAsia" w:ascii="Times New Roman" w:hAnsi="Times New Roman" w:eastAsia="宋体" w:cs="Times New Roman"/>
                      <w:color w:val="auto"/>
                      <w:kern w:val="2"/>
                      <w:sz w:val="21"/>
                      <w:szCs w:val="18"/>
                      <w:lang w:val="en-US" w:eastAsia="zh-CN" w:bidi="ar-SA"/>
                    </w:rPr>
                  </w:pPr>
                  <w:r>
                    <w:rPr>
                      <w:rFonts w:hint="eastAsia" w:cs="Times New Roman"/>
                      <w:color w:val="auto"/>
                      <w:sz w:val="21"/>
                      <w:szCs w:val="18"/>
                      <w:lang w:val="en-US" w:eastAsia="zh-CN"/>
                    </w:rPr>
                    <w:t>0.072</w:t>
                  </w:r>
                </w:p>
              </w:tc>
              <w:tc>
                <w:tcPr>
                  <w:tcW w:w="1120" w:type="dxa"/>
                  <w:shd w:val="clear" w:color="auto" w:fill="auto"/>
                  <w:vAlign w:val="center"/>
                </w:tcPr>
                <w:p w14:paraId="072A2063">
                  <w:pPr>
                    <w:widowControl/>
                    <w:spacing w:line="240" w:lineRule="auto"/>
                    <w:ind w:firstLine="0" w:firstLineChars="0"/>
                    <w:jc w:val="center"/>
                    <w:textAlignment w:val="center"/>
                    <w:rPr>
                      <w:rFonts w:hint="eastAsia" w:ascii="Times New Roman" w:hAnsi="Times New Roman" w:eastAsia="宋体" w:cs="Times New Roman"/>
                      <w:color w:val="auto"/>
                      <w:kern w:val="2"/>
                      <w:sz w:val="21"/>
                      <w:szCs w:val="18"/>
                      <w:lang w:val="en-US" w:eastAsia="zh-CN" w:bidi="ar-SA"/>
                    </w:rPr>
                  </w:pPr>
                  <w:r>
                    <w:rPr>
                      <w:rFonts w:hint="eastAsia" w:cs="Times New Roman"/>
                      <w:color w:val="auto"/>
                      <w:sz w:val="21"/>
                      <w:szCs w:val="18"/>
                      <w:lang w:val="en-US" w:eastAsia="zh-CN"/>
                    </w:rPr>
                    <w:t>0.015</w:t>
                  </w:r>
                </w:p>
              </w:tc>
            </w:tr>
            <w:tr w14:paraId="0CF0F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3" w:hRule="atLeast"/>
              </w:trPr>
              <w:tc>
                <w:tcPr>
                  <w:tcW w:w="1113" w:type="dxa"/>
                  <w:vAlign w:val="center"/>
                </w:tcPr>
                <w:p w14:paraId="379842C4">
                  <w:pPr>
                    <w:widowControl/>
                    <w:spacing w:line="240" w:lineRule="auto"/>
                    <w:jc w:val="center"/>
                    <w:textAlignment w:val="center"/>
                    <w:rPr>
                      <w:color w:val="auto"/>
                      <w:sz w:val="21"/>
                      <w:szCs w:val="18"/>
                    </w:rPr>
                  </w:pPr>
                  <w:r>
                    <w:rPr>
                      <w:rFonts w:hint="eastAsia" w:cs="Times New Roman" w:eastAsiaTheme="minorEastAsia"/>
                      <w:color w:val="auto"/>
                      <w:sz w:val="21"/>
                      <w:szCs w:val="21"/>
                      <w:lang w:val="en-US" w:eastAsia="zh-CN"/>
                    </w:rPr>
                    <w:t>激光切割、喷砂</w:t>
                  </w:r>
                </w:p>
              </w:tc>
              <w:tc>
                <w:tcPr>
                  <w:tcW w:w="1310" w:type="dxa"/>
                  <w:vAlign w:val="center"/>
                </w:tcPr>
                <w:p w14:paraId="183994F1">
                  <w:pPr>
                    <w:widowControl/>
                    <w:spacing w:line="240" w:lineRule="auto"/>
                    <w:jc w:val="center"/>
                    <w:textAlignment w:val="center"/>
                    <w:rPr>
                      <w:rFonts w:hint="eastAsia"/>
                      <w:color w:val="auto"/>
                      <w:sz w:val="21"/>
                      <w:szCs w:val="18"/>
                      <w:lang w:val="en-US" w:eastAsia="zh-CN"/>
                    </w:rPr>
                  </w:pPr>
                  <w:r>
                    <w:rPr>
                      <w:rFonts w:hint="eastAsia" w:cs="Times New Roman" w:eastAsiaTheme="minorEastAsia"/>
                      <w:color w:val="auto"/>
                      <w:sz w:val="21"/>
                      <w:szCs w:val="21"/>
                      <w:lang w:val="en-US" w:eastAsia="zh-CN"/>
                    </w:rPr>
                    <w:t>颗粒物</w:t>
                  </w:r>
                </w:p>
              </w:tc>
              <w:tc>
                <w:tcPr>
                  <w:tcW w:w="1025" w:type="dxa"/>
                  <w:vAlign w:val="center"/>
                </w:tcPr>
                <w:p w14:paraId="64986E5E">
                  <w:pPr>
                    <w:widowControl/>
                    <w:spacing w:line="240" w:lineRule="auto"/>
                    <w:jc w:val="center"/>
                    <w:textAlignment w:val="center"/>
                    <w:rPr>
                      <w:rFonts w:hint="default"/>
                      <w:color w:val="auto"/>
                      <w:sz w:val="21"/>
                      <w:szCs w:val="18"/>
                      <w:lang w:val="en-US"/>
                    </w:rPr>
                  </w:pPr>
                  <w:r>
                    <w:rPr>
                      <w:rFonts w:hint="eastAsia" w:cs="Times New Roman" w:eastAsiaTheme="minorEastAsia"/>
                      <w:color w:val="auto"/>
                      <w:sz w:val="21"/>
                      <w:szCs w:val="21"/>
                      <w:lang w:val="en-US" w:eastAsia="zh-CN"/>
                    </w:rPr>
                    <w:t>激光切割机、喷砂机</w:t>
                  </w:r>
                </w:p>
              </w:tc>
              <w:tc>
                <w:tcPr>
                  <w:tcW w:w="1004" w:type="dxa"/>
                  <w:tcBorders>
                    <w:top w:val="single" w:color="auto" w:sz="2" w:space="0"/>
                    <w:bottom w:val="single" w:color="auto" w:sz="2" w:space="0"/>
                  </w:tcBorders>
                  <w:vAlign w:val="center"/>
                </w:tcPr>
                <w:p w14:paraId="7CB4464A">
                  <w:pPr>
                    <w:widowControl/>
                    <w:spacing w:line="240" w:lineRule="auto"/>
                    <w:jc w:val="center"/>
                    <w:textAlignment w:val="center"/>
                    <w:rPr>
                      <w:rFonts w:hint="default" w:cs="Times New Roman"/>
                      <w:color w:val="auto"/>
                      <w:sz w:val="21"/>
                      <w:szCs w:val="18"/>
                      <w:lang w:val="en-US" w:eastAsia="zh-CN"/>
                    </w:rPr>
                  </w:pPr>
                  <w:r>
                    <w:rPr>
                      <w:rFonts w:hint="eastAsia" w:cs="Times New Roman"/>
                      <w:color w:val="auto"/>
                      <w:sz w:val="21"/>
                      <w:szCs w:val="18"/>
                      <w:lang w:val="en-US" w:eastAsia="zh-CN"/>
                    </w:rPr>
                    <w:t>3.364</w:t>
                  </w:r>
                </w:p>
              </w:tc>
              <w:tc>
                <w:tcPr>
                  <w:tcW w:w="1113" w:type="dxa"/>
                  <w:vAlign w:val="center"/>
                </w:tcPr>
                <w:p w14:paraId="571824B8">
                  <w:pPr>
                    <w:widowControl/>
                    <w:spacing w:line="240" w:lineRule="auto"/>
                    <w:jc w:val="center"/>
                    <w:textAlignment w:val="center"/>
                    <w:rPr>
                      <w:rFonts w:hint="default" w:cs="Times New Roman"/>
                      <w:color w:val="auto"/>
                      <w:sz w:val="21"/>
                      <w:szCs w:val="18"/>
                      <w:lang w:val="en-US" w:eastAsia="zh-CN"/>
                    </w:rPr>
                  </w:pPr>
                  <w:r>
                    <w:rPr>
                      <w:rFonts w:hint="eastAsia" w:cs="Times New Roman"/>
                      <w:color w:val="auto"/>
                      <w:sz w:val="21"/>
                      <w:szCs w:val="18"/>
                      <w:lang w:val="en-US" w:eastAsia="zh-CN"/>
                    </w:rPr>
                    <w:t>0.757</w:t>
                  </w:r>
                </w:p>
              </w:tc>
              <w:tc>
                <w:tcPr>
                  <w:tcW w:w="1113" w:type="dxa"/>
                  <w:vMerge w:val="continue"/>
                  <w:vAlign w:val="center"/>
                </w:tcPr>
                <w:p w14:paraId="371D7525">
                  <w:pPr>
                    <w:widowControl/>
                    <w:spacing w:line="240" w:lineRule="auto"/>
                    <w:jc w:val="center"/>
                    <w:textAlignment w:val="center"/>
                    <w:rPr>
                      <w:rFonts w:hint="eastAsia"/>
                      <w:color w:val="auto"/>
                      <w:sz w:val="21"/>
                      <w:szCs w:val="18"/>
                      <w:lang w:eastAsia="zh-CN"/>
                    </w:rPr>
                  </w:pPr>
                </w:p>
              </w:tc>
              <w:tc>
                <w:tcPr>
                  <w:tcW w:w="1113" w:type="dxa"/>
                  <w:vMerge w:val="continue"/>
                  <w:vAlign w:val="center"/>
                </w:tcPr>
                <w:p w14:paraId="25C79363">
                  <w:pPr>
                    <w:widowControl/>
                    <w:spacing w:line="240" w:lineRule="auto"/>
                    <w:jc w:val="center"/>
                    <w:textAlignment w:val="center"/>
                    <w:rPr>
                      <w:color w:val="auto"/>
                      <w:sz w:val="21"/>
                      <w:szCs w:val="21"/>
                    </w:rPr>
                  </w:pPr>
                </w:p>
              </w:tc>
              <w:tc>
                <w:tcPr>
                  <w:tcW w:w="1113" w:type="dxa"/>
                  <w:vAlign w:val="center"/>
                </w:tcPr>
                <w:p w14:paraId="03B7B3EF">
                  <w:pPr>
                    <w:spacing w:line="240" w:lineRule="auto"/>
                    <w:ind w:firstLine="0" w:firstLineChars="0"/>
                    <w:jc w:val="center"/>
                    <w:rPr>
                      <w:color w:val="auto"/>
                      <w:sz w:val="21"/>
                      <w:szCs w:val="18"/>
                    </w:rPr>
                  </w:pPr>
                  <w:r>
                    <w:rPr>
                      <w:rFonts w:hint="eastAsia"/>
                      <w:color w:val="auto"/>
                      <w:sz w:val="21"/>
                      <w:szCs w:val="18"/>
                      <w:lang w:val="en-US" w:eastAsia="zh-CN"/>
                    </w:rPr>
                    <w:t>/</w:t>
                  </w:r>
                </w:p>
              </w:tc>
              <w:tc>
                <w:tcPr>
                  <w:tcW w:w="1113" w:type="dxa"/>
                  <w:vAlign w:val="center"/>
                </w:tcPr>
                <w:p w14:paraId="40D9A56B">
                  <w:pPr>
                    <w:widowControl/>
                    <w:spacing w:line="240" w:lineRule="auto"/>
                    <w:ind w:firstLine="0" w:firstLineChars="0"/>
                    <w:jc w:val="center"/>
                    <w:textAlignment w:val="center"/>
                    <w:rPr>
                      <w:rFonts w:ascii="Times New Roman" w:hAnsi="Times New Roman" w:eastAsia="宋体" w:cs="Times New Roman"/>
                      <w:color w:val="auto"/>
                      <w:kern w:val="2"/>
                      <w:sz w:val="21"/>
                      <w:szCs w:val="18"/>
                      <w:lang w:val="en-US" w:eastAsia="zh-CN" w:bidi="ar-SA"/>
                    </w:rPr>
                  </w:pPr>
                  <w:r>
                    <w:rPr>
                      <w:rFonts w:hint="eastAsia"/>
                      <w:color w:val="auto"/>
                      <w:sz w:val="21"/>
                      <w:szCs w:val="18"/>
                      <w:lang w:val="en-US" w:eastAsia="zh-CN"/>
                    </w:rPr>
                    <w:t>/</w:t>
                  </w:r>
                </w:p>
              </w:tc>
              <w:tc>
                <w:tcPr>
                  <w:tcW w:w="1113" w:type="dxa"/>
                  <w:vAlign w:val="center"/>
                </w:tcPr>
                <w:p w14:paraId="44606FAA">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18"/>
                      <w:lang w:val="en-US" w:eastAsia="zh-CN" w:bidi="ar-SA"/>
                    </w:rPr>
                  </w:pPr>
                  <w:r>
                    <w:rPr>
                      <w:rFonts w:hint="eastAsia"/>
                      <w:color w:val="auto"/>
                      <w:sz w:val="21"/>
                      <w:szCs w:val="18"/>
                      <w:lang w:val="en-US" w:eastAsia="zh-CN"/>
                    </w:rPr>
                    <w:t>/</w:t>
                  </w:r>
                </w:p>
              </w:tc>
              <w:tc>
                <w:tcPr>
                  <w:tcW w:w="1113" w:type="dxa"/>
                  <w:vAlign w:val="center"/>
                </w:tcPr>
                <w:p w14:paraId="100C332A">
                  <w:pPr>
                    <w:widowControl/>
                    <w:spacing w:line="240" w:lineRule="auto"/>
                    <w:ind w:firstLine="0" w:firstLineChars="0"/>
                    <w:jc w:val="center"/>
                    <w:textAlignment w:val="center"/>
                    <w:rPr>
                      <w:rFonts w:hint="eastAsia" w:ascii="Times New Roman" w:hAnsi="Times New Roman" w:eastAsia="宋体" w:cs="Times New Roman"/>
                      <w:color w:val="auto"/>
                      <w:kern w:val="2"/>
                      <w:sz w:val="21"/>
                      <w:szCs w:val="18"/>
                      <w:lang w:val="en-US" w:eastAsia="zh-CN" w:bidi="ar-SA"/>
                    </w:rPr>
                  </w:pPr>
                  <w:r>
                    <w:rPr>
                      <w:rFonts w:hint="eastAsia"/>
                      <w:color w:val="auto"/>
                      <w:sz w:val="21"/>
                      <w:szCs w:val="18"/>
                      <w:lang w:val="en-US" w:eastAsia="zh-CN"/>
                    </w:rPr>
                    <w:t>/</w:t>
                  </w:r>
                </w:p>
              </w:tc>
              <w:tc>
                <w:tcPr>
                  <w:tcW w:w="1113" w:type="dxa"/>
                  <w:shd w:val="clear" w:color="auto" w:fill="auto"/>
                  <w:vAlign w:val="center"/>
                </w:tcPr>
                <w:p w14:paraId="366434EC">
                  <w:pPr>
                    <w:widowControl/>
                    <w:spacing w:line="240" w:lineRule="auto"/>
                    <w:ind w:firstLine="0" w:firstLineChars="0"/>
                    <w:jc w:val="center"/>
                    <w:textAlignment w:val="center"/>
                    <w:rPr>
                      <w:rFonts w:hint="eastAsia" w:ascii="Times New Roman" w:hAnsi="Times New Roman" w:eastAsia="宋体" w:cs="Times New Roman"/>
                      <w:color w:val="auto"/>
                      <w:kern w:val="2"/>
                      <w:sz w:val="21"/>
                      <w:szCs w:val="18"/>
                      <w:lang w:val="en-US" w:eastAsia="zh-CN" w:bidi="ar-SA"/>
                    </w:rPr>
                  </w:pPr>
                  <w:r>
                    <w:rPr>
                      <w:rFonts w:hint="eastAsia" w:cs="Times New Roman"/>
                      <w:color w:val="auto"/>
                      <w:sz w:val="21"/>
                      <w:szCs w:val="18"/>
                      <w:lang w:val="en-US" w:eastAsia="zh-CN"/>
                    </w:rPr>
                    <w:t>3.364</w:t>
                  </w:r>
                </w:p>
              </w:tc>
              <w:tc>
                <w:tcPr>
                  <w:tcW w:w="1120" w:type="dxa"/>
                  <w:shd w:val="clear" w:color="auto" w:fill="auto"/>
                  <w:vAlign w:val="center"/>
                </w:tcPr>
                <w:p w14:paraId="69F81D98">
                  <w:pPr>
                    <w:widowControl/>
                    <w:spacing w:line="240" w:lineRule="auto"/>
                    <w:ind w:firstLine="0" w:firstLineChars="0"/>
                    <w:jc w:val="center"/>
                    <w:textAlignment w:val="center"/>
                    <w:rPr>
                      <w:rFonts w:hint="eastAsia" w:ascii="Times New Roman" w:hAnsi="Times New Roman" w:eastAsia="宋体" w:cs="Times New Roman"/>
                      <w:color w:val="auto"/>
                      <w:kern w:val="2"/>
                      <w:sz w:val="21"/>
                      <w:szCs w:val="18"/>
                      <w:lang w:val="en-US" w:eastAsia="zh-CN" w:bidi="ar-SA"/>
                    </w:rPr>
                  </w:pPr>
                  <w:r>
                    <w:rPr>
                      <w:rFonts w:hint="eastAsia" w:cs="Times New Roman"/>
                      <w:color w:val="auto"/>
                      <w:sz w:val="21"/>
                      <w:szCs w:val="18"/>
                      <w:lang w:val="en-US" w:eastAsia="zh-CN"/>
                    </w:rPr>
                    <w:t>0.757</w:t>
                  </w:r>
                </w:p>
              </w:tc>
            </w:tr>
            <w:tr w14:paraId="30150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3" w:hRule="atLeast"/>
              </w:trPr>
              <w:tc>
                <w:tcPr>
                  <w:tcW w:w="1113" w:type="dxa"/>
                  <w:vMerge w:val="restart"/>
                  <w:vAlign w:val="center"/>
                </w:tcPr>
                <w:p w14:paraId="44C213BF">
                  <w:pPr>
                    <w:widowControl/>
                    <w:spacing w:line="240" w:lineRule="auto"/>
                    <w:jc w:val="center"/>
                    <w:textAlignment w:val="center"/>
                    <w:rPr>
                      <w:rFonts w:hint="eastAsia" w:cs="Times New Roman" w:eastAsiaTheme="minorEastAsia"/>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涂胶</w:t>
                  </w:r>
                </w:p>
              </w:tc>
              <w:tc>
                <w:tcPr>
                  <w:tcW w:w="1310" w:type="dxa"/>
                  <w:vAlign w:val="center"/>
                </w:tcPr>
                <w:p w14:paraId="23C0B282">
                  <w:pPr>
                    <w:widowControl/>
                    <w:spacing w:line="240" w:lineRule="auto"/>
                    <w:jc w:val="center"/>
                    <w:textAlignment w:val="center"/>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非甲烷总烃</w:t>
                  </w:r>
                </w:p>
              </w:tc>
              <w:tc>
                <w:tcPr>
                  <w:tcW w:w="1025" w:type="dxa"/>
                  <w:vMerge w:val="restart"/>
                  <w:vAlign w:val="center"/>
                </w:tcPr>
                <w:p w14:paraId="13F4C8DF">
                  <w:pPr>
                    <w:widowControl/>
                    <w:spacing w:line="240" w:lineRule="auto"/>
                    <w:jc w:val="center"/>
                    <w:textAlignment w:val="center"/>
                    <w:rPr>
                      <w:rFonts w:hint="default" w:cs="Times New Roman" w:eastAsiaTheme="minorEastAsia"/>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涂胶间</w:t>
                  </w:r>
                </w:p>
              </w:tc>
              <w:tc>
                <w:tcPr>
                  <w:tcW w:w="1004" w:type="dxa"/>
                  <w:tcBorders>
                    <w:top w:val="single" w:color="auto" w:sz="2" w:space="0"/>
                    <w:bottom w:val="single" w:color="auto" w:sz="2" w:space="0"/>
                  </w:tcBorders>
                  <w:vAlign w:val="center"/>
                </w:tcPr>
                <w:p w14:paraId="0E583B65">
                  <w:pPr>
                    <w:widowControl/>
                    <w:spacing w:line="240" w:lineRule="auto"/>
                    <w:jc w:val="center"/>
                    <w:textAlignment w:val="center"/>
                    <w:rPr>
                      <w:rFonts w:hint="default" w:cs="Times New Roman"/>
                      <w:color w:val="auto"/>
                      <w:sz w:val="21"/>
                      <w:szCs w:val="18"/>
                      <w:lang w:val="en-US" w:eastAsia="zh-CN"/>
                    </w:rPr>
                  </w:pPr>
                  <w:r>
                    <w:rPr>
                      <w:rFonts w:hint="eastAsia" w:cs="Times New Roman"/>
                      <w:color w:val="auto"/>
                      <w:sz w:val="21"/>
                      <w:szCs w:val="18"/>
                      <w:lang w:val="en-US" w:eastAsia="zh-CN"/>
                    </w:rPr>
                    <w:t>0.133</w:t>
                  </w:r>
                </w:p>
              </w:tc>
              <w:tc>
                <w:tcPr>
                  <w:tcW w:w="1113" w:type="dxa"/>
                  <w:vAlign w:val="center"/>
                </w:tcPr>
                <w:p w14:paraId="65FEA2C4">
                  <w:pPr>
                    <w:widowControl/>
                    <w:spacing w:line="240" w:lineRule="auto"/>
                    <w:jc w:val="center"/>
                    <w:textAlignment w:val="center"/>
                    <w:rPr>
                      <w:rFonts w:hint="default" w:cs="Times New Roman"/>
                      <w:color w:val="auto"/>
                      <w:sz w:val="21"/>
                      <w:szCs w:val="18"/>
                      <w:lang w:val="en-US" w:eastAsia="zh-CN"/>
                    </w:rPr>
                  </w:pPr>
                  <w:r>
                    <w:rPr>
                      <w:rFonts w:hint="eastAsia" w:cs="Times New Roman"/>
                      <w:color w:val="auto"/>
                      <w:sz w:val="21"/>
                      <w:szCs w:val="18"/>
                      <w:lang w:val="en-US" w:eastAsia="zh-CN"/>
                    </w:rPr>
                    <w:t>0.11</w:t>
                  </w:r>
                </w:p>
              </w:tc>
              <w:tc>
                <w:tcPr>
                  <w:tcW w:w="1113" w:type="dxa"/>
                  <w:vMerge w:val="continue"/>
                  <w:vAlign w:val="center"/>
                </w:tcPr>
                <w:p w14:paraId="58B85CB2">
                  <w:pPr>
                    <w:widowControl/>
                    <w:spacing w:line="240" w:lineRule="auto"/>
                    <w:jc w:val="center"/>
                    <w:textAlignment w:val="center"/>
                    <w:rPr>
                      <w:rFonts w:hint="eastAsia"/>
                      <w:color w:val="auto"/>
                      <w:sz w:val="21"/>
                      <w:szCs w:val="18"/>
                      <w:lang w:eastAsia="zh-CN"/>
                    </w:rPr>
                  </w:pPr>
                </w:p>
              </w:tc>
              <w:tc>
                <w:tcPr>
                  <w:tcW w:w="1113" w:type="dxa"/>
                  <w:vMerge w:val="continue"/>
                  <w:vAlign w:val="center"/>
                </w:tcPr>
                <w:p w14:paraId="6BE29A06">
                  <w:pPr>
                    <w:widowControl/>
                    <w:spacing w:line="240" w:lineRule="auto"/>
                    <w:jc w:val="center"/>
                    <w:textAlignment w:val="center"/>
                    <w:rPr>
                      <w:color w:val="auto"/>
                      <w:sz w:val="21"/>
                      <w:szCs w:val="21"/>
                    </w:rPr>
                  </w:pPr>
                </w:p>
              </w:tc>
              <w:tc>
                <w:tcPr>
                  <w:tcW w:w="1113" w:type="dxa"/>
                  <w:vAlign w:val="center"/>
                </w:tcPr>
                <w:p w14:paraId="7C58B2F4">
                  <w:pPr>
                    <w:spacing w:line="240" w:lineRule="auto"/>
                    <w:ind w:firstLine="0" w:firstLineChars="0"/>
                    <w:jc w:val="center"/>
                    <w:rPr>
                      <w:rFonts w:hint="eastAsia"/>
                      <w:color w:val="auto"/>
                      <w:sz w:val="21"/>
                      <w:szCs w:val="18"/>
                      <w:lang w:val="en-US" w:eastAsia="zh-CN"/>
                    </w:rPr>
                  </w:pPr>
                  <w:r>
                    <w:rPr>
                      <w:rFonts w:hint="eastAsia"/>
                      <w:color w:val="auto"/>
                      <w:sz w:val="21"/>
                      <w:szCs w:val="18"/>
                      <w:lang w:val="en-US" w:eastAsia="zh-CN"/>
                    </w:rPr>
                    <w:t>/</w:t>
                  </w:r>
                </w:p>
              </w:tc>
              <w:tc>
                <w:tcPr>
                  <w:tcW w:w="1113" w:type="dxa"/>
                  <w:vAlign w:val="center"/>
                </w:tcPr>
                <w:p w14:paraId="3D91D3ED">
                  <w:pPr>
                    <w:widowControl/>
                    <w:spacing w:line="240" w:lineRule="auto"/>
                    <w:ind w:firstLine="0" w:firstLineChars="0"/>
                    <w:jc w:val="center"/>
                    <w:textAlignment w:val="center"/>
                    <w:rPr>
                      <w:rFonts w:hint="eastAsia"/>
                      <w:color w:val="auto"/>
                      <w:sz w:val="21"/>
                      <w:szCs w:val="18"/>
                      <w:lang w:val="en-US" w:eastAsia="zh-CN"/>
                    </w:rPr>
                  </w:pPr>
                  <w:r>
                    <w:rPr>
                      <w:rFonts w:hint="eastAsia"/>
                      <w:color w:val="auto"/>
                      <w:sz w:val="21"/>
                      <w:szCs w:val="18"/>
                      <w:lang w:val="en-US" w:eastAsia="zh-CN"/>
                    </w:rPr>
                    <w:t>/</w:t>
                  </w:r>
                </w:p>
              </w:tc>
              <w:tc>
                <w:tcPr>
                  <w:tcW w:w="1113" w:type="dxa"/>
                  <w:vAlign w:val="center"/>
                </w:tcPr>
                <w:p w14:paraId="5FF96505">
                  <w:pPr>
                    <w:widowControl/>
                    <w:spacing w:line="240" w:lineRule="auto"/>
                    <w:ind w:firstLine="0" w:firstLineChars="0"/>
                    <w:jc w:val="center"/>
                    <w:textAlignment w:val="center"/>
                    <w:rPr>
                      <w:rFonts w:hint="eastAsia"/>
                      <w:color w:val="auto"/>
                      <w:sz w:val="21"/>
                      <w:szCs w:val="18"/>
                      <w:lang w:val="en-US" w:eastAsia="zh-CN"/>
                    </w:rPr>
                  </w:pPr>
                  <w:r>
                    <w:rPr>
                      <w:rFonts w:hint="eastAsia"/>
                      <w:color w:val="auto"/>
                      <w:sz w:val="21"/>
                      <w:szCs w:val="18"/>
                      <w:lang w:val="en-US" w:eastAsia="zh-CN"/>
                    </w:rPr>
                    <w:t>/</w:t>
                  </w:r>
                </w:p>
              </w:tc>
              <w:tc>
                <w:tcPr>
                  <w:tcW w:w="1113" w:type="dxa"/>
                  <w:vAlign w:val="center"/>
                </w:tcPr>
                <w:p w14:paraId="7B6D2608">
                  <w:pPr>
                    <w:widowControl/>
                    <w:spacing w:line="240" w:lineRule="auto"/>
                    <w:ind w:firstLine="0" w:firstLineChars="0"/>
                    <w:jc w:val="center"/>
                    <w:textAlignment w:val="center"/>
                    <w:rPr>
                      <w:rFonts w:hint="eastAsia"/>
                      <w:color w:val="auto"/>
                      <w:sz w:val="21"/>
                      <w:szCs w:val="18"/>
                      <w:lang w:val="en-US" w:eastAsia="zh-CN"/>
                    </w:rPr>
                  </w:pPr>
                  <w:r>
                    <w:rPr>
                      <w:rFonts w:hint="eastAsia"/>
                      <w:color w:val="auto"/>
                      <w:sz w:val="21"/>
                      <w:szCs w:val="18"/>
                      <w:lang w:val="en-US" w:eastAsia="zh-CN"/>
                    </w:rPr>
                    <w:t>/</w:t>
                  </w:r>
                </w:p>
              </w:tc>
              <w:tc>
                <w:tcPr>
                  <w:tcW w:w="1113" w:type="dxa"/>
                  <w:shd w:val="clear" w:color="auto" w:fill="auto"/>
                  <w:vAlign w:val="center"/>
                </w:tcPr>
                <w:p w14:paraId="7ED6BE62">
                  <w:pPr>
                    <w:widowControl/>
                    <w:spacing w:line="240" w:lineRule="auto"/>
                    <w:ind w:firstLine="0" w:firstLineChars="0"/>
                    <w:jc w:val="center"/>
                    <w:textAlignment w:val="center"/>
                    <w:rPr>
                      <w:rFonts w:hint="eastAsia" w:ascii="Times New Roman" w:hAnsi="Times New Roman" w:eastAsia="宋体" w:cs="Times New Roman"/>
                      <w:color w:val="auto"/>
                      <w:kern w:val="2"/>
                      <w:sz w:val="21"/>
                      <w:szCs w:val="18"/>
                      <w:lang w:val="en-US" w:eastAsia="zh-CN" w:bidi="ar-SA"/>
                    </w:rPr>
                  </w:pPr>
                  <w:r>
                    <w:rPr>
                      <w:rFonts w:hint="eastAsia" w:cs="Times New Roman"/>
                      <w:color w:val="auto"/>
                      <w:sz w:val="21"/>
                      <w:szCs w:val="18"/>
                      <w:lang w:val="en-US" w:eastAsia="zh-CN"/>
                    </w:rPr>
                    <w:t>0.133</w:t>
                  </w:r>
                </w:p>
              </w:tc>
              <w:tc>
                <w:tcPr>
                  <w:tcW w:w="1120" w:type="dxa"/>
                  <w:shd w:val="clear" w:color="auto" w:fill="auto"/>
                  <w:vAlign w:val="center"/>
                </w:tcPr>
                <w:p w14:paraId="2DFDD8D5">
                  <w:pPr>
                    <w:widowControl/>
                    <w:spacing w:line="240" w:lineRule="auto"/>
                    <w:ind w:firstLine="0" w:firstLineChars="0"/>
                    <w:jc w:val="center"/>
                    <w:textAlignment w:val="center"/>
                    <w:rPr>
                      <w:rFonts w:hint="eastAsia" w:ascii="Times New Roman" w:hAnsi="Times New Roman" w:eastAsia="宋体" w:cs="Times New Roman"/>
                      <w:color w:val="auto"/>
                      <w:kern w:val="2"/>
                      <w:sz w:val="21"/>
                      <w:szCs w:val="18"/>
                      <w:lang w:val="en-US" w:eastAsia="zh-CN" w:bidi="ar-SA"/>
                    </w:rPr>
                  </w:pPr>
                  <w:r>
                    <w:rPr>
                      <w:rFonts w:hint="eastAsia" w:cs="Times New Roman"/>
                      <w:color w:val="auto"/>
                      <w:sz w:val="21"/>
                      <w:szCs w:val="18"/>
                      <w:lang w:val="en-US" w:eastAsia="zh-CN"/>
                    </w:rPr>
                    <w:t>0.11</w:t>
                  </w:r>
                </w:p>
              </w:tc>
            </w:tr>
            <w:tr w14:paraId="624E4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3" w:hRule="atLeast"/>
              </w:trPr>
              <w:tc>
                <w:tcPr>
                  <w:tcW w:w="1113" w:type="dxa"/>
                  <w:vMerge w:val="continue"/>
                  <w:tcBorders/>
                  <w:vAlign w:val="center"/>
                </w:tcPr>
                <w:p w14:paraId="6E2B9052">
                  <w:pPr>
                    <w:widowControl/>
                    <w:spacing w:line="240" w:lineRule="auto"/>
                    <w:jc w:val="center"/>
                    <w:textAlignment w:val="center"/>
                    <w:rPr>
                      <w:rFonts w:hint="eastAsia" w:ascii="Times New Roman" w:hAnsi="Times New Roman" w:cs="Times New Roman" w:eastAsiaTheme="minorEastAsia"/>
                      <w:b w:val="0"/>
                      <w:bCs w:val="0"/>
                      <w:color w:val="auto"/>
                      <w:sz w:val="21"/>
                      <w:szCs w:val="21"/>
                      <w:lang w:val="en-US" w:eastAsia="zh-CN"/>
                    </w:rPr>
                  </w:pPr>
                </w:p>
              </w:tc>
              <w:tc>
                <w:tcPr>
                  <w:tcW w:w="1310" w:type="dxa"/>
                  <w:vAlign w:val="center"/>
                </w:tcPr>
                <w:p w14:paraId="79E91E24">
                  <w:pPr>
                    <w:widowControl/>
                    <w:spacing w:line="240" w:lineRule="auto"/>
                    <w:jc w:val="center"/>
                    <w:textAlignment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二甲苯</w:t>
                  </w:r>
                </w:p>
              </w:tc>
              <w:tc>
                <w:tcPr>
                  <w:tcW w:w="1025" w:type="dxa"/>
                  <w:vMerge w:val="continue"/>
                  <w:tcBorders/>
                  <w:vAlign w:val="center"/>
                </w:tcPr>
                <w:p w14:paraId="575F0815">
                  <w:pPr>
                    <w:widowControl/>
                    <w:spacing w:line="240" w:lineRule="auto"/>
                    <w:jc w:val="center"/>
                    <w:textAlignment w:val="center"/>
                    <w:rPr>
                      <w:rFonts w:hint="eastAsia" w:ascii="Times New Roman" w:hAnsi="Times New Roman" w:cs="Times New Roman" w:eastAsiaTheme="minorEastAsia"/>
                      <w:b w:val="0"/>
                      <w:bCs w:val="0"/>
                      <w:color w:val="auto"/>
                      <w:sz w:val="21"/>
                      <w:szCs w:val="21"/>
                      <w:lang w:val="en-US" w:eastAsia="zh-CN"/>
                    </w:rPr>
                  </w:pPr>
                </w:p>
              </w:tc>
              <w:tc>
                <w:tcPr>
                  <w:tcW w:w="1004" w:type="dxa"/>
                  <w:tcBorders>
                    <w:top w:val="single" w:color="auto" w:sz="2" w:space="0"/>
                    <w:bottom w:val="single" w:color="auto" w:sz="2" w:space="0"/>
                  </w:tcBorders>
                  <w:vAlign w:val="center"/>
                </w:tcPr>
                <w:p w14:paraId="3097E503">
                  <w:pPr>
                    <w:widowControl/>
                    <w:spacing w:line="240" w:lineRule="auto"/>
                    <w:jc w:val="center"/>
                    <w:textAlignment w:val="center"/>
                    <w:rPr>
                      <w:rFonts w:hint="default" w:cs="Times New Roman"/>
                      <w:color w:val="auto"/>
                      <w:sz w:val="21"/>
                      <w:szCs w:val="18"/>
                      <w:lang w:val="en-US" w:eastAsia="zh-CN"/>
                    </w:rPr>
                  </w:pPr>
                  <w:r>
                    <w:rPr>
                      <w:rFonts w:hint="eastAsia" w:cs="Times New Roman"/>
                      <w:color w:val="auto"/>
                      <w:sz w:val="21"/>
                      <w:szCs w:val="18"/>
                      <w:lang w:val="en-US" w:eastAsia="zh-CN"/>
                    </w:rPr>
                    <w:t>0.022</w:t>
                  </w:r>
                </w:p>
              </w:tc>
              <w:tc>
                <w:tcPr>
                  <w:tcW w:w="1113" w:type="dxa"/>
                  <w:vAlign w:val="center"/>
                </w:tcPr>
                <w:p w14:paraId="226E9FE1">
                  <w:pPr>
                    <w:widowControl/>
                    <w:spacing w:line="240" w:lineRule="auto"/>
                    <w:jc w:val="center"/>
                    <w:textAlignment w:val="center"/>
                    <w:rPr>
                      <w:rFonts w:hint="default" w:cs="Times New Roman"/>
                      <w:color w:val="auto"/>
                      <w:sz w:val="21"/>
                      <w:szCs w:val="18"/>
                      <w:lang w:val="en-US" w:eastAsia="zh-CN"/>
                    </w:rPr>
                  </w:pPr>
                  <w:r>
                    <w:rPr>
                      <w:rFonts w:hint="eastAsia" w:cs="Times New Roman"/>
                      <w:color w:val="auto"/>
                      <w:sz w:val="21"/>
                      <w:szCs w:val="18"/>
                      <w:lang w:val="en-US" w:eastAsia="zh-CN"/>
                    </w:rPr>
                    <w:t>0.019</w:t>
                  </w:r>
                </w:p>
              </w:tc>
              <w:tc>
                <w:tcPr>
                  <w:tcW w:w="1113" w:type="dxa"/>
                  <w:vMerge w:val="continue"/>
                  <w:vAlign w:val="center"/>
                </w:tcPr>
                <w:p w14:paraId="0F7432ED">
                  <w:pPr>
                    <w:widowControl/>
                    <w:spacing w:line="240" w:lineRule="auto"/>
                    <w:jc w:val="center"/>
                    <w:textAlignment w:val="center"/>
                    <w:rPr>
                      <w:rFonts w:hint="eastAsia"/>
                      <w:color w:val="auto"/>
                      <w:sz w:val="21"/>
                      <w:szCs w:val="18"/>
                      <w:lang w:eastAsia="zh-CN"/>
                    </w:rPr>
                  </w:pPr>
                </w:p>
              </w:tc>
              <w:tc>
                <w:tcPr>
                  <w:tcW w:w="1113" w:type="dxa"/>
                  <w:vMerge w:val="continue"/>
                  <w:vAlign w:val="center"/>
                </w:tcPr>
                <w:p w14:paraId="48C0C5B2">
                  <w:pPr>
                    <w:widowControl/>
                    <w:spacing w:line="240" w:lineRule="auto"/>
                    <w:jc w:val="center"/>
                    <w:textAlignment w:val="center"/>
                    <w:rPr>
                      <w:color w:val="auto"/>
                      <w:sz w:val="21"/>
                      <w:szCs w:val="21"/>
                    </w:rPr>
                  </w:pPr>
                </w:p>
              </w:tc>
              <w:tc>
                <w:tcPr>
                  <w:tcW w:w="1113" w:type="dxa"/>
                  <w:vAlign w:val="center"/>
                </w:tcPr>
                <w:p w14:paraId="1712FBEC">
                  <w:pPr>
                    <w:spacing w:line="240" w:lineRule="auto"/>
                    <w:ind w:firstLine="0" w:firstLineChars="0"/>
                    <w:jc w:val="center"/>
                    <w:rPr>
                      <w:rFonts w:hint="eastAsia"/>
                      <w:color w:val="auto"/>
                      <w:sz w:val="21"/>
                      <w:szCs w:val="18"/>
                      <w:lang w:val="en-US" w:eastAsia="zh-CN"/>
                    </w:rPr>
                  </w:pPr>
                  <w:r>
                    <w:rPr>
                      <w:rFonts w:hint="eastAsia"/>
                      <w:color w:val="auto"/>
                      <w:sz w:val="21"/>
                      <w:szCs w:val="18"/>
                      <w:lang w:val="en-US" w:eastAsia="zh-CN"/>
                    </w:rPr>
                    <w:t>/</w:t>
                  </w:r>
                </w:p>
              </w:tc>
              <w:tc>
                <w:tcPr>
                  <w:tcW w:w="1113" w:type="dxa"/>
                  <w:vAlign w:val="center"/>
                </w:tcPr>
                <w:p w14:paraId="16C11530">
                  <w:pPr>
                    <w:widowControl/>
                    <w:spacing w:line="240" w:lineRule="auto"/>
                    <w:ind w:firstLine="0" w:firstLineChars="0"/>
                    <w:jc w:val="center"/>
                    <w:textAlignment w:val="center"/>
                    <w:rPr>
                      <w:rFonts w:hint="eastAsia"/>
                      <w:color w:val="auto"/>
                      <w:sz w:val="21"/>
                      <w:szCs w:val="18"/>
                      <w:lang w:val="en-US" w:eastAsia="zh-CN"/>
                    </w:rPr>
                  </w:pPr>
                  <w:r>
                    <w:rPr>
                      <w:rFonts w:hint="eastAsia"/>
                      <w:color w:val="auto"/>
                      <w:sz w:val="21"/>
                      <w:szCs w:val="18"/>
                      <w:lang w:val="en-US" w:eastAsia="zh-CN"/>
                    </w:rPr>
                    <w:t>/</w:t>
                  </w:r>
                </w:p>
              </w:tc>
              <w:tc>
                <w:tcPr>
                  <w:tcW w:w="1113" w:type="dxa"/>
                  <w:vAlign w:val="center"/>
                </w:tcPr>
                <w:p w14:paraId="76C26998">
                  <w:pPr>
                    <w:widowControl/>
                    <w:spacing w:line="240" w:lineRule="auto"/>
                    <w:ind w:firstLine="0" w:firstLineChars="0"/>
                    <w:jc w:val="center"/>
                    <w:textAlignment w:val="center"/>
                    <w:rPr>
                      <w:rFonts w:hint="eastAsia"/>
                      <w:color w:val="auto"/>
                      <w:sz w:val="21"/>
                      <w:szCs w:val="18"/>
                      <w:lang w:val="en-US" w:eastAsia="zh-CN"/>
                    </w:rPr>
                  </w:pPr>
                  <w:r>
                    <w:rPr>
                      <w:rFonts w:hint="eastAsia"/>
                      <w:color w:val="auto"/>
                      <w:sz w:val="21"/>
                      <w:szCs w:val="18"/>
                      <w:lang w:val="en-US" w:eastAsia="zh-CN"/>
                    </w:rPr>
                    <w:t>/</w:t>
                  </w:r>
                </w:p>
              </w:tc>
              <w:tc>
                <w:tcPr>
                  <w:tcW w:w="1113" w:type="dxa"/>
                  <w:vAlign w:val="center"/>
                </w:tcPr>
                <w:p w14:paraId="1549DBE2">
                  <w:pPr>
                    <w:widowControl/>
                    <w:spacing w:line="240" w:lineRule="auto"/>
                    <w:ind w:firstLine="0" w:firstLineChars="0"/>
                    <w:jc w:val="center"/>
                    <w:textAlignment w:val="center"/>
                    <w:rPr>
                      <w:rFonts w:hint="eastAsia"/>
                      <w:color w:val="auto"/>
                      <w:sz w:val="21"/>
                      <w:szCs w:val="18"/>
                      <w:lang w:val="en-US" w:eastAsia="zh-CN"/>
                    </w:rPr>
                  </w:pPr>
                  <w:r>
                    <w:rPr>
                      <w:rFonts w:hint="eastAsia"/>
                      <w:color w:val="auto"/>
                      <w:sz w:val="21"/>
                      <w:szCs w:val="18"/>
                      <w:lang w:val="en-US" w:eastAsia="zh-CN"/>
                    </w:rPr>
                    <w:t>/</w:t>
                  </w:r>
                </w:p>
              </w:tc>
              <w:tc>
                <w:tcPr>
                  <w:tcW w:w="1113" w:type="dxa"/>
                  <w:shd w:val="clear"/>
                  <w:vAlign w:val="center"/>
                </w:tcPr>
                <w:p w14:paraId="04BDB5B7">
                  <w:pPr>
                    <w:widowControl/>
                    <w:spacing w:line="240" w:lineRule="auto"/>
                    <w:ind w:firstLine="0" w:firstLineChars="0"/>
                    <w:jc w:val="center"/>
                    <w:textAlignment w:val="center"/>
                    <w:rPr>
                      <w:rFonts w:hint="eastAsia" w:ascii="Times New Roman" w:hAnsi="Times New Roman" w:eastAsia="宋体" w:cs="Times New Roman"/>
                      <w:color w:val="auto"/>
                      <w:kern w:val="2"/>
                      <w:sz w:val="21"/>
                      <w:szCs w:val="18"/>
                      <w:lang w:val="en-US" w:eastAsia="zh-CN" w:bidi="ar-SA"/>
                    </w:rPr>
                  </w:pPr>
                  <w:r>
                    <w:rPr>
                      <w:rFonts w:hint="eastAsia" w:cs="Times New Roman"/>
                      <w:color w:val="auto"/>
                      <w:sz w:val="21"/>
                      <w:szCs w:val="18"/>
                      <w:lang w:val="en-US" w:eastAsia="zh-CN"/>
                    </w:rPr>
                    <w:t>0.022</w:t>
                  </w:r>
                </w:p>
              </w:tc>
              <w:tc>
                <w:tcPr>
                  <w:tcW w:w="1120" w:type="dxa"/>
                  <w:shd w:val="clear"/>
                  <w:vAlign w:val="center"/>
                </w:tcPr>
                <w:p w14:paraId="4DC097DD">
                  <w:pPr>
                    <w:widowControl/>
                    <w:spacing w:line="240" w:lineRule="auto"/>
                    <w:ind w:firstLine="0" w:firstLineChars="0"/>
                    <w:jc w:val="center"/>
                    <w:textAlignment w:val="center"/>
                    <w:rPr>
                      <w:rFonts w:hint="eastAsia" w:ascii="Times New Roman" w:hAnsi="Times New Roman" w:eastAsia="宋体" w:cs="Times New Roman"/>
                      <w:color w:val="auto"/>
                      <w:kern w:val="2"/>
                      <w:sz w:val="21"/>
                      <w:szCs w:val="18"/>
                      <w:lang w:val="en-US" w:eastAsia="zh-CN" w:bidi="ar-SA"/>
                    </w:rPr>
                  </w:pPr>
                  <w:r>
                    <w:rPr>
                      <w:rFonts w:hint="eastAsia" w:cs="Times New Roman"/>
                      <w:color w:val="auto"/>
                      <w:sz w:val="21"/>
                      <w:szCs w:val="18"/>
                      <w:lang w:val="en-US" w:eastAsia="zh-CN"/>
                    </w:rPr>
                    <w:t>0.019</w:t>
                  </w:r>
                </w:p>
              </w:tc>
            </w:tr>
            <w:tr w14:paraId="7C767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3" w:hRule="atLeast"/>
              </w:trPr>
              <w:tc>
                <w:tcPr>
                  <w:tcW w:w="1113" w:type="dxa"/>
                  <w:vMerge w:val="restart"/>
                  <w:vAlign w:val="center"/>
                </w:tcPr>
                <w:p w14:paraId="5A21013D">
                  <w:pPr>
                    <w:widowControl/>
                    <w:spacing w:line="240" w:lineRule="auto"/>
                    <w:jc w:val="center"/>
                    <w:textAlignment w:val="center"/>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硫化</w:t>
                  </w:r>
                </w:p>
              </w:tc>
              <w:tc>
                <w:tcPr>
                  <w:tcW w:w="1310" w:type="dxa"/>
                  <w:shd w:val="clear" w:color="auto" w:fill="auto"/>
                  <w:vAlign w:val="center"/>
                </w:tcPr>
                <w:p w14:paraId="0951FE4F">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非甲烷总烃</w:t>
                  </w:r>
                </w:p>
              </w:tc>
              <w:tc>
                <w:tcPr>
                  <w:tcW w:w="1025" w:type="dxa"/>
                  <w:vMerge w:val="restart"/>
                  <w:vAlign w:val="center"/>
                </w:tcPr>
                <w:p w14:paraId="7357809E">
                  <w:pPr>
                    <w:widowControl/>
                    <w:spacing w:line="240" w:lineRule="auto"/>
                    <w:jc w:val="center"/>
                    <w:textAlignment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硫化机</w:t>
                  </w:r>
                </w:p>
              </w:tc>
              <w:tc>
                <w:tcPr>
                  <w:tcW w:w="1004" w:type="dxa"/>
                  <w:tcBorders>
                    <w:top w:val="single" w:color="auto" w:sz="2" w:space="0"/>
                    <w:bottom w:val="single" w:color="auto" w:sz="2" w:space="0"/>
                  </w:tcBorders>
                  <w:vAlign w:val="center"/>
                </w:tcPr>
                <w:p w14:paraId="566095F4">
                  <w:pPr>
                    <w:widowControl/>
                    <w:spacing w:line="240" w:lineRule="auto"/>
                    <w:jc w:val="center"/>
                    <w:textAlignment w:val="center"/>
                    <w:rPr>
                      <w:rFonts w:hint="default" w:cs="Times New Roman"/>
                      <w:color w:val="auto"/>
                      <w:sz w:val="21"/>
                      <w:szCs w:val="18"/>
                      <w:lang w:val="en-US" w:eastAsia="zh-CN"/>
                    </w:rPr>
                  </w:pPr>
                  <w:r>
                    <w:rPr>
                      <w:rFonts w:hint="eastAsia" w:cs="Times New Roman"/>
                      <w:color w:val="auto"/>
                      <w:sz w:val="21"/>
                      <w:szCs w:val="18"/>
                      <w:lang w:val="en-US" w:eastAsia="zh-CN"/>
                    </w:rPr>
                    <w:t>0.136</w:t>
                  </w:r>
                </w:p>
              </w:tc>
              <w:tc>
                <w:tcPr>
                  <w:tcW w:w="1113" w:type="dxa"/>
                  <w:vAlign w:val="center"/>
                </w:tcPr>
                <w:p w14:paraId="78C7DFC5">
                  <w:pPr>
                    <w:widowControl/>
                    <w:spacing w:line="240" w:lineRule="auto"/>
                    <w:jc w:val="center"/>
                    <w:textAlignment w:val="center"/>
                    <w:rPr>
                      <w:rFonts w:hint="default" w:cs="Times New Roman"/>
                      <w:color w:val="auto"/>
                      <w:sz w:val="21"/>
                      <w:szCs w:val="18"/>
                      <w:lang w:val="en-US" w:eastAsia="zh-CN"/>
                    </w:rPr>
                  </w:pPr>
                  <w:r>
                    <w:rPr>
                      <w:rFonts w:hint="eastAsia" w:cs="Times New Roman"/>
                      <w:color w:val="auto"/>
                      <w:sz w:val="21"/>
                      <w:szCs w:val="18"/>
                      <w:lang w:val="en-US" w:eastAsia="zh-CN"/>
                    </w:rPr>
                    <w:t>0.028</w:t>
                  </w:r>
                </w:p>
              </w:tc>
              <w:tc>
                <w:tcPr>
                  <w:tcW w:w="1113" w:type="dxa"/>
                  <w:vMerge w:val="continue"/>
                  <w:vAlign w:val="center"/>
                </w:tcPr>
                <w:p w14:paraId="51923048">
                  <w:pPr>
                    <w:widowControl/>
                    <w:spacing w:line="240" w:lineRule="auto"/>
                    <w:jc w:val="center"/>
                    <w:textAlignment w:val="center"/>
                    <w:rPr>
                      <w:rFonts w:hint="eastAsia"/>
                      <w:color w:val="auto"/>
                      <w:sz w:val="21"/>
                      <w:szCs w:val="18"/>
                      <w:lang w:eastAsia="zh-CN"/>
                    </w:rPr>
                  </w:pPr>
                </w:p>
              </w:tc>
              <w:tc>
                <w:tcPr>
                  <w:tcW w:w="1113" w:type="dxa"/>
                  <w:vMerge w:val="continue"/>
                  <w:vAlign w:val="center"/>
                </w:tcPr>
                <w:p w14:paraId="0C32AC66">
                  <w:pPr>
                    <w:widowControl/>
                    <w:spacing w:line="240" w:lineRule="auto"/>
                    <w:jc w:val="center"/>
                    <w:textAlignment w:val="center"/>
                    <w:rPr>
                      <w:color w:val="auto"/>
                      <w:sz w:val="21"/>
                      <w:szCs w:val="21"/>
                    </w:rPr>
                  </w:pPr>
                </w:p>
              </w:tc>
              <w:tc>
                <w:tcPr>
                  <w:tcW w:w="1113" w:type="dxa"/>
                  <w:vAlign w:val="center"/>
                </w:tcPr>
                <w:p w14:paraId="6ECEC237">
                  <w:pPr>
                    <w:spacing w:line="240" w:lineRule="auto"/>
                    <w:ind w:firstLine="0" w:firstLineChars="0"/>
                    <w:jc w:val="center"/>
                    <w:rPr>
                      <w:rFonts w:hint="eastAsia"/>
                      <w:color w:val="auto"/>
                      <w:sz w:val="21"/>
                      <w:szCs w:val="18"/>
                      <w:lang w:val="en-US" w:eastAsia="zh-CN"/>
                    </w:rPr>
                  </w:pPr>
                  <w:r>
                    <w:rPr>
                      <w:rFonts w:hint="eastAsia"/>
                      <w:color w:val="auto"/>
                      <w:sz w:val="21"/>
                      <w:szCs w:val="18"/>
                      <w:lang w:val="en-US" w:eastAsia="zh-CN"/>
                    </w:rPr>
                    <w:t>/</w:t>
                  </w:r>
                </w:p>
              </w:tc>
              <w:tc>
                <w:tcPr>
                  <w:tcW w:w="1113" w:type="dxa"/>
                  <w:vAlign w:val="center"/>
                </w:tcPr>
                <w:p w14:paraId="4F6B61D2">
                  <w:pPr>
                    <w:widowControl/>
                    <w:spacing w:line="240" w:lineRule="auto"/>
                    <w:ind w:firstLine="0" w:firstLineChars="0"/>
                    <w:jc w:val="center"/>
                    <w:textAlignment w:val="center"/>
                    <w:rPr>
                      <w:rFonts w:hint="eastAsia"/>
                      <w:color w:val="auto"/>
                      <w:sz w:val="21"/>
                      <w:szCs w:val="18"/>
                      <w:lang w:val="en-US" w:eastAsia="zh-CN"/>
                    </w:rPr>
                  </w:pPr>
                  <w:r>
                    <w:rPr>
                      <w:rFonts w:hint="eastAsia"/>
                      <w:color w:val="auto"/>
                      <w:sz w:val="21"/>
                      <w:szCs w:val="18"/>
                      <w:lang w:val="en-US" w:eastAsia="zh-CN"/>
                    </w:rPr>
                    <w:t>/</w:t>
                  </w:r>
                </w:p>
              </w:tc>
              <w:tc>
                <w:tcPr>
                  <w:tcW w:w="1113" w:type="dxa"/>
                  <w:vAlign w:val="center"/>
                </w:tcPr>
                <w:p w14:paraId="1DBB475B">
                  <w:pPr>
                    <w:widowControl/>
                    <w:spacing w:line="240" w:lineRule="auto"/>
                    <w:ind w:firstLine="0" w:firstLineChars="0"/>
                    <w:jc w:val="center"/>
                    <w:textAlignment w:val="center"/>
                    <w:rPr>
                      <w:rFonts w:hint="eastAsia"/>
                      <w:color w:val="auto"/>
                      <w:sz w:val="21"/>
                      <w:szCs w:val="18"/>
                      <w:lang w:val="en-US" w:eastAsia="zh-CN"/>
                    </w:rPr>
                  </w:pPr>
                  <w:r>
                    <w:rPr>
                      <w:rFonts w:hint="eastAsia"/>
                      <w:color w:val="auto"/>
                      <w:sz w:val="21"/>
                      <w:szCs w:val="18"/>
                      <w:lang w:val="en-US" w:eastAsia="zh-CN"/>
                    </w:rPr>
                    <w:t>/</w:t>
                  </w:r>
                </w:p>
              </w:tc>
              <w:tc>
                <w:tcPr>
                  <w:tcW w:w="1113" w:type="dxa"/>
                  <w:vAlign w:val="center"/>
                </w:tcPr>
                <w:p w14:paraId="1BAC975B">
                  <w:pPr>
                    <w:widowControl/>
                    <w:spacing w:line="240" w:lineRule="auto"/>
                    <w:ind w:firstLine="0" w:firstLineChars="0"/>
                    <w:jc w:val="center"/>
                    <w:textAlignment w:val="center"/>
                    <w:rPr>
                      <w:rFonts w:hint="eastAsia"/>
                      <w:color w:val="auto"/>
                      <w:sz w:val="21"/>
                      <w:szCs w:val="18"/>
                      <w:lang w:val="en-US" w:eastAsia="zh-CN"/>
                    </w:rPr>
                  </w:pPr>
                  <w:r>
                    <w:rPr>
                      <w:rFonts w:hint="eastAsia"/>
                      <w:color w:val="auto"/>
                      <w:sz w:val="21"/>
                      <w:szCs w:val="18"/>
                      <w:lang w:val="en-US" w:eastAsia="zh-CN"/>
                    </w:rPr>
                    <w:t>/</w:t>
                  </w:r>
                </w:p>
              </w:tc>
              <w:tc>
                <w:tcPr>
                  <w:tcW w:w="1113" w:type="dxa"/>
                  <w:shd w:val="clear" w:color="auto" w:fill="auto"/>
                  <w:vAlign w:val="center"/>
                </w:tcPr>
                <w:p w14:paraId="7A94A8AF">
                  <w:pPr>
                    <w:widowControl/>
                    <w:spacing w:line="240" w:lineRule="auto"/>
                    <w:ind w:firstLine="0" w:firstLineChars="0"/>
                    <w:jc w:val="center"/>
                    <w:textAlignment w:val="center"/>
                    <w:rPr>
                      <w:rFonts w:hint="eastAsia" w:ascii="Times New Roman" w:hAnsi="Times New Roman" w:eastAsia="宋体" w:cs="Times New Roman"/>
                      <w:color w:val="auto"/>
                      <w:kern w:val="2"/>
                      <w:sz w:val="21"/>
                      <w:szCs w:val="18"/>
                      <w:lang w:val="en-US" w:eastAsia="zh-CN" w:bidi="ar-SA"/>
                    </w:rPr>
                  </w:pPr>
                  <w:r>
                    <w:rPr>
                      <w:rFonts w:hint="eastAsia" w:cs="Times New Roman"/>
                      <w:color w:val="auto"/>
                      <w:sz w:val="21"/>
                      <w:szCs w:val="18"/>
                      <w:lang w:val="en-US" w:eastAsia="zh-CN"/>
                    </w:rPr>
                    <w:t>0.136</w:t>
                  </w:r>
                </w:p>
              </w:tc>
              <w:tc>
                <w:tcPr>
                  <w:tcW w:w="1120" w:type="dxa"/>
                  <w:shd w:val="clear" w:color="auto" w:fill="auto"/>
                  <w:vAlign w:val="center"/>
                </w:tcPr>
                <w:p w14:paraId="3654E359">
                  <w:pPr>
                    <w:widowControl/>
                    <w:spacing w:line="240" w:lineRule="auto"/>
                    <w:ind w:firstLine="0" w:firstLineChars="0"/>
                    <w:jc w:val="center"/>
                    <w:textAlignment w:val="center"/>
                    <w:rPr>
                      <w:rFonts w:hint="eastAsia" w:ascii="Times New Roman" w:hAnsi="Times New Roman" w:eastAsia="宋体" w:cs="Times New Roman"/>
                      <w:color w:val="auto"/>
                      <w:kern w:val="2"/>
                      <w:sz w:val="21"/>
                      <w:szCs w:val="18"/>
                      <w:lang w:val="en-US" w:eastAsia="zh-CN" w:bidi="ar-SA"/>
                    </w:rPr>
                  </w:pPr>
                  <w:r>
                    <w:rPr>
                      <w:rFonts w:hint="eastAsia" w:cs="Times New Roman"/>
                      <w:color w:val="auto"/>
                      <w:sz w:val="21"/>
                      <w:szCs w:val="18"/>
                      <w:lang w:val="en-US" w:eastAsia="zh-CN"/>
                    </w:rPr>
                    <w:t>0.028</w:t>
                  </w:r>
                </w:p>
              </w:tc>
            </w:tr>
            <w:tr w14:paraId="5F7AD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3" w:hRule="atLeast"/>
              </w:trPr>
              <w:tc>
                <w:tcPr>
                  <w:tcW w:w="1113" w:type="dxa"/>
                  <w:vMerge w:val="continue"/>
                  <w:vAlign w:val="center"/>
                </w:tcPr>
                <w:p w14:paraId="4D6A0F92">
                  <w:pPr>
                    <w:widowControl/>
                    <w:spacing w:line="240" w:lineRule="auto"/>
                    <w:jc w:val="center"/>
                    <w:textAlignment w:val="center"/>
                    <w:rPr>
                      <w:rFonts w:hint="eastAsia" w:cs="Times New Roman" w:eastAsiaTheme="minorEastAsia"/>
                      <w:color w:val="auto"/>
                      <w:sz w:val="21"/>
                      <w:szCs w:val="21"/>
                      <w:lang w:val="en-US" w:eastAsia="zh-CN"/>
                    </w:rPr>
                  </w:pPr>
                </w:p>
              </w:tc>
              <w:tc>
                <w:tcPr>
                  <w:tcW w:w="1310" w:type="dxa"/>
                  <w:shd w:val="clear" w:color="auto" w:fill="auto"/>
                  <w:vAlign w:val="center"/>
                </w:tcPr>
                <w:p w14:paraId="36FED9D0">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硫化氢</w:t>
                  </w:r>
                </w:p>
              </w:tc>
              <w:tc>
                <w:tcPr>
                  <w:tcW w:w="1025" w:type="dxa"/>
                  <w:vMerge w:val="continue"/>
                  <w:vAlign w:val="center"/>
                </w:tcPr>
                <w:p w14:paraId="25384106">
                  <w:pPr>
                    <w:widowControl/>
                    <w:spacing w:line="240" w:lineRule="auto"/>
                    <w:jc w:val="center"/>
                    <w:textAlignment w:val="center"/>
                    <w:rPr>
                      <w:rFonts w:hint="eastAsia" w:cs="Times New Roman" w:eastAsiaTheme="minorEastAsia"/>
                      <w:color w:val="auto"/>
                      <w:sz w:val="21"/>
                      <w:szCs w:val="21"/>
                      <w:lang w:val="en-US" w:eastAsia="zh-CN"/>
                    </w:rPr>
                  </w:pPr>
                </w:p>
              </w:tc>
              <w:tc>
                <w:tcPr>
                  <w:tcW w:w="1004" w:type="dxa"/>
                  <w:tcBorders>
                    <w:top w:val="single" w:color="auto" w:sz="2" w:space="0"/>
                    <w:bottom w:val="single" w:color="auto" w:sz="2" w:space="0"/>
                  </w:tcBorders>
                  <w:vAlign w:val="center"/>
                </w:tcPr>
                <w:p w14:paraId="0728123E">
                  <w:pPr>
                    <w:widowControl/>
                    <w:spacing w:line="240" w:lineRule="auto"/>
                    <w:jc w:val="center"/>
                    <w:textAlignment w:val="center"/>
                    <w:rPr>
                      <w:rFonts w:hint="default" w:cs="Times New Roman"/>
                      <w:color w:val="auto"/>
                      <w:sz w:val="21"/>
                      <w:szCs w:val="18"/>
                      <w:lang w:val="en-US" w:eastAsia="zh-CN"/>
                    </w:rPr>
                  </w:pPr>
                  <w:r>
                    <w:rPr>
                      <w:rFonts w:hint="eastAsia" w:cs="Times New Roman"/>
                      <w:color w:val="auto"/>
                      <w:sz w:val="21"/>
                      <w:szCs w:val="18"/>
                      <w:lang w:val="en-US" w:eastAsia="zh-CN"/>
                    </w:rPr>
                    <w:t>0.186</w:t>
                  </w:r>
                </w:p>
              </w:tc>
              <w:tc>
                <w:tcPr>
                  <w:tcW w:w="1113" w:type="dxa"/>
                  <w:vAlign w:val="center"/>
                </w:tcPr>
                <w:p w14:paraId="0D5F903D">
                  <w:pPr>
                    <w:widowControl/>
                    <w:spacing w:line="240" w:lineRule="auto"/>
                    <w:jc w:val="center"/>
                    <w:textAlignment w:val="center"/>
                    <w:rPr>
                      <w:rFonts w:hint="default" w:cs="Times New Roman"/>
                      <w:color w:val="auto"/>
                      <w:sz w:val="21"/>
                      <w:szCs w:val="18"/>
                      <w:lang w:val="en-US" w:eastAsia="zh-CN"/>
                    </w:rPr>
                  </w:pPr>
                  <w:r>
                    <w:rPr>
                      <w:rFonts w:hint="eastAsia" w:cs="Times New Roman"/>
                      <w:color w:val="auto"/>
                      <w:sz w:val="21"/>
                      <w:szCs w:val="18"/>
                      <w:lang w:val="en-US" w:eastAsia="zh-CN"/>
                    </w:rPr>
                    <w:t>0.039</w:t>
                  </w:r>
                </w:p>
              </w:tc>
              <w:tc>
                <w:tcPr>
                  <w:tcW w:w="1113" w:type="dxa"/>
                  <w:vMerge w:val="continue"/>
                  <w:vAlign w:val="center"/>
                </w:tcPr>
                <w:p w14:paraId="42FB5E70">
                  <w:pPr>
                    <w:widowControl/>
                    <w:spacing w:line="240" w:lineRule="auto"/>
                    <w:jc w:val="center"/>
                    <w:textAlignment w:val="center"/>
                    <w:rPr>
                      <w:rFonts w:hint="eastAsia"/>
                      <w:color w:val="auto"/>
                      <w:sz w:val="21"/>
                      <w:szCs w:val="18"/>
                      <w:lang w:eastAsia="zh-CN"/>
                    </w:rPr>
                  </w:pPr>
                </w:p>
              </w:tc>
              <w:tc>
                <w:tcPr>
                  <w:tcW w:w="1113" w:type="dxa"/>
                  <w:vMerge w:val="continue"/>
                  <w:vAlign w:val="center"/>
                </w:tcPr>
                <w:p w14:paraId="03E965D0">
                  <w:pPr>
                    <w:widowControl/>
                    <w:spacing w:line="240" w:lineRule="auto"/>
                    <w:jc w:val="center"/>
                    <w:textAlignment w:val="center"/>
                    <w:rPr>
                      <w:color w:val="auto"/>
                      <w:sz w:val="21"/>
                      <w:szCs w:val="21"/>
                    </w:rPr>
                  </w:pPr>
                </w:p>
              </w:tc>
              <w:tc>
                <w:tcPr>
                  <w:tcW w:w="1113" w:type="dxa"/>
                  <w:vAlign w:val="center"/>
                </w:tcPr>
                <w:p w14:paraId="7C18AFE5">
                  <w:pPr>
                    <w:spacing w:line="240" w:lineRule="auto"/>
                    <w:ind w:firstLine="0" w:firstLineChars="0"/>
                    <w:jc w:val="center"/>
                    <w:rPr>
                      <w:rFonts w:hint="eastAsia"/>
                      <w:color w:val="auto"/>
                      <w:sz w:val="21"/>
                      <w:szCs w:val="18"/>
                      <w:lang w:val="en-US" w:eastAsia="zh-CN"/>
                    </w:rPr>
                  </w:pPr>
                  <w:r>
                    <w:rPr>
                      <w:rFonts w:hint="eastAsia"/>
                      <w:color w:val="auto"/>
                      <w:sz w:val="21"/>
                      <w:szCs w:val="18"/>
                      <w:lang w:val="en-US" w:eastAsia="zh-CN"/>
                    </w:rPr>
                    <w:t>/</w:t>
                  </w:r>
                </w:p>
              </w:tc>
              <w:tc>
                <w:tcPr>
                  <w:tcW w:w="1113" w:type="dxa"/>
                  <w:vAlign w:val="center"/>
                </w:tcPr>
                <w:p w14:paraId="079D4186">
                  <w:pPr>
                    <w:widowControl/>
                    <w:spacing w:line="240" w:lineRule="auto"/>
                    <w:ind w:firstLine="0" w:firstLineChars="0"/>
                    <w:jc w:val="center"/>
                    <w:textAlignment w:val="center"/>
                    <w:rPr>
                      <w:rFonts w:hint="eastAsia"/>
                      <w:color w:val="auto"/>
                      <w:sz w:val="21"/>
                      <w:szCs w:val="18"/>
                      <w:lang w:val="en-US" w:eastAsia="zh-CN"/>
                    </w:rPr>
                  </w:pPr>
                  <w:r>
                    <w:rPr>
                      <w:rFonts w:hint="eastAsia"/>
                      <w:color w:val="auto"/>
                      <w:sz w:val="21"/>
                      <w:szCs w:val="18"/>
                      <w:lang w:val="en-US" w:eastAsia="zh-CN"/>
                    </w:rPr>
                    <w:t>/</w:t>
                  </w:r>
                </w:p>
              </w:tc>
              <w:tc>
                <w:tcPr>
                  <w:tcW w:w="1113" w:type="dxa"/>
                  <w:vAlign w:val="center"/>
                </w:tcPr>
                <w:p w14:paraId="08C14A43">
                  <w:pPr>
                    <w:widowControl/>
                    <w:spacing w:line="240" w:lineRule="auto"/>
                    <w:ind w:firstLine="0" w:firstLineChars="0"/>
                    <w:jc w:val="center"/>
                    <w:textAlignment w:val="center"/>
                    <w:rPr>
                      <w:rFonts w:hint="eastAsia"/>
                      <w:color w:val="auto"/>
                      <w:sz w:val="21"/>
                      <w:szCs w:val="18"/>
                      <w:lang w:val="en-US" w:eastAsia="zh-CN"/>
                    </w:rPr>
                  </w:pPr>
                  <w:r>
                    <w:rPr>
                      <w:rFonts w:hint="eastAsia"/>
                      <w:color w:val="auto"/>
                      <w:sz w:val="21"/>
                      <w:szCs w:val="18"/>
                      <w:lang w:val="en-US" w:eastAsia="zh-CN"/>
                    </w:rPr>
                    <w:t>/</w:t>
                  </w:r>
                </w:p>
              </w:tc>
              <w:tc>
                <w:tcPr>
                  <w:tcW w:w="1113" w:type="dxa"/>
                  <w:vAlign w:val="center"/>
                </w:tcPr>
                <w:p w14:paraId="1DDD6303">
                  <w:pPr>
                    <w:widowControl/>
                    <w:spacing w:line="240" w:lineRule="auto"/>
                    <w:ind w:firstLine="0" w:firstLineChars="0"/>
                    <w:jc w:val="center"/>
                    <w:textAlignment w:val="center"/>
                    <w:rPr>
                      <w:rFonts w:hint="eastAsia"/>
                      <w:color w:val="auto"/>
                      <w:sz w:val="21"/>
                      <w:szCs w:val="18"/>
                      <w:lang w:val="en-US" w:eastAsia="zh-CN"/>
                    </w:rPr>
                  </w:pPr>
                  <w:r>
                    <w:rPr>
                      <w:rFonts w:hint="eastAsia"/>
                      <w:color w:val="auto"/>
                      <w:sz w:val="21"/>
                      <w:szCs w:val="18"/>
                      <w:lang w:val="en-US" w:eastAsia="zh-CN"/>
                    </w:rPr>
                    <w:t>/</w:t>
                  </w:r>
                </w:p>
              </w:tc>
              <w:tc>
                <w:tcPr>
                  <w:tcW w:w="1113" w:type="dxa"/>
                  <w:shd w:val="clear" w:color="auto" w:fill="auto"/>
                  <w:vAlign w:val="center"/>
                </w:tcPr>
                <w:p w14:paraId="601BB26D">
                  <w:pPr>
                    <w:widowControl/>
                    <w:spacing w:line="240" w:lineRule="auto"/>
                    <w:ind w:firstLine="0" w:firstLineChars="0"/>
                    <w:jc w:val="center"/>
                    <w:textAlignment w:val="center"/>
                    <w:rPr>
                      <w:rFonts w:hint="eastAsia" w:ascii="Times New Roman" w:hAnsi="Times New Roman" w:eastAsia="宋体" w:cs="Times New Roman"/>
                      <w:color w:val="auto"/>
                      <w:kern w:val="2"/>
                      <w:sz w:val="21"/>
                      <w:szCs w:val="18"/>
                      <w:lang w:val="en-US" w:eastAsia="zh-CN" w:bidi="ar-SA"/>
                    </w:rPr>
                  </w:pPr>
                  <w:r>
                    <w:rPr>
                      <w:rFonts w:hint="eastAsia" w:cs="Times New Roman"/>
                      <w:color w:val="auto"/>
                      <w:sz w:val="21"/>
                      <w:szCs w:val="18"/>
                      <w:lang w:val="en-US" w:eastAsia="zh-CN"/>
                    </w:rPr>
                    <w:t>0.186</w:t>
                  </w:r>
                </w:p>
              </w:tc>
              <w:tc>
                <w:tcPr>
                  <w:tcW w:w="1120" w:type="dxa"/>
                  <w:shd w:val="clear" w:color="auto" w:fill="auto"/>
                  <w:vAlign w:val="center"/>
                </w:tcPr>
                <w:p w14:paraId="7543CA92">
                  <w:pPr>
                    <w:widowControl/>
                    <w:spacing w:line="240" w:lineRule="auto"/>
                    <w:ind w:firstLine="0" w:firstLineChars="0"/>
                    <w:jc w:val="center"/>
                    <w:textAlignment w:val="center"/>
                    <w:rPr>
                      <w:rFonts w:hint="eastAsia" w:ascii="Times New Roman" w:hAnsi="Times New Roman" w:eastAsia="宋体" w:cs="Times New Roman"/>
                      <w:color w:val="auto"/>
                      <w:kern w:val="2"/>
                      <w:sz w:val="21"/>
                      <w:szCs w:val="18"/>
                      <w:lang w:val="en-US" w:eastAsia="zh-CN" w:bidi="ar-SA"/>
                    </w:rPr>
                  </w:pPr>
                  <w:r>
                    <w:rPr>
                      <w:rFonts w:hint="eastAsia" w:cs="Times New Roman"/>
                      <w:color w:val="auto"/>
                      <w:sz w:val="21"/>
                      <w:szCs w:val="18"/>
                      <w:lang w:val="en-US" w:eastAsia="zh-CN"/>
                    </w:rPr>
                    <w:t>0.039</w:t>
                  </w:r>
                </w:p>
              </w:tc>
            </w:tr>
          </w:tbl>
          <w:p w14:paraId="567CC59A">
            <w:pPr>
              <w:ind w:firstLine="0" w:firstLineChars="0"/>
              <w:jc w:val="center"/>
              <w:rPr>
                <w:b/>
                <w:bCs/>
                <w:color w:val="auto"/>
              </w:rPr>
            </w:pPr>
            <w:r>
              <w:rPr>
                <w:rFonts w:hint="eastAsia"/>
                <w:b/>
                <w:bCs/>
                <w:color w:val="auto"/>
              </w:rPr>
              <w:t>表</w:t>
            </w:r>
            <w:r>
              <w:rPr>
                <w:rFonts w:hint="eastAsia"/>
                <w:b/>
                <w:bCs/>
                <w:color w:val="auto"/>
                <w:lang w:val="en-US" w:eastAsia="zh-CN"/>
              </w:rPr>
              <w:t>4-4</w:t>
            </w:r>
            <w:r>
              <w:rPr>
                <w:rFonts w:hint="eastAsia"/>
                <w:b/>
                <w:bCs/>
                <w:color w:val="auto"/>
              </w:rPr>
              <w:t xml:space="preserve"> 项目废气自行监测计划一览表</w:t>
            </w:r>
          </w:p>
          <w:tbl>
            <w:tblPr>
              <w:tblStyle w:val="23"/>
              <w:tblW w:w="145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796"/>
              <w:gridCol w:w="1350"/>
              <w:gridCol w:w="1350"/>
              <w:gridCol w:w="1293"/>
              <w:gridCol w:w="1269"/>
              <w:gridCol w:w="1062"/>
              <w:gridCol w:w="1419"/>
              <w:gridCol w:w="1108"/>
              <w:gridCol w:w="1599"/>
              <w:gridCol w:w="1621"/>
              <w:gridCol w:w="1028"/>
            </w:tblGrid>
            <w:tr w14:paraId="0F1EC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center"/>
                </w:tcPr>
                <w:p w14:paraId="496502E7">
                  <w:pPr>
                    <w:spacing w:line="240" w:lineRule="auto"/>
                    <w:ind w:firstLine="0" w:firstLineChars="0"/>
                    <w:jc w:val="center"/>
                    <w:rPr>
                      <w:b/>
                      <w:bCs/>
                      <w:color w:val="auto"/>
                      <w:sz w:val="21"/>
                      <w:szCs w:val="21"/>
                    </w:rPr>
                  </w:pPr>
                  <w:r>
                    <w:rPr>
                      <w:rFonts w:hint="eastAsia"/>
                      <w:b/>
                      <w:bCs/>
                      <w:color w:val="auto"/>
                      <w:sz w:val="21"/>
                      <w:szCs w:val="21"/>
                    </w:rPr>
                    <w:t>序号</w:t>
                  </w:r>
                </w:p>
              </w:tc>
              <w:tc>
                <w:tcPr>
                  <w:tcW w:w="796" w:type="dxa"/>
                  <w:noWrap w:val="0"/>
                  <w:vAlign w:val="center"/>
                </w:tcPr>
                <w:p w14:paraId="79193E80">
                  <w:pPr>
                    <w:spacing w:line="240" w:lineRule="auto"/>
                    <w:ind w:firstLine="0" w:firstLineChars="0"/>
                    <w:jc w:val="center"/>
                    <w:rPr>
                      <w:b/>
                      <w:bCs/>
                      <w:color w:val="auto"/>
                      <w:sz w:val="21"/>
                      <w:szCs w:val="21"/>
                    </w:rPr>
                  </w:pPr>
                  <w:r>
                    <w:rPr>
                      <w:rFonts w:hint="eastAsia"/>
                      <w:b/>
                      <w:bCs/>
                      <w:color w:val="auto"/>
                      <w:sz w:val="21"/>
                      <w:szCs w:val="21"/>
                    </w:rPr>
                    <w:t>污染源类别</w:t>
                  </w:r>
                </w:p>
              </w:tc>
              <w:tc>
                <w:tcPr>
                  <w:tcW w:w="1350" w:type="dxa"/>
                  <w:noWrap w:val="0"/>
                  <w:vAlign w:val="center"/>
                </w:tcPr>
                <w:p w14:paraId="66CD4D81">
                  <w:pPr>
                    <w:spacing w:line="240" w:lineRule="auto"/>
                    <w:ind w:firstLine="0" w:firstLineChars="0"/>
                    <w:jc w:val="center"/>
                    <w:rPr>
                      <w:b/>
                      <w:bCs/>
                      <w:color w:val="auto"/>
                      <w:sz w:val="21"/>
                      <w:szCs w:val="21"/>
                    </w:rPr>
                  </w:pPr>
                  <w:r>
                    <w:rPr>
                      <w:rFonts w:hint="eastAsia"/>
                      <w:b/>
                      <w:bCs/>
                      <w:color w:val="auto"/>
                      <w:sz w:val="21"/>
                      <w:szCs w:val="21"/>
                    </w:rPr>
                    <w:t>排放口编号</w:t>
                  </w:r>
                </w:p>
              </w:tc>
              <w:tc>
                <w:tcPr>
                  <w:tcW w:w="1350" w:type="dxa"/>
                  <w:noWrap w:val="0"/>
                  <w:vAlign w:val="center"/>
                </w:tcPr>
                <w:p w14:paraId="5484E767">
                  <w:pPr>
                    <w:spacing w:line="240" w:lineRule="auto"/>
                    <w:ind w:firstLine="0" w:firstLineChars="0"/>
                    <w:jc w:val="center"/>
                    <w:rPr>
                      <w:b/>
                      <w:bCs/>
                      <w:color w:val="auto"/>
                      <w:sz w:val="21"/>
                      <w:szCs w:val="21"/>
                    </w:rPr>
                  </w:pPr>
                  <w:r>
                    <w:rPr>
                      <w:rFonts w:hint="eastAsia"/>
                      <w:b/>
                      <w:bCs/>
                      <w:color w:val="auto"/>
                      <w:sz w:val="21"/>
                      <w:szCs w:val="21"/>
                    </w:rPr>
                    <w:t>排放口名称</w:t>
                  </w:r>
                </w:p>
              </w:tc>
              <w:tc>
                <w:tcPr>
                  <w:tcW w:w="1293" w:type="dxa"/>
                  <w:noWrap w:val="0"/>
                  <w:vAlign w:val="center"/>
                </w:tcPr>
                <w:p w14:paraId="65633B10">
                  <w:pPr>
                    <w:spacing w:line="240" w:lineRule="auto"/>
                    <w:ind w:firstLine="0" w:firstLineChars="0"/>
                    <w:jc w:val="center"/>
                    <w:rPr>
                      <w:b/>
                      <w:bCs/>
                      <w:color w:val="auto"/>
                      <w:sz w:val="21"/>
                      <w:szCs w:val="21"/>
                    </w:rPr>
                  </w:pPr>
                  <w:r>
                    <w:rPr>
                      <w:rFonts w:hint="eastAsia"/>
                      <w:b/>
                      <w:bCs/>
                      <w:color w:val="auto"/>
                      <w:sz w:val="21"/>
                      <w:szCs w:val="21"/>
                    </w:rPr>
                    <w:t>监测内容</w:t>
                  </w:r>
                </w:p>
              </w:tc>
              <w:tc>
                <w:tcPr>
                  <w:tcW w:w="1269" w:type="dxa"/>
                  <w:noWrap w:val="0"/>
                  <w:vAlign w:val="center"/>
                </w:tcPr>
                <w:p w14:paraId="5A2B4137">
                  <w:pPr>
                    <w:spacing w:line="240" w:lineRule="auto"/>
                    <w:ind w:firstLine="0" w:firstLineChars="0"/>
                    <w:jc w:val="center"/>
                    <w:rPr>
                      <w:b/>
                      <w:bCs/>
                      <w:color w:val="auto"/>
                      <w:sz w:val="21"/>
                      <w:szCs w:val="21"/>
                    </w:rPr>
                  </w:pPr>
                  <w:r>
                    <w:rPr>
                      <w:rFonts w:hint="eastAsia"/>
                      <w:b/>
                      <w:bCs/>
                      <w:color w:val="auto"/>
                      <w:sz w:val="21"/>
                      <w:szCs w:val="21"/>
                    </w:rPr>
                    <w:t>污染物名称</w:t>
                  </w:r>
                </w:p>
              </w:tc>
              <w:tc>
                <w:tcPr>
                  <w:tcW w:w="1062" w:type="dxa"/>
                  <w:noWrap w:val="0"/>
                  <w:vAlign w:val="center"/>
                </w:tcPr>
                <w:p w14:paraId="0997CB64">
                  <w:pPr>
                    <w:spacing w:line="240" w:lineRule="auto"/>
                    <w:ind w:firstLine="0" w:firstLineChars="0"/>
                    <w:jc w:val="center"/>
                    <w:rPr>
                      <w:b/>
                      <w:bCs/>
                      <w:color w:val="auto"/>
                      <w:sz w:val="21"/>
                      <w:szCs w:val="21"/>
                    </w:rPr>
                  </w:pPr>
                  <w:r>
                    <w:rPr>
                      <w:rFonts w:hint="eastAsia"/>
                      <w:b/>
                      <w:bCs/>
                      <w:color w:val="auto"/>
                      <w:sz w:val="21"/>
                      <w:szCs w:val="21"/>
                    </w:rPr>
                    <w:t>监测设施</w:t>
                  </w:r>
                </w:p>
              </w:tc>
              <w:tc>
                <w:tcPr>
                  <w:tcW w:w="1419" w:type="dxa"/>
                  <w:noWrap w:val="0"/>
                  <w:vAlign w:val="center"/>
                </w:tcPr>
                <w:p w14:paraId="1AAC72D1">
                  <w:pPr>
                    <w:spacing w:line="240" w:lineRule="auto"/>
                    <w:ind w:firstLine="0" w:firstLineChars="0"/>
                    <w:jc w:val="center"/>
                    <w:rPr>
                      <w:b/>
                      <w:bCs/>
                      <w:color w:val="auto"/>
                      <w:sz w:val="21"/>
                      <w:szCs w:val="21"/>
                    </w:rPr>
                  </w:pPr>
                  <w:r>
                    <w:rPr>
                      <w:b/>
                      <w:bCs/>
                      <w:color w:val="auto"/>
                      <w:sz w:val="21"/>
                      <w:szCs w:val="21"/>
                    </w:rPr>
                    <w:t>手工监测采样方法及个数</w:t>
                  </w:r>
                </w:p>
              </w:tc>
              <w:tc>
                <w:tcPr>
                  <w:tcW w:w="1108" w:type="dxa"/>
                  <w:noWrap w:val="0"/>
                  <w:vAlign w:val="center"/>
                </w:tcPr>
                <w:p w14:paraId="285031EA">
                  <w:pPr>
                    <w:spacing w:line="240" w:lineRule="auto"/>
                    <w:ind w:firstLine="0" w:firstLineChars="0"/>
                    <w:jc w:val="center"/>
                    <w:rPr>
                      <w:b/>
                      <w:bCs/>
                      <w:color w:val="auto"/>
                      <w:sz w:val="21"/>
                      <w:szCs w:val="21"/>
                    </w:rPr>
                  </w:pPr>
                  <w:r>
                    <w:rPr>
                      <w:rFonts w:hint="eastAsia"/>
                      <w:b/>
                      <w:bCs/>
                      <w:color w:val="auto"/>
                      <w:sz w:val="21"/>
                      <w:szCs w:val="21"/>
                    </w:rPr>
                    <w:t>手工监测频次</w:t>
                  </w:r>
                </w:p>
              </w:tc>
              <w:tc>
                <w:tcPr>
                  <w:tcW w:w="1599" w:type="dxa"/>
                  <w:noWrap w:val="0"/>
                  <w:vAlign w:val="center"/>
                </w:tcPr>
                <w:p w14:paraId="2FDC1E87">
                  <w:pPr>
                    <w:spacing w:line="240" w:lineRule="auto"/>
                    <w:ind w:firstLine="0" w:firstLineChars="0"/>
                    <w:jc w:val="center"/>
                    <w:rPr>
                      <w:b/>
                      <w:bCs/>
                      <w:color w:val="auto"/>
                      <w:sz w:val="21"/>
                      <w:szCs w:val="21"/>
                    </w:rPr>
                  </w:pPr>
                  <w:r>
                    <w:rPr>
                      <w:rFonts w:hint="eastAsia"/>
                      <w:b/>
                      <w:bCs/>
                      <w:color w:val="auto"/>
                      <w:sz w:val="21"/>
                      <w:szCs w:val="21"/>
                    </w:rPr>
                    <w:t>手工测定方法</w:t>
                  </w:r>
                </w:p>
              </w:tc>
              <w:tc>
                <w:tcPr>
                  <w:tcW w:w="1621" w:type="dxa"/>
                  <w:noWrap w:val="0"/>
                  <w:vAlign w:val="center"/>
                </w:tcPr>
                <w:p w14:paraId="17F48FF9">
                  <w:pPr>
                    <w:spacing w:line="240" w:lineRule="auto"/>
                    <w:ind w:firstLine="0" w:firstLineChars="0"/>
                    <w:jc w:val="center"/>
                    <w:rPr>
                      <w:rFonts w:hint="eastAsia"/>
                      <w:b/>
                      <w:bCs/>
                      <w:color w:val="auto"/>
                      <w:sz w:val="21"/>
                      <w:szCs w:val="21"/>
                    </w:rPr>
                  </w:pPr>
                  <w:r>
                    <w:rPr>
                      <w:rFonts w:hint="eastAsia"/>
                      <w:b/>
                      <w:bCs/>
                      <w:color w:val="auto"/>
                      <w:sz w:val="21"/>
                      <w:szCs w:val="21"/>
                      <w:lang w:val="en-US" w:eastAsia="zh-CN"/>
                    </w:rPr>
                    <w:t>执行标准</w:t>
                  </w:r>
                </w:p>
              </w:tc>
              <w:tc>
                <w:tcPr>
                  <w:tcW w:w="1028" w:type="dxa"/>
                  <w:noWrap w:val="0"/>
                  <w:vAlign w:val="center"/>
                </w:tcPr>
                <w:p w14:paraId="1CFF5CE7">
                  <w:pPr>
                    <w:spacing w:line="240" w:lineRule="auto"/>
                    <w:ind w:firstLine="0" w:firstLineChars="0"/>
                    <w:jc w:val="center"/>
                    <w:rPr>
                      <w:b/>
                      <w:bCs/>
                      <w:color w:val="auto"/>
                      <w:sz w:val="21"/>
                      <w:szCs w:val="21"/>
                    </w:rPr>
                  </w:pPr>
                  <w:r>
                    <w:rPr>
                      <w:rFonts w:hint="eastAsia"/>
                      <w:b/>
                      <w:bCs/>
                      <w:color w:val="auto"/>
                      <w:sz w:val="21"/>
                      <w:szCs w:val="21"/>
                    </w:rPr>
                    <w:t>制定依据</w:t>
                  </w:r>
                </w:p>
              </w:tc>
            </w:tr>
            <w:tr w14:paraId="30693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center"/>
                </w:tcPr>
                <w:p w14:paraId="44D2A87E">
                  <w:pPr>
                    <w:spacing w:line="240" w:lineRule="auto"/>
                    <w:ind w:firstLine="0" w:firstLineChars="0"/>
                    <w:jc w:val="center"/>
                    <w:rPr>
                      <w:rFonts w:hint="eastAsia"/>
                      <w:color w:val="auto"/>
                      <w:sz w:val="21"/>
                      <w:szCs w:val="21"/>
                    </w:rPr>
                  </w:pPr>
                  <w:r>
                    <w:rPr>
                      <w:rFonts w:hint="eastAsia"/>
                      <w:color w:val="auto"/>
                      <w:sz w:val="21"/>
                      <w:szCs w:val="21"/>
                    </w:rPr>
                    <w:t>1</w:t>
                  </w:r>
                </w:p>
              </w:tc>
              <w:tc>
                <w:tcPr>
                  <w:tcW w:w="796" w:type="dxa"/>
                  <w:vMerge w:val="restart"/>
                  <w:noWrap w:val="0"/>
                  <w:vAlign w:val="center"/>
                </w:tcPr>
                <w:p w14:paraId="45B03AF2">
                  <w:pPr>
                    <w:spacing w:line="240" w:lineRule="auto"/>
                    <w:ind w:firstLine="0" w:firstLineChars="0"/>
                    <w:jc w:val="center"/>
                    <w:rPr>
                      <w:color w:val="auto"/>
                      <w:sz w:val="21"/>
                      <w:szCs w:val="21"/>
                    </w:rPr>
                  </w:pPr>
                  <w:r>
                    <w:rPr>
                      <w:rFonts w:hint="eastAsia"/>
                      <w:color w:val="auto"/>
                      <w:sz w:val="21"/>
                      <w:szCs w:val="21"/>
                    </w:rPr>
                    <w:t>废气</w:t>
                  </w:r>
                </w:p>
              </w:tc>
              <w:tc>
                <w:tcPr>
                  <w:tcW w:w="1350" w:type="dxa"/>
                  <w:vMerge w:val="restart"/>
                  <w:noWrap w:val="0"/>
                  <w:vAlign w:val="center"/>
                </w:tcPr>
                <w:p w14:paraId="19FD7ED1">
                  <w:pPr>
                    <w:spacing w:line="240" w:lineRule="auto"/>
                    <w:ind w:firstLine="0" w:firstLineChars="0"/>
                    <w:jc w:val="center"/>
                    <w:rPr>
                      <w:rFonts w:hint="default" w:eastAsia="宋体"/>
                      <w:color w:val="auto"/>
                      <w:sz w:val="21"/>
                      <w:szCs w:val="21"/>
                      <w:lang w:val="en-US" w:eastAsia="zh-CN"/>
                    </w:rPr>
                  </w:pPr>
                  <w:r>
                    <w:rPr>
                      <w:rFonts w:hint="eastAsia"/>
                      <w:color w:val="auto"/>
                      <w:sz w:val="21"/>
                      <w:szCs w:val="21"/>
                    </w:rPr>
                    <w:t>DA00</w:t>
                  </w:r>
                  <w:r>
                    <w:rPr>
                      <w:rFonts w:hint="eastAsia"/>
                      <w:color w:val="auto"/>
                      <w:sz w:val="21"/>
                      <w:szCs w:val="21"/>
                      <w:lang w:val="en-US" w:eastAsia="zh-CN"/>
                    </w:rPr>
                    <w:t>1</w:t>
                  </w:r>
                </w:p>
              </w:tc>
              <w:tc>
                <w:tcPr>
                  <w:tcW w:w="1350" w:type="dxa"/>
                  <w:vMerge w:val="restart"/>
                  <w:noWrap w:val="0"/>
                  <w:vAlign w:val="center"/>
                </w:tcPr>
                <w:p w14:paraId="2EDAA376">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w:t>
                  </w:r>
                  <w:r>
                    <w:rPr>
                      <w:rFonts w:hint="eastAsia"/>
                      <w:color w:val="auto"/>
                      <w:sz w:val="21"/>
                      <w:szCs w:val="21"/>
                    </w:rPr>
                    <w:t>#排气筒排放口</w:t>
                  </w:r>
                </w:p>
              </w:tc>
              <w:tc>
                <w:tcPr>
                  <w:tcW w:w="1293" w:type="dxa"/>
                  <w:vMerge w:val="restart"/>
                  <w:noWrap w:val="0"/>
                  <w:vAlign w:val="center"/>
                </w:tcPr>
                <w:p w14:paraId="42167973">
                  <w:pPr>
                    <w:spacing w:line="240" w:lineRule="auto"/>
                    <w:ind w:firstLine="0" w:firstLineChars="0"/>
                    <w:jc w:val="center"/>
                    <w:rPr>
                      <w:color w:val="auto"/>
                      <w:sz w:val="21"/>
                      <w:szCs w:val="21"/>
                    </w:rPr>
                  </w:pPr>
                  <w:r>
                    <w:rPr>
                      <w:rFonts w:hint="eastAsia"/>
                      <w:color w:val="auto"/>
                      <w:sz w:val="21"/>
                      <w:szCs w:val="21"/>
                    </w:rPr>
                    <w:t>烟气流速、烟气温度、烟气量</w:t>
                  </w:r>
                </w:p>
              </w:tc>
              <w:tc>
                <w:tcPr>
                  <w:tcW w:w="1269" w:type="dxa"/>
                  <w:noWrap w:val="0"/>
                  <w:vAlign w:val="center"/>
                </w:tcPr>
                <w:p w14:paraId="67CE1D4A">
                  <w:pPr>
                    <w:spacing w:line="240" w:lineRule="auto"/>
                    <w:ind w:firstLine="0" w:firstLineChars="0"/>
                    <w:jc w:val="center"/>
                    <w:rPr>
                      <w:rFonts w:hint="eastAsia" w:eastAsia="宋体"/>
                      <w:b/>
                      <w:bCs/>
                      <w:color w:val="auto"/>
                      <w:sz w:val="21"/>
                      <w:szCs w:val="21"/>
                      <w:lang w:eastAsia="zh-CN"/>
                    </w:rPr>
                  </w:pPr>
                  <w:r>
                    <w:rPr>
                      <w:rFonts w:hint="eastAsia"/>
                      <w:color w:val="auto"/>
                      <w:sz w:val="21"/>
                      <w:szCs w:val="21"/>
                      <w:lang w:val="en-US" w:eastAsia="zh-CN"/>
                    </w:rPr>
                    <w:t>颗粒物</w:t>
                  </w:r>
                </w:p>
              </w:tc>
              <w:tc>
                <w:tcPr>
                  <w:tcW w:w="1062" w:type="dxa"/>
                  <w:noWrap w:val="0"/>
                  <w:vAlign w:val="center"/>
                </w:tcPr>
                <w:p w14:paraId="6EFE6A9C">
                  <w:pPr>
                    <w:spacing w:line="240" w:lineRule="auto"/>
                    <w:ind w:firstLine="0" w:firstLineChars="0"/>
                    <w:jc w:val="center"/>
                    <w:rPr>
                      <w:color w:val="auto"/>
                      <w:sz w:val="21"/>
                      <w:szCs w:val="21"/>
                    </w:rPr>
                  </w:pPr>
                  <w:r>
                    <w:rPr>
                      <w:rFonts w:hint="eastAsia"/>
                      <w:color w:val="auto"/>
                      <w:sz w:val="21"/>
                      <w:szCs w:val="21"/>
                    </w:rPr>
                    <w:t>手工</w:t>
                  </w:r>
                </w:p>
              </w:tc>
              <w:tc>
                <w:tcPr>
                  <w:tcW w:w="1419" w:type="dxa"/>
                  <w:noWrap w:val="0"/>
                  <w:vAlign w:val="center"/>
                </w:tcPr>
                <w:p w14:paraId="5CD5B8B1">
                  <w:pPr>
                    <w:spacing w:line="240" w:lineRule="auto"/>
                    <w:ind w:firstLine="0" w:firstLineChars="0"/>
                    <w:jc w:val="center"/>
                    <w:rPr>
                      <w:color w:val="auto"/>
                      <w:sz w:val="21"/>
                      <w:szCs w:val="21"/>
                    </w:rPr>
                  </w:pPr>
                  <w:r>
                    <w:rPr>
                      <w:color w:val="auto"/>
                      <w:kern w:val="0"/>
                      <w:sz w:val="21"/>
                      <w:szCs w:val="21"/>
                    </w:rPr>
                    <w:t>非连续采样至少3个</w:t>
                  </w:r>
                </w:p>
              </w:tc>
              <w:tc>
                <w:tcPr>
                  <w:tcW w:w="1108" w:type="dxa"/>
                  <w:noWrap w:val="0"/>
                  <w:vAlign w:val="center"/>
                </w:tcPr>
                <w:p w14:paraId="11768B9A">
                  <w:pPr>
                    <w:spacing w:line="240" w:lineRule="auto"/>
                    <w:ind w:firstLine="0" w:firstLineChars="0"/>
                    <w:jc w:val="center"/>
                    <w:rPr>
                      <w:color w:val="auto"/>
                      <w:sz w:val="21"/>
                      <w:szCs w:val="21"/>
                    </w:rPr>
                  </w:pPr>
                  <w:r>
                    <w:rPr>
                      <w:rFonts w:hint="eastAsia"/>
                      <w:color w:val="auto"/>
                      <w:sz w:val="21"/>
                      <w:szCs w:val="21"/>
                    </w:rPr>
                    <w:t>一次/年</w:t>
                  </w:r>
                </w:p>
              </w:tc>
              <w:tc>
                <w:tcPr>
                  <w:tcW w:w="1599" w:type="dxa"/>
                  <w:noWrap w:val="0"/>
                  <w:vAlign w:val="center"/>
                </w:tcPr>
                <w:p w14:paraId="7C043910">
                  <w:pPr>
                    <w:spacing w:line="240" w:lineRule="auto"/>
                    <w:ind w:firstLine="0" w:firstLineChars="0"/>
                    <w:jc w:val="center"/>
                    <w:rPr>
                      <w:rFonts w:hint="eastAsia"/>
                      <w:color w:val="auto"/>
                      <w:sz w:val="21"/>
                      <w:szCs w:val="21"/>
                    </w:rPr>
                  </w:pPr>
                  <w:r>
                    <w:rPr>
                      <w:rFonts w:hint="eastAsia"/>
                      <w:color w:val="auto"/>
                      <w:sz w:val="21"/>
                      <w:szCs w:val="21"/>
                    </w:rPr>
                    <w:fldChar w:fldCharType="begin"/>
                  </w:r>
                  <w:r>
                    <w:rPr>
                      <w:rFonts w:hint="eastAsia"/>
                      <w:color w:val="auto"/>
                      <w:sz w:val="21"/>
                      <w:szCs w:val="21"/>
                    </w:rPr>
                    <w:instrText xml:space="preserve"> HYPERLINK "https://www.mee.gov.cn/ywgz/fgbz/bz/bzwb/jcffbz/201801/W020180108584617605202.pdf" </w:instrText>
                  </w:r>
                  <w:r>
                    <w:rPr>
                      <w:rFonts w:hint="eastAsia"/>
                      <w:color w:val="auto"/>
                      <w:sz w:val="21"/>
                      <w:szCs w:val="21"/>
                    </w:rPr>
                    <w:fldChar w:fldCharType="separate"/>
                  </w:r>
                  <w:r>
                    <w:rPr>
                      <w:rFonts w:hint="eastAsia"/>
                      <w:color w:val="auto"/>
                      <w:sz w:val="21"/>
                      <w:szCs w:val="21"/>
                    </w:rPr>
                    <w:t>固定污染源废气 低浓度颗粒物的测定 重量法（HJ 836-2017）</w:t>
                  </w:r>
                  <w:r>
                    <w:rPr>
                      <w:rFonts w:hint="eastAsia"/>
                      <w:color w:val="auto"/>
                      <w:sz w:val="21"/>
                      <w:szCs w:val="21"/>
                    </w:rPr>
                    <w:fldChar w:fldCharType="end"/>
                  </w:r>
                </w:p>
              </w:tc>
              <w:tc>
                <w:tcPr>
                  <w:tcW w:w="1621" w:type="dxa"/>
                  <w:vMerge w:val="restart"/>
                  <w:noWrap w:val="0"/>
                  <w:vAlign w:val="center"/>
                </w:tcPr>
                <w:p w14:paraId="50C3223C">
                  <w:pPr>
                    <w:spacing w:line="240" w:lineRule="auto"/>
                    <w:ind w:firstLine="0" w:firstLineChars="0"/>
                    <w:jc w:val="center"/>
                    <w:rPr>
                      <w:rFonts w:hint="eastAsia" w:eastAsia="宋体"/>
                      <w:color w:val="auto"/>
                      <w:sz w:val="21"/>
                      <w:szCs w:val="21"/>
                      <w:lang w:eastAsia="zh-CN"/>
                    </w:rPr>
                  </w:pPr>
                  <w:r>
                    <w:rPr>
                      <w:rFonts w:hint="eastAsia"/>
                      <w:color w:val="auto"/>
                      <w:sz w:val="21"/>
                      <w:szCs w:val="21"/>
                      <w:lang w:val="en-US" w:eastAsia="zh-CN"/>
                    </w:rPr>
                    <w:t>安徽省《固定源挥发性有机物综合排放标准 第6部分 其他行业》（DB34/4812.6-2024）、</w:t>
                  </w:r>
                  <w:r>
                    <w:rPr>
                      <w:rFonts w:hint="eastAsia"/>
                      <w:color w:val="auto"/>
                      <w:sz w:val="21"/>
                      <w:szCs w:val="21"/>
                    </w:rPr>
                    <w:t>《恶臭污染物排放标准》</w:t>
                  </w:r>
                  <w:r>
                    <w:rPr>
                      <w:rFonts w:hint="eastAsia"/>
                      <w:color w:val="auto"/>
                      <w:sz w:val="21"/>
                      <w:szCs w:val="21"/>
                      <w:lang w:eastAsia="zh-CN"/>
                    </w:rPr>
                    <w:t>（</w:t>
                  </w:r>
                  <w:r>
                    <w:rPr>
                      <w:rFonts w:hint="eastAsia"/>
                      <w:color w:val="auto"/>
                      <w:sz w:val="21"/>
                      <w:szCs w:val="21"/>
                    </w:rPr>
                    <w:t>GB14554-93</w:t>
                  </w:r>
                  <w:r>
                    <w:rPr>
                      <w:rFonts w:hint="eastAsia"/>
                      <w:color w:val="auto"/>
                      <w:sz w:val="21"/>
                      <w:szCs w:val="21"/>
                      <w:lang w:eastAsia="zh-CN"/>
                    </w:rPr>
                    <w:t>）、</w:t>
                  </w:r>
                  <w:r>
                    <w:rPr>
                      <w:rFonts w:hint="eastAsia"/>
                      <w:color w:val="auto"/>
                      <w:sz w:val="21"/>
                      <w:szCs w:val="21"/>
                      <w:lang w:val="en-US" w:eastAsia="zh-CN"/>
                    </w:rPr>
                    <w:t>《大气污染物综合排放标准》（GB16297-1996）、《橡胶制品工业污染物排放标准》（GB27632-2011）</w:t>
                  </w:r>
                </w:p>
              </w:tc>
              <w:tc>
                <w:tcPr>
                  <w:tcW w:w="1028" w:type="dxa"/>
                  <w:vMerge w:val="restart"/>
                  <w:noWrap w:val="0"/>
                  <w:vAlign w:val="center"/>
                </w:tcPr>
                <w:p w14:paraId="496E67C0">
                  <w:pPr>
                    <w:spacing w:line="240" w:lineRule="auto"/>
                    <w:ind w:firstLine="0" w:firstLineChars="0"/>
                    <w:jc w:val="center"/>
                    <w:rPr>
                      <w:color w:val="auto"/>
                      <w:sz w:val="21"/>
                      <w:szCs w:val="21"/>
                    </w:rPr>
                  </w:pPr>
                  <w:r>
                    <w:rPr>
                      <w:rFonts w:hint="eastAsia"/>
                      <w:color w:val="auto"/>
                      <w:sz w:val="21"/>
                      <w:szCs w:val="21"/>
                    </w:rPr>
                    <w:t>《排污许可证申请与核发技术规范橡胶和塑料制品工业》</w:t>
                  </w:r>
                  <w:r>
                    <w:rPr>
                      <w:rFonts w:hint="eastAsia"/>
                      <w:color w:val="auto"/>
                      <w:sz w:val="21"/>
                      <w:szCs w:val="21"/>
                      <w:lang w:eastAsia="zh-CN"/>
                    </w:rPr>
                    <w:t>（</w:t>
                  </w:r>
                  <w:r>
                    <w:rPr>
                      <w:rFonts w:hint="eastAsia"/>
                      <w:color w:val="auto"/>
                      <w:sz w:val="21"/>
                      <w:szCs w:val="21"/>
                    </w:rPr>
                    <w:t>HJ1122-2020</w:t>
                  </w:r>
                  <w:r>
                    <w:rPr>
                      <w:rFonts w:hint="eastAsia"/>
                      <w:color w:val="auto"/>
                      <w:sz w:val="21"/>
                      <w:szCs w:val="21"/>
                      <w:lang w:eastAsia="zh-CN"/>
                    </w:rPr>
                    <w:t>）</w:t>
                  </w:r>
                  <w:r>
                    <w:rPr>
                      <w:rFonts w:hint="eastAsia"/>
                      <w:color w:val="auto"/>
                      <w:sz w:val="21"/>
                      <w:szCs w:val="21"/>
                    </w:rPr>
                    <w:t>、《排污单位自行监测技术指南橡胶和塑料制品》(HJ1207-2021)</w:t>
                  </w:r>
                </w:p>
              </w:tc>
            </w:tr>
            <w:tr w14:paraId="17375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center"/>
                </w:tcPr>
                <w:p w14:paraId="3C60EEE4">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2</w:t>
                  </w:r>
                </w:p>
              </w:tc>
              <w:tc>
                <w:tcPr>
                  <w:tcW w:w="796" w:type="dxa"/>
                  <w:vMerge w:val="continue"/>
                  <w:noWrap w:val="0"/>
                  <w:vAlign w:val="center"/>
                </w:tcPr>
                <w:p w14:paraId="720C50C4">
                  <w:pPr>
                    <w:spacing w:line="240" w:lineRule="auto"/>
                    <w:ind w:firstLine="0" w:firstLineChars="0"/>
                    <w:jc w:val="center"/>
                    <w:rPr>
                      <w:rFonts w:hint="eastAsia"/>
                      <w:color w:val="auto"/>
                      <w:sz w:val="21"/>
                      <w:szCs w:val="21"/>
                    </w:rPr>
                  </w:pPr>
                </w:p>
              </w:tc>
              <w:tc>
                <w:tcPr>
                  <w:tcW w:w="1350" w:type="dxa"/>
                  <w:vMerge w:val="continue"/>
                  <w:noWrap w:val="0"/>
                  <w:vAlign w:val="center"/>
                </w:tcPr>
                <w:p w14:paraId="36CD4F41">
                  <w:pPr>
                    <w:spacing w:line="240" w:lineRule="auto"/>
                    <w:ind w:firstLine="0" w:firstLineChars="0"/>
                    <w:jc w:val="center"/>
                    <w:rPr>
                      <w:rFonts w:hint="eastAsia"/>
                      <w:color w:val="auto"/>
                      <w:sz w:val="21"/>
                      <w:szCs w:val="21"/>
                    </w:rPr>
                  </w:pPr>
                </w:p>
              </w:tc>
              <w:tc>
                <w:tcPr>
                  <w:tcW w:w="1350" w:type="dxa"/>
                  <w:vMerge w:val="continue"/>
                  <w:noWrap w:val="0"/>
                  <w:vAlign w:val="center"/>
                </w:tcPr>
                <w:p w14:paraId="001DC21A">
                  <w:pPr>
                    <w:spacing w:line="240" w:lineRule="auto"/>
                    <w:ind w:firstLine="0" w:firstLineChars="0"/>
                    <w:jc w:val="center"/>
                    <w:rPr>
                      <w:rFonts w:hint="eastAsia"/>
                      <w:color w:val="auto"/>
                      <w:sz w:val="21"/>
                      <w:szCs w:val="21"/>
                      <w:lang w:val="en-US" w:eastAsia="zh-CN"/>
                    </w:rPr>
                  </w:pPr>
                </w:p>
              </w:tc>
              <w:tc>
                <w:tcPr>
                  <w:tcW w:w="1293" w:type="dxa"/>
                  <w:vMerge w:val="continue"/>
                  <w:noWrap w:val="0"/>
                  <w:vAlign w:val="center"/>
                </w:tcPr>
                <w:p w14:paraId="4BE4C2C2">
                  <w:pPr>
                    <w:spacing w:line="240" w:lineRule="auto"/>
                    <w:ind w:firstLine="0" w:firstLineChars="0"/>
                    <w:jc w:val="center"/>
                    <w:rPr>
                      <w:rFonts w:hint="eastAsia"/>
                      <w:color w:val="auto"/>
                      <w:sz w:val="21"/>
                      <w:szCs w:val="21"/>
                    </w:rPr>
                  </w:pPr>
                </w:p>
              </w:tc>
              <w:tc>
                <w:tcPr>
                  <w:tcW w:w="1269" w:type="dxa"/>
                  <w:shd w:val="clear" w:color="auto" w:fill="auto"/>
                  <w:noWrap w:val="0"/>
                  <w:vAlign w:val="center"/>
                </w:tcPr>
                <w:p w14:paraId="0B57A151">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非甲烷总烃</w:t>
                  </w:r>
                </w:p>
              </w:tc>
              <w:tc>
                <w:tcPr>
                  <w:tcW w:w="1062" w:type="dxa"/>
                  <w:shd w:val="clear" w:color="auto" w:fill="auto"/>
                  <w:noWrap w:val="0"/>
                  <w:vAlign w:val="center"/>
                </w:tcPr>
                <w:p w14:paraId="5C72AA8F">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手工</w:t>
                  </w:r>
                </w:p>
              </w:tc>
              <w:tc>
                <w:tcPr>
                  <w:tcW w:w="1419" w:type="dxa"/>
                  <w:shd w:val="clear" w:color="auto" w:fill="auto"/>
                  <w:noWrap w:val="0"/>
                  <w:vAlign w:val="center"/>
                </w:tcPr>
                <w:p w14:paraId="7FA164FD">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color w:val="auto"/>
                      <w:kern w:val="0"/>
                      <w:sz w:val="21"/>
                      <w:szCs w:val="21"/>
                    </w:rPr>
                    <w:t>非连续采样至少3个</w:t>
                  </w:r>
                </w:p>
              </w:tc>
              <w:tc>
                <w:tcPr>
                  <w:tcW w:w="1108" w:type="dxa"/>
                  <w:noWrap w:val="0"/>
                  <w:vAlign w:val="center"/>
                </w:tcPr>
                <w:p w14:paraId="66707A0F">
                  <w:pPr>
                    <w:spacing w:line="240" w:lineRule="auto"/>
                    <w:ind w:firstLine="0" w:firstLineChars="0"/>
                    <w:jc w:val="center"/>
                    <w:rPr>
                      <w:rFonts w:hint="eastAsia"/>
                      <w:color w:val="auto"/>
                      <w:sz w:val="21"/>
                      <w:szCs w:val="21"/>
                    </w:rPr>
                  </w:pPr>
                  <w:r>
                    <w:rPr>
                      <w:rFonts w:hint="eastAsia"/>
                      <w:color w:val="auto"/>
                      <w:sz w:val="21"/>
                      <w:szCs w:val="21"/>
                    </w:rPr>
                    <w:t>一次/</w:t>
                  </w:r>
                  <w:r>
                    <w:rPr>
                      <w:rFonts w:hint="eastAsia"/>
                      <w:color w:val="auto"/>
                      <w:sz w:val="21"/>
                      <w:szCs w:val="21"/>
                      <w:lang w:val="en-US" w:eastAsia="zh-CN"/>
                    </w:rPr>
                    <w:t>半</w:t>
                  </w:r>
                  <w:r>
                    <w:rPr>
                      <w:rFonts w:hint="eastAsia"/>
                      <w:color w:val="auto"/>
                      <w:sz w:val="21"/>
                      <w:szCs w:val="21"/>
                    </w:rPr>
                    <w:t>年</w:t>
                  </w:r>
                </w:p>
              </w:tc>
              <w:tc>
                <w:tcPr>
                  <w:tcW w:w="1599" w:type="dxa"/>
                  <w:noWrap w:val="0"/>
                  <w:vAlign w:val="center"/>
                </w:tcPr>
                <w:p w14:paraId="74F416D8">
                  <w:pPr>
                    <w:spacing w:line="240" w:lineRule="auto"/>
                    <w:ind w:firstLine="0" w:firstLineChars="0"/>
                    <w:jc w:val="center"/>
                    <w:rPr>
                      <w:rFonts w:hint="eastAsia"/>
                      <w:color w:val="auto"/>
                      <w:sz w:val="21"/>
                      <w:szCs w:val="21"/>
                    </w:rPr>
                  </w:pPr>
                  <w:r>
                    <w:rPr>
                      <w:rFonts w:hint="eastAsia"/>
                      <w:color w:val="auto"/>
                      <w:sz w:val="21"/>
                      <w:szCs w:val="21"/>
                    </w:rPr>
                    <w:t>《</w:t>
                  </w:r>
                  <w:r>
                    <w:rPr>
                      <w:color w:val="auto"/>
                      <w:sz w:val="21"/>
                      <w:szCs w:val="21"/>
                    </w:rPr>
                    <w:t>固定污染源排气中</w:t>
                  </w:r>
                  <w:r>
                    <w:rPr>
                      <w:rFonts w:hint="eastAsia"/>
                      <w:color w:val="auto"/>
                      <w:sz w:val="21"/>
                      <w:szCs w:val="21"/>
                    </w:rPr>
                    <w:t>非甲烷总烃的测定》</w:t>
                  </w:r>
                  <w:r>
                    <w:rPr>
                      <w:color w:val="auto"/>
                      <w:sz w:val="21"/>
                      <w:szCs w:val="21"/>
                    </w:rPr>
                    <w:t>（</w:t>
                  </w:r>
                  <w:r>
                    <w:rPr>
                      <w:rFonts w:hint="eastAsia"/>
                      <w:color w:val="auto"/>
                      <w:sz w:val="21"/>
                      <w:szCs w:val="21"/>
                    </w:rPr>
                    <w:t>HJ/T38</w:t>
                  </w:r>
                  <w:r>
                    <w:rPr>
                      <w:color w:val="auto"/>
                      <w:sz w:val="21"/>
                      <w:szCs w:val="21"/>
                    </w:rPr>
                    <w:t>）</w:t>
                  </w:r>
                </w:p>
              </w:tc>
              <w:tc>
                <w:tcPr>
                  <w:tcW w:w="1621" w:type="dxa"/>
                  <w:vMerge w:val="continue"/>
                  <w:noWrap w:val="0"/>
                  <w:vAlign w:val="center"/>
                </w:tcPr>
                <w:p w14:paraId="788545C3">
                  <w:pPr>
                    <w:spacing w:line="240" w:lineRule="auto"/>
                    <w:ind w:firstLine="0" w:firstLineChars="0"/>
                    <w:jc w:val="center"/>
                    <w:rPr>
                      <w:rFonts w:hint="eastAsia"/>
                      <w:color w:val="auto"/>
                      <w:sz w:val="21"/>
                      <w:szCs w:val="21"/>
                    </w:rPr>
                  </w:pPr>
                </w:p>
              </w:tc>
              <w:tc>
                <w:tcPr>
                  <w:tcW w:w="1028" w:type="dxa"/>
                  <w:vMerge w:val="continue"/>
                  <w:noWrap w:val="0"/>
                  <w:vAlign w:val="center"/>
                </w:tcPr>
                <w:p w14:paraId="194535D3">
                  <w:pPr>
                    <w:spacing w:line="240" w:lineRule="auto"/>
                    <w:ind w:firstLine="0" w:firstLineChars="0"/>
                    <w:jc w:val="center"/>
                    <w:rPr>
                      <w:rFonts w:hint="eastAsia"/>
                      <w:color w:val="auto"/>
                      <w:sz w:val="21"/>
                      <w:szCs w:val="21"/>
                    </w:rPr>
                  </w:pPr>
                </w:p>
              </w:tc>
            </w:tr>
            <w:tr w14:paraId="71E43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center"/>
                </w:tcPr>
                <w:p w14:paraId="354D04EA">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3</w:t>
                  </w:r>
                </w:p>
              </w:tc>
              <w:tc>
                <w:tcPr>
                  <w:tcW w:w="796" w:type="dxa"/>
                  <w:vMerge w:val="continue"/>
                  <w:noWrap w:val="0"/>
                  <w:vAlign w:val="center"/>
                </w:tcPr>
                <w:p w14:paraId="662D91F4">
                  <w:pPr>
                    <w:spacing w:line="240" w:lineRule="auto"/>
                    <w:ind w:firstLine="0" w:firstLineChars="0"/>
                    <w:jc w:val="center"/>
                    <w:rPr>
                      <w:rFonts w:hint="eastAsia"/>
                      <w:color w:val="auto"/>
                      <w:sz w:val="21"/>
                      <w:szCs w:val="21"/>
                    </w:rPr>
                  </w:pPr>
                </w:p>
              </w:tc>
              <w:tc>
                <w:tcPr>
                  <w:tcW w:w="1350" w:type="dxa"/>
                  <w:vMerge w:val="continue"/>
                  <w:noWrap w:val="0"/>
                  <w:vAlign w:val="center"/>
                </w:tcPr>
                <w:p w14:paraId="61279D34">
                  <w:pPr>
                    <w:spacing w:line="240" w:lineRule="auto"/>
                    <w:ind w:firstLine="0" w:firstLineChars="0"/>
                    <w:jc w:val="center"/>
                    <w:rPr>
                      <w:rFonts w:hint="eastAsia"/>
                      <w:color w:val="auto"/>
                      <w:sz w:val="21"/>
                      <w:szCs w:val="21"/>
                    </w:rPr>
                  </w:pPr>
                </w:p>
              </w:tc>
              <w:tc>
                <w:tcPr>
                  <w:tcW w:w="1350" w:type="dxa"/>
                  <w:vMerge w:val="continue"/>
                  <w:noWrap w:val="0"/>
                  <w:vAlign w:val="center"/>
                </w:tcPr>
                <w:p w14:paraId="2A5A9AFB">
                  <w:pPr>
                    <w:spacing w:line="240" w:lineRule="auto"/>
                    <w:ind w:firstLine="0" w:firstLineChars="0"/>
                    <w:jc w:val="center"/>
                    <w:rPr>
                      <w:rFonts w:hint="eastAsia"/>
                      <w:color w:val="auto"/>
                      <w:sz w:val="21"/>
                      <w:szCs w:val="21"/>
                      <w:lang w:val="en-US" w:eastAsia="zh-CN"/>
                    </w:rPr>
                  </w:pPr>
                </w:p>
              </w:tc>
              <w:tc>
                <w:tcPr>
                  <w:tcW w:w="1293" w:type="dxa"/>
                  <w:vMerge w:val="continue"/>
                  <w:noWrap w:val="0"/>
                  <w:vAlign w:val="center"/>
                </w:tcPr>
                <w:p w14:paraId="4E0F3EBF">
                  <w:pPr>
                    <w:spacing w:line="240" w:lineRule="auto"/>
                    <w:ind w:firstLine="0" w:firstLineChars="0"/>
                    <w:jc w:val="center"/>
                    <w:rPr>
                      <w:rFonts w:hint="eastAsia"/>
                      <w:color w:val="auto"/>
                      <w:sz w:val="21"/>
                      <w:szCs w:val="21"/>
                    </w:rPr>
                  </w:pPr>
                </w:p>
              </w:tc>
              <w:tc>
                <w:tcPr>
                  <w:tcW w:w="1269" w:type="dxa"/>
                  <w:shd w:val="clear" w:color="auto" w:fill="auto"/>
                  <w:noWrap w:val="0"/>
                  <w:vAlign w:val="center"/>
                </w:tcPr>
                <w:p w14:paraId="53876805">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臭气浓度</w:t>
                  </w:r>
                </w:p>
              </w:tc>
              <w:tc>
                <w:tcPr>
                  <w:tcW w:w="1062" w:type="dxa"/>
                  <w:shd w:val="clear" w:color="auto" w:fill="auto"/>
                  <w:noWrap w:val="0"/>
                  <w:vAlign w:val="center"/>
                </w:tcPr>
                <w:p w14:paraId="59B7FFF4">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手工</w:t>
                  </w:r>
                </w:p>
              </w:tc>
              <w:tc>
                <w:tcPr>
                  <w:tcW w:w="1419" w:type="dxa"/>
                  <w:shd w:val="clear" w:color="auto" w:fill="auto"/>
                  <w:noWrap w:val="0"/>
                  <w:vAlign w:val="center"/>
                </w:tcPr>
                <w:p w14:paraId="078B23AC">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color w:val="auto"/>
                      <w:kern w:val="0"/>
                      <w:sz w:val="21"/>
                      <w:szCs w:val="21"/>
                    </w:rPr>
                    <w:t>非连续采样至少3个</w:t>
                  </w:r>
                </w:p>
              </w:tc>
              <w:tc>
                <w:tcPr>
                  <w:tcW w:w="1108" w:type="dxa"/>
                  <w:noWrap w:val="0"/>
                  <w:vAlign w:val="center"/>
                </w:tcPr>
                <w:p w14:paraId="724BBDD3">
                  <w:pPr>
                    <w:spacing w:line="240" w:lineRule="auto"/>
                    <w:ind w:firstLine="0" w:firstLineChars="0"/>
                    <w:jc w:val="center"/>
                    <w:rPr>
                      <w:rFonts w:hint="eastAsia"/>
                      <w:color w:val="auto"/>
                      <w:sz w:val="21"/>
                      <w:szCs w:val="21"/>
                    </w:rPr>
                  </w:pPr>
                  <w:r>
                    <w:rPr>
                      <w:rFonts w:hint="eastAsia"/>
                      <w:color w:val="auto"/>
                      <w:sz w:val="21"/>
                      <w:szCs w:val="21"/>
                    </w:rPr>
                    <w:t>一次/年</w:t>
                  </w:r>
                </w:p>
              </w:tc>
              <w:tc>
                <w:tcPr>
                  <w:tcW w:w="1599" w:type="dxa"/>
                  <w:noWrap w:val="0"/>
                  <w:vAlign w:val="center"/>
                </w:tcPr>
                <w:p w14:paraId="291D0396">
                  <w:pPr>
                    <w:spacing w:line="240" w:lineRule="auto"/>
                    <w:ind w:firstLine="0" w:firstLineChars="0"/>
                    <w:jc w:val="center"/>
                    <w:rPr>
                      <w:rFonts w:hint="eastAsia" w:eastAsia="宋体"/>
                      <w:color w:val="auto"/>
                      <w:sz w:val="21"/>
                      <w:szCs w:val="21"/>
                      <w:lang w:eastAsia="zh-CN"/>
                    </w:rPr>
                  </w:pPr>
                  <w:r>
                    <w:rPr>
                      <w:rFonts w:hint="eastAsia" w:eastAsia="宋体"/>
                      <w:color w:val="auto"/>
                      <w:sz w:val="21"/>
                      <w:szCs w:val="21"/>
                      <w:lang w:eastAsia="zh-CN"/>
                    </w:rPr>
                    <w:fldChar w:fldCharType="begin"/>
                  </w:r>
                  <w:r>
                    <w:rPr>
                      <w:rFonts w:hint="eastAsia" w:eastAsia="宋体"/>
                      <w:color w:val="auto"/>
                      <w:sz w:val="21"/>
                      <w:szCs w:val="21"/>
                      <w:lang w:eastAsia="zh-CN"/>
                    </w:rPr>
                    <w:instrText xml:space="preserve"> HYPERLINK "https://www.mee.gov.cn/ywgz/fgbz/bz/bzwb/jcffbz/202209/W020220922551201899953.pdf" </w:instrText>
                  </w:r>
                  <w:r>
                    <w:rPr>
                      <w:rFonts w:hint="eastAsia" w:eastAsia="宋体"/>
                      <w:color w:val="auto"/>
                      <w:sz w:val="21"/>
                      <w:szCs w:val="21"/>
                      <w:lang w:eastAsia="zh-CN"/>
                    </w:rPr>
                    <w:fldChar w:fldCharType="separate"/>
                  </w:r>
                  <w:r>
                    <w:rPr>
                      <w:rFonts w:hint="eastAsia" w:eastAsia="宋体"/>
                      <w:color w:val="auto"/>
                      <w:sz w:val="21"/>
                      <w:szCs w:val="21"/>
                      <w:lang w:eastAsia="zh-CN"/>
                    </w:rPr>
                    <w:t>环境空气和废气 臭气的测定 三点比较式臭袋法（HJ 1262—2022）</w:t>
                  </w:r>
                  <w:r>
                    <w:rPr>
                      <w:rFonts w:hint="eastAsia" w:eastAsia="宋体"/>
                      <w:color w:val="auto"/>
                      <w:sz w:val="21"/>
                      <w:szCs w:val="21"/>
                      <w:lang w:eastAsia="zh-CN"/>
                    </w:rPr>
                    <w:fldChar w:fldCharType="end"/>
                  </w:r>
                </w:p>
              </w:tc>
              <w:tc>
                <w:tcPr>
                  <w:tcW w:w="1621" w:type="dxa"/>
                  <w:vMerge w:val="continue"/>
                  <w:noWrap w:val="0"/>
                  <w:vAlign w:val="center"/>
                </w:tcPr>
                <w:p w14:paraId="5512104F">
                  <w:pPr>
                    <w:spacing w:line="240" w:lineRule="auto"/>
                    <w:ind w:firstLine="0" w:firstLineChars="0"/>
                    <w:jc w:val="center"/>
                    <w:rPr>
                      <w:rFonts w:hint="eastAsia"/>
                      <w:color w:val="auto"/>
                      <w:sz w:val="21"/>
                      <w:szCs w:val="21"/>
                    </w:rPr>
                  </w:pPr>
                </w:p>
              </w:tc>
              <w:tc>
                <w:tcPr>
                  <w:tcW w:w="1028" w:type="dxa"/>
                  <w:vMerge w:val="continue"/>
                  <w:noWrap w:val="0"/>
                  <w:vAlign w:val="center"/>
                </w:tcPr>
                <w:p w14:paraId="334E261F">
                  <w:pPr>
                    <w:spacing w:line="240" w:lineRule="auto"/>
                    <w:ind w:firstLine="0" w:firstLineChars="0"/>
                    <w:jc w:val="center"/>
                    <w:rPr>
                      <w:rFonts w:hint="eastAsia"/>
                      <w:color w:val="auto"/>
                      <w:sz w:val="21"/>
                      <w:szCs w:val="21"/>
                    </w:rPr>
                  </w:pPr>
                </w:p>
              </w:tc>
            </w:tr>
            <w:tr w14:paraId="55650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center"/>
                </w:tcPr>
                <w:p w14:paraId="656545EE">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4</w:t>
                  </w:r>
                </w:p>
              </w:tc>
              <w:tc>
                <w:tcPr>
                  <w:tcW w:w="796" w:type="dxa"/>
                  <w:vMerge w:val="continue"/>
                  <w:noWrap w:val="0"/>
                  <w:vAlign w:val="center"/>
                </w:tcPr>
                <w:p w14:paraId="0BEE6973">
                  <w:pPr>
                    <w:spacing w:line="240" w:lineRule="auto"/>
                    <w:ind w:firstLine="0" w:firstLineChars="0"/>
                    <w:jc w:val="center"/>
                    <w:rPr>
                      <w:color w:val="auto"/>
                      <w:sz w:val="21"/>
                      <w:szCs w:val="21"/>
                    </w:rPr>
                  </w:pPr>
                </w:p>
              </w:tc>
              <w:tc>
                <w:tcPr>
                  <w:tcW w:w="1350" w:type="dxa"/>
                  <w:noWrap w:val="0"/>
                  <w:vAlign w:val="center"/>
                </w:tcPr>
                <w:p w14:paraId="3FA9E7C7">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DA00</w:t>
                  </w:r>
                  <w:r>
                    <w:rPr>
                      <w:rFonts w:hint="eastAsia"/>
                      <w:color w:val="auto"/>
                      <w:sz w:val="21"/>
                      <w:szCs w:val="21"/>
                      <w:lang w:val="en-US" w:eastAsia="zh-CN"/>
                    </w:rPr>
                    <w:t>2</w:t>
                  </w:r>
                </w:p>
              </w:tc>
              <w:tc>
                <w:tcPr>
                  <w:tcW w:w="1350" w:type="dxa"/>
                  <w:noWrap w:val="0"/>
                  <w:vAlign w:val="center"/>
                </w:tcPr>
                <w:p w14:paraId="06D9A94B">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w:t>
                  </w:r>
                  <w:r>
                    <w:rPr>
                      <w:rFonts w:hint="eastAsia"/>
                      <w:color w:val="auto"/>
                      <w:sz w:val="21"/>
                      <w:szCs w:val="21"/>
                    </w:rPr>
                    <w:t>#排气筒排放口</w:t>
                  </w:r>
                </w:p>
              </w:tc>
              <w:tc>
                <w:tcPr>
                  <w:tcW w:w="1293" w:type="dxa"/>
                  <w:vMerge w:val="continue"/>
                  <w:noWrap w:val="0"/>
                  <w:vAlign w:val="center"/>
                </w:tcPr>
                <w:p w14:paraId="1CF42695">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p>
              </w:tc>
              <w:tc>
                <w:tcPr>
                  <w:tcW w:w="1269" w:type="dxa"/>
                  <w:shd w:val="clear" w:color="auto" w:fill="auto"/>
                  <w:noWrap w:val="0"/>
                  <w:vAlign w:val="center"/>
                </w:tcPr>
                <w:p w14:paraId="522B1EBB">
                  <w:pPr>
                    <w:spacing w:line="240" w:lineRule="auto"/>
                    <w:ind w:firstLine="0" w:firstLineChars="0"/>
                    <w:jc w:val="center"/>
                    <w:rPr>
                      <w:rFonts w:hint="eastAsia" w:ascii="Times New Roman" w:hAnsi="Times New Roman" w:eastAsia="宋体" w:cs="Times New Roman"/>
                      <w:b/>
                      <w:bCs/>
                      <w:color w:val="auto"/>
                      <w:kern w:val="2"/>
                      <w:sz w:val="21"/>
                      <w:szCs w:val="21"/>
                      <w:lang w:val="en-US" w:eastAsia="zh-CN" w:bidi="ar-SA"/>
                    </w:rPr>
                  </w:pPr>
                  <w:r>
                    <w:rPr>
                      <w:rFonts w:hint="eastAsia"/>
                      <w:color w:val="auto"/>
                      <w:sz w:val="21"/>
                      <w:szCs w:val="21"/>
                      <w:lang w:val="en-US" w:eastAsia="zh-CN"/>
                    </w:rPr>
                    <w:t>颗粒物</w:t>
                  </w:r>
                </w:p>
              </w:tc>
              <w:tc>
                <w:tcPr>
                  <w:tcW w:w="1062" w:type="dxa"/>
                  <w:shd w:val="clear" w:color="auto" w:fill="auto"/>
                  <w:noWrap w:val="0"/>
                  <w:vAlign w:val="center"/>
                </w:tcPr>
                <w:p w14:paraId="5ADD6CAF">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手工</w:t>
                  </w:r>
                </w:p>
              </w:tc>
              <w:tc>
                <w:tcPr>
                  <w:tcW w:w="1419" w:type="dxa"/>
                  <w:shd w:val="clear" w:color="auto" w:fill="auto"/>
                  <w:noWrap w:val="0"/>
                  <w:vAlign w:val="center"/>
                </w:tcPr>
                <w:p w14:paraId="3762EAA1">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color w:val="auto"/>
                      <w:kern w:val="0"/>
                      <w:sz w:val="21"/>
                      <w:szCs w:val="21"/>
                    </w:rPr>
                    <w:t>非连续采样至少3个</w:t>
                  </w:r>
                </w:p>
              </w:tc>
              <w:tc>
                <w:tcPr>
                  <w:tcW w:w="1108" w:type="dxa"/>
                  <w:shd w:val="clear" w:color="auto" w:fill="auto"/>
                  <w:noWrap w:val="0"/>
                  <w:vAlign w:val="center"/>
                </w:tcPr>
                <w:p w14:paraId="44AEB9F4">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一次/年</w:t>
                  </w:r>
                </w:p>
              </w:tc>
              <w:tc>
                <w:tcPr>
                  <w:tcW w:w="1599" w:type="dxa"/>
                  <w:noWrap w:val="0"/>
                  <w:vAlign w:val="center"/>
                </w:tcPr>
                <w:p w14:paraId="177A668A">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fldChar w:fldCharType="begin"/>
                  </w:r>
                  <w:r>
                    <w:rPr>
                      <w:rFonts w:hint="eastAsia"/>
                      <w:color w:val="auto"/>
                      <w:sz w:val="21"/>
                      <w:szCs w:val="21"/>
                    </w:rPr>
                    <w:instrText xml:space="preserve"> HYPERLINK "https://www.mee.gov.cn/ywgz/fgbz/bz/bzwb/jcffbz/201801/W020180108584617605202.pdf" </w:instrText>
                  </w:r>
                  <w:r>
                    <w:rPr>
                      <w:rFonts w:hint="eastAsia"/>
                      <w:color w:val="auto"/>
                      <w:sz w:val="21"/>
                      <w:szCs w:val="21"/>
                    </w:rPr>
                    <w:fldChar w:fldCharType="separate"/>
                  </w:r>
                  <w:r>
                    <w:rPr>
                      <w:rFonts w:hint="eastAsia"/>
                      <w:color w:val="auto"/>
                      <w:sz w:val="21"/>
                      <w:szCs w:val="21"/>
                    </w:rPr>
                    <w:t>固定污染源废气 低浓度颗粒物的测定 重量法（HJ 836-2017）</w:t>
                  </w:r>
                  <w:r>
                    <w:rPr>
                      <w:rFonts w:hint="eastAsia"/>
                      <w:color w:val="auto"/>
                      <w:sz w:val="21"/>
                      <w:szCs w:val="21"/>
                    </w:rPr>
                    <w:fldChar w:fldCharType="end"/>
                  </w:r>
                </w:p>
              </w:tc>
              <w:tc>
                <w:tcPr>
                  <w:tcW w:w="1621" w:type="dxa"/>
                  <w:vMerge w:val="continue"/>
                  <w:noWrap w:val="0"/>
                  <w:vAlign w:val="center"/>
                </w:tcPr>
                <w:p w14:paraId="19445AC4">
                  <w:pPr>
                    <w:spacing w:line="240" w:lineRule="auto"/>
                    <w:ind w:firstLine="0" w:firstLineChars="0"/>
                    <w:jc w:val="center"/>
                    <w:rPr>
                      <w:rFonts w:hint="eastAsia"/>
                      <w:color w:val="auto"/>
                      <w:sz w:val="21"/>
                      <w:szCs w:val="21"/>
                    </w:rPr>
                  </w:pPr>
                </w:p>
              </w:tc>
              <w:tc>
                <w:tcPr>
                  <w:tcW w:w="1028" w:type="dxa"/>
                  <w:vMerge w:val="continue"/>
                  <w:noWrap w:val="0"/>
                  <w:vAlign w:val="center"/>
                </w:tcPr>
                <w:p w14:paraId="05081217">
                  <w:pPr>
                    <w:spacing w:line="240" w:lineRule="auto"/>
                    <w:ind w:firstLine="0" w:firstLineChars="0"/>
                    <w:jc w:val="center"/>
                    <w:rPr>
                      <w:color w:val="auto"/>
                      <w:sz w:val="21"/>
                      <w:szCs w:val="21"/>
                    </w:rPr>
                  </w:pPr>
                </w:p>
              </w:tc>
            </w:tr>
            <w:tr w14:paraId="4C19B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657" w:type="dxa"/>
                  <w:noWrap w:val="0"/>
                  <w:vAlign w:val="center"/>
                </w:tcPr>
                <w:p w14:paraId="7BE108A9">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5</w:t>
                  </w:r>
                </w:p>
              </w:tc>
              <w:tc>
                <w:tcPr>
                  <w:tcW w:w="796" w:type="dxa"/>
                  <w:vMerge w:val="continue"/>
                  <w:noWrap w:val="0"/>
                  <w:vAlign w:val="center"/>
                </w:tcPr>
                <w:p w14:paraId="4B01EC20">
                  <w:pPr>
                    <w:spacing w:line="240" w:lineRule="auto"/>
                    <w:ind w:firstLine="0" w:firstLineChars="0"/>
                    <w:jc w:val="center"/>
                    <w:rPr>
                      <w:color w:val="auto"/>
                      <w:sz w:val="21"/>
                      <w:szCs w:val="21"/>
                    </w:rPr>
                  </w:pPr>
                </w:p>
              </w:tc>
              <w:tc>
                <w:tcPr>
                  <w:tcW w:w="1350" w:type="dxa"/>
                  <w:vMerge w:val="restart"/>
                  <w:noWrap w:val="0"/>
                  <w:vAlign w:val="center"/>
                </w:tcPr>
                <w:p w14:paraId="5A2B6540">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DA003</w:t>
                  </w:r>
                </w:p>
              </w:tc>
              <w:tc>
                <w:tcPr>
                  <w:tcW w:w="1350" w:type="dxa"/>
                  <w:vMerge w:val="restart"/>
                  <w:noWrap w:val="0"/>
                  <w:vAlign w:val="center"/>
                </w:tcPr>
                <w:p w14:paraId="23AC9DA6">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w:t>
                  </w:r>
                  <w:r>
                    <w:rPr>
                      <w:rFonts w:hint="eastAsia"/>
                      <w:color w:val="auto"/>
                      <w:sz w:val="21"/>
                      <w:szCs w:val="21"/>
                    </w:rPr>
                    <w:t>#排气筒排放口</w:t>
                  </w:r>
                </w:p>
              </w:tc>
              <w:tc>
                <w:tcPr>
                  <w:tcW w:w="1293" w:type="dxa"/>
                  <w:vMerge w:val="continue"/>
                  <w:noWrap w:val="0"/>
                  <w:vAlign w:val="center"/>
                </w:tcPr>
                <w:p w14:paraId="3AFA4FB1">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p>
              </w:tc>
              <w:tc>
                <w:tcPr>
                  <w:tcW w:w="1269" w:type="dxa"/>
                  <w:shd w:val="clear" w:color="auto" w:fill="auto"/>
                  <w:noWrap w:val="0"/>
                  <w:vAlign w:val="center"/>
                </w:tcPr>
                <w:p w14:paraId="64C19B1D">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非甲烷总烃</w:t>
                  </w:r>
                </w:p>
              </w:tc>
              <w:tc>
                <w:tcPr>
                  <w:tcW w:w="1062" w:type="dxa"/>
                  <w:noWrap w:val="0"/>
                  <w:vAlign w:val="center"/>
                </w:tcPr>
                <w:p w14:paraId="4464DE63">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手工</w:t>
                  </w:r>
                </w:p>
              </w:tc>
              <w:tc>
                <w:tcPr>
                  <w:tcW w:w="1419" w:type="dxa"/>
                  <w:noWrap w:val="0"/>
                  <w:vAlign w:val="center"/>
                </w:tcPr>
                <w:p w14:paraId="178EE51B">
                  <w:pPr>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kern w:val="0"/>
                      <w:sz w:val="21"/>
                      <w:szCs w:val="21"/>
                    </w:rPr>
                    <w:t>非连续采样至少3个</w:t>
                  </w:r>
                </w:p>
              </w:tc>
              <w:tc>
                <w:tcPr>
                  <w:tcW w:w="1108" w:type="dxa"/>
                  <w:noWrap w:val="0"/>
                  <w:vAlign w:val="center"/>
                </w:tcPr>
                <w:p w14:paraId="1C6C7A0A">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一次/</w:t>
                  </w:r>
                  <w:r>
                    <w:rPr>
                      <w:rFonts w:hint="eastAsia"/>
                      <w:color w:val="auto"/>
                      <w:sz w:val="21"/>
                      <w:szCs w:val="21"/>
                      <w:lang w:val="en-US" w:eastAsia="zh-CN"/>
                    </w:rPr>
                    <w:t>半</w:t>
                  </w:r>
                  <w:r>
                    <w:rPr>
                      <w:rFonts w:hint="eastAsia"/>
                      <w:color w:val="auto"/>
                      <w:sz w:val="21"/>
                      <w:szCs w:val="21"/>
                    </w:rPr>
                    <w:t>年</w:t>
                  </w:r>
                </w:p>
              </w:tc>
              <w:tc>
                <w:tcPr>
                  <w:tcW w:w="1599" w:type="dxa"/>
                  <w:noWrap w:val="0"/>
                  <w:vAlign w:val="center"/>
                </w:tcPr>
                <w:p w14:paraId="022C8ACA">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w:t>
                  </w:r>
                  <w:r>
                    <w:rPr>
                      <w:color w:val="auto"/>
                      <w:sz w:val="21"/>
                      <w:szCs w:val="21"/>
                    </w:rPr>
                    <w:t>固定污染源排气中</w:t>
                  </w:r>
                  <w:r>
                    <w:rPr>
                      <w:rFonts w:hint="eastAsia"/>
                      <w:color w:val="auto"/>
                      <w:sz w:val="21"/>
                      <w:szCs w:val="21"/>
                    </w:rPr>
                    <w:t>非甲烷总烃的测定》</w:t>
                  </w:r>
                  <w:r>
                    <w:rPr>
                      <w:color w:val="auto"/>
                      <w:sz w:val="21"/>
                      <w:szCs w:val="21"/>
                    </w:rPr>
                    <w:t>（</w:t>
                  </w:r>
                  <w:r>
                    <w:rPr>
                      <w:rFonts w:hint="eastAsia"/>
                      <w:color w:val="auto"/>
                      <w:sz w:val="21"/>
                      <w:szCs w:val="21"/>
                    </w:rPr>
                    <w:t>HJ/T38</w:t>
                  </w:r>
                  <w:r>
                    <w:rPr>
                      <w:color w:val="auto"/>
                      <w:sz w:val="21"/>
                      <w:szCs w:val="21"/>
                    </w:rPr>
                    <w:t>）</w:t>
                  </w:r>
                </w:p>
              </w:tc>
              <w:tc>
                <w:tcPr>
                  <w:tcW w:w="1621" w:type="dxa"/>
                  <w:vMerge w:val="continue"/>
                  <w:noWrap w:val="0"/>
                  <w:vAlign w:val="center"/>
                </w:tcPr>
                <w:p w14:paraId="484378DB">
                  <w:pPr>
                    <w:spacing w:line="240" w:lineRule="auto"/>
                    <w:ind w:firstLine="0" w:firstLineChars="0"/>
                    <w:jc w:val="center"/>
                    <w:rPr>
                      <w:rFonts w:hint="eastAsia"/>
                      <w:color w:val="auto"/>
                      <w:sz w:val="21"/>
                      <w:szCs w:val="21"/>
                      <w:lang w:val="en-US" w:eastAsia="zh-CN"/>
                    </w:rPr>
                  </w:pPr>
                </w:p>
              </w:tc>
              <w:tc>
                <w:tcPr>
                  <w:tcW w:w="1028" w:type="dxa"/>
                  <w:vMerge w:val="continue"/>
                  <w:noWrap w:val="0"/>
                  <w:vAlign w:val="center"/>
                </w:tcPr>
                <w:p w14:paraId="017F9D17">
                  <w:pPr>
                    <w:spacing w:line="240" w:lineRule="auto"/>
                    <w:ind w:firstLine="0" w:firstLineChars="0"/>
                    <w:jc w:val="center"/>
                    <w:rPr>
                      <w:color w:val="auto"/>
                      <w:sz w:val="21"/>
                      <w:szCs w:val="21"/>
                    </w:rPr>
                  </w:pPr>
                </w:p>
              </w:tc>
            </w:tr>
            <w:tr w14:paraId="6250F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657" w:type="dxa"/>
                  <w:noWrap w:val="0"/>
                  <w:vAlign w:val="center"/>
                </w:tcPr>
                <w:p w14:paraId="4E89E7AE">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6</w:t>
                  </w:r>
                </w:p>
              </w:tc>
              <w:tc>
                <w:tcPr>
                  <w:tcW w:w="796" w:type="dxa"/>
                  <w:vMerge w:val="continue"/>
                  <w:noWrap w:val="0"/>
                  <w:vAlign w:val="center"/>
                </w:tcPr>
                <w:p w14:paraId="6EFC4E6F">
                  <w:pPr>
                    <w:spacing w:line="240" w:lineRule="auto"/>
                    <w:ind w:firstLine="0" w:firstLineChars="0"/>
                    <w:jc w:val="center"/>
                    <w:rPr>
                      <w:rFonts w:hint="eastAsia"/>
                      <w:color w:val="auto"/>
                      <w:sz w:val="21"/>
                      <w:szCs w:val="21"/>
                    </w:rPr>
                  </w:pPr>
                </w:p>
              </w:tc>
              <w:tc>
                <w:tcPr>
                  <w:tcW w:w="1350" w:type="dxa"/>
                  <w:vMerge w:val="continue"/>
                  <w:noWrap w:val="0"/>
                  <w:vAlign w:val="center"/>
                </w:tcPr>
                <w:p w14:paraId="06F1BEAA">
                  <w:pPr>
                    <w:spacing w:line="240" w:lineRule="auto"/>
                    <w:ind w:firstLine="0" w:firstLineChars="0"/>
                    <w:jc w:val="center"/>
                    <w:rPr>
                      <w:rFonts w:hint="eastAsia"/>
                      <w:color w:val="auto"/>
                      <w:sz w:val="21"/>
                      <w:szCs w:val="21"/>
                    </w:rPr>
                  </w:pPr>
                </w:p>
              </w:tc>
              <w:tc>
                <w:tcPr>
                  <w:tcW w:w="1350" w:type="dxa"/>
                  <w:vMerge w:val="continue"/>
                  <w:noWrap w:val="0"/>
                  <w:vAlign w:val="center"/>
                </w:tcPr>
                <w:p w14:paraId="0EA6476F">
                  <w:pPr>
                    <w:spacing w:line="240" w:lineRule="auto"/>
                    <w:ind w:firstLine="0" w:firstLineChars="0"/>
                    <w:jc w:val="center"/>
                    <w:rPr>
                      <w:rFonts w:hint="eastAsia"/>
                      <w:color w:val="auto"/>
                      <w:sz w:val="21"/>
                      <w:szCs w:val="21"/>
                    </w:rPr>
                  </w:pPr>
                </w:p>
              </w:tc>
              <w:tc>
                <w:tcPr>
                  <w:tcW w:w="1293" w:type="dxa"/>
                  <w:vMerge w:val="continue"/>
                  <w:noWrap w:val="0"/>
                  <w:vAlign w:val="center"/>
                </w:tcPr>
                <w:p w14:paraId="3B2899B9">
                  <w:pPr>
                    <w:spacing w:line="240" w:lineRule="auto"/>
                    <w:ind w:firstLine="0" w:firstLineChars="0"/>
                    <w:jc w:val="center"/>
                    <w:rPr>
                      <w:color w:val="auto"/>
                      <w:sz w:val="21"/>
                      <w:szCs w:val="21"/>
                    </w:rPr>
                  </w:pPr>
                </w:p>
              </w:tc>
              <w:tc>
                <w:tcPr>
                  <w:tcW w:w="1269" w:type="dxa"/>
                  <w:shd w:val="clear" w:color="auto" w:fill="auto"/>
                  <w:noWrap w:val="0"/>
                  <w:vAlign w:val="center"/>
                </w:tcPr>
                <w:p w14:paraId="77F943E6">
                  <w:pPr>
                    <w:spacing w:line="240"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硫化氢</w:t>
                  </w:r>
                </w:p>
              </w:tc>
              <w:tc>
                <w:tcPr>
                  <w:tcW w:w="1062" w:type="dxa"/>
                  <w:noWrap w:val="0"/>
                  <w:vAlign w:val="center"/>
                </w:tcPr>
                <w:p w14:paraId="531D65E8">
                  <w:pPr>
                    <w:spacing w:line="240" w:lineRule="auto"/>
                    <w:ind w:firstLine="0" w:firstLineChars="0"/>
                    <w:jc w:val="center"/>
                    <w:rPr>
                      <w:rFonts w:hint="eastAsia"/>
                      <w:color w:val="auto"/>
                      <w:sz w:val="21"/>
                      <w:szCs w:val="21"/>
                    </w:rPr>
                  </w:pPr>
                  <w:r>
                    <w:rPr>
                      <w:rFonts w:hint="eastAsia"/>
                      <w:color w:val="auto"/>
                      <w:sz w:val="21"/>
                      <w:szCs w:val="21"/>
                    </w:rPr>
                    <w:t>手工</w:t>
                  </w:r>
                </w:p>
              </w:tc>
              <w:tc>
                <w:tcPr>
                  <w:tcW w:w="1419" w:type="dxa"/>
                  <w:noWrap w:val="0"/>
                  <w:vAlign w:val="center"/>
                </w:tcPr>
                <w:p w14:paraId="666D151B">
                  <w:pPr>
                    <w:spacing w:line="240" w:lineRule="auto"/>
                    <w:ind w:firstLine="0" w:firstLineChars="0"/>
                    <w:jc w:val="center"/>
                    <w:rPr>
                      <w:color w:val="auto"/>
                      <w:kern w:val="0"/>
                      <w:sz w:val="21"/>
                      <w:szCs w:val="21"/>
                    </w:rPr>
                  </w:pPr>
                  <w:r>
                    <w:rPr>
                      <w:color w:val="auto"/>
                      <w:kern w:val="0"/>
                      <w:sz w:val="21"/>
                      <w:szCs w:val="21"/>
                    </w:rPr>
                    <w:t>非连续采样至少3个</w:t>
                  </w:r>
                </w:p>
              </w:tc>
              <w:tc>
                <w:tcPr>
                  <w:tcW w:w="1108" w:type="dxa"/>
                  <w:noWrap w:val="0"/>
                  <w:vAlign w:val="center"/>
                </w:tcPr>
                <w:p w14:paraId="60736239">
                  <w:pPr>
                    <w:spacing w:line="240" w:lineRule="auto"/>
                    <w:ind w:firstLine="0" w:firstLineChars="0"/>
                    <w:jc w:val="center"/>
                    <w:rPr>
                      <w:rFonts w:hint="eastAsia"/>
                      <w:color w:val="auto"/>
                      <w:sz w:val="21"/>
                      <w:szCs w:val="21"/>
                    </w:rPr>
                  </w:pPr>
                  <w:r>
                    <w:rPr>
                      <w:rFonts w:hint="eastAsia"/>
                      <w:color w:val="auto"/>
                      <w:sz w:val="21"/>
                      <w:szCs w:val="21"/>
                    </w:rPr>
                    <w:t>一次/年</w:t>
                  </w:r>
                </w:p>
              </w:tc>
              <w:tc>
                <w:tcPr>
                  <w:tcW w:w="1599" w:type="dxa"/>
                  <w:noWrap w:val="0"/>
                  <w:vAlign w:val="center"/>
                </w:tcPr>
                <w:p w14:paraId="1AC5FE5D">
                  <w:pPr>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fldChar w:fldCharType="begin"/>
                  </w:r>
                  <w:r>
                    <w:rPr>
                      <w:rFonts w:hint="eastAsia"/>
                      <w:color w:val="auto"/>
                      <w:sz w:val="21"/>
                      <w:szCs w:val="21"/>
                      <w:lang w:val="en-US" w:eastAsia="zh-CN"/>
                    </w:rPr>
                    <w:instrText xml:space="preserve"> HYPERLINK "https://www.mee.gov.cn/ywgz/fgbz/bz/bzwb/jcffbz/202501/W020250328587648955939.pdf" </w:instrText>
                  </w:r>
                  <w:r>
                    <w:rPr>
                      <w:rFonts w:hint="eastAsia"/>
                      <w:color w:val="auto"/>
                      <w:sz w:val="21"/>
                      <w:szCs w:val="21"/>
                      <w:lang w:val="en-US" w:eastAsia="zh-CN"/>
                    </w:rPr>
                    <w:fldChar w:fldCharType="separate"/>
                  </w:r>
                  <w:r>
                    <w:rPr>
                      <w:rFonts w:hint="eastAsia"/>
                      <w:color w:val="auto"/>
                      <w:sz w:val="21"/>
                      <w:szCs w:val="21"/>
                      <w:lang w:val="en-US" w:eastAsia="zh-CN"/>
                    </w:rPr>
                    <w:t>固定污染源废气　硫化氢的测定 亚甲基蓝分光光度法（HJ 1388—2024）</w:t>
                  </w:r>
                  <w:r>
                    <w:rPr>
                      <w:rFonts w:hint="eastAsia"/>
                      <w:color w:val="auto"/>
                      <w:sz w:val="21"/>
                      <w:szCs w:val="21"/>
                      <w:lang w:val="en-US" w:eastAsia="zh-CN"/>
                    </w:rPr>
                    <w:fldChar w:fldCharType="end"/>
                  </w:r>
                </w:p>
              </w:tc>
              <w:tc>
                <w:tcPr>
                  <w:tcW w:w="1621" w:type="dxa"/>
                  <w:vMerge w:val="continue"/>
                  <w:noWrap w:val="0"/>
                  <w:vAlign w:val="center"/>
                </w:tcPr>
                <w:p w14:paraId="178190C0">
                  <w:pPr>
                    <w:spacing w:line="240" w:lineRule="auto"/>
                    <w:ind w:firstLine="0" w:firstLineChars="0"/>
                    <w:jc w:val="center"/>
                    <w:rPr>
                      <w:rFonts w:hint="eastAsia"/>
                      <w:color w:val="auto"/>
                      <w:sz w:val="21"/>
                      <w:szCs w:val="21"/>
                      <w:lang w:val="en-US" w:eastAsia="zh-CN"/>
                    </w:rPr>
                  </w:pPr>
                </w:p>
              </w:tc>
              <w:tc>
                <w:tcPr>
                  <w:tcW w:w="1028" w:type="dxa"/>
                  <w:vMerge w:val="continue"/>
                  <w:noWrap w:val="0"/>
                  <w:vAlign w:val="center"/>
                </w:tcPr>
                <w:p w14:paraId="6EC53355">
                  <w:pPr>
                    <w:spacing w:line="240" w:lineRule="auto"/>
                    <w:ind w:firstLine="0" w:firstLineChars="0"/>
                    <w:jc w:val="center"/>
                    <w:rPr>
                      <w:color w:val="auto"/>
                      <w:sz w:val="21"/>
                      <w:szCs w:val="21"/>
                    </w:rPr>
                  </w:pPr>
                </w:p>
              </w:tc>
            </w:tr>
            <w:tr w14:paraId="56360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657" w:type="dxa"/>
                  <w:noWrap w:val="0"/>
                  <w:vAlign w:val="center"/>
                </w:tcPr>
                <w:p w14:paraId="1E164029">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7</w:t>
                  </w:r>
                </w:p>
              </w:tc>
              <w:tc>
                <w:tcPr>
                  <w:tcW w:w="796" w:type="dxa"/>
                  <w:vMerge w:val="continue"/>
                  <w:noWrap w:val="0"/>
                  <w:vAlign w:val="center"/>
                </w:tcPr>
                <w:p w14:paraId="0BB5D5B5">
                  <w:pPr>
                    <w:spacing w:line="240" w:lineRule="auto"/>
                    <w:ind w:firstLine="0" w:firstLineChars="0"/>
                    <w:jc w:val="center"/>
                    <w:rPr>
                      <w:rFonts w:hint="eastAsia"/>
                      <w:color w:val="auto"/>
                      <w:sz w:val="21"/>
                      <w:szCs w:val="21"/>
                    </w:rPr>
                  </w:pPr>
                </w:p>
              </w:tc>
              <w:tc>
                <w:tcPr>
                  <w:tcW w:w="1350" w:type="dxa"/>
                  <w:vMerge w:val="continue"/>
                  <w:noWrap w:val="0"/>
                  <w:vAlign w:val="center"/>
                </w:tcPr>
                <w:p w14:paraId="189F25C1">
                  <w:pPr>
                    <w:spacing w:line="240" w:lineRule="auto"/>
                    <w:ind w:firstLine="0" w:firstLineChars="0"/>
                    <w:jc w:val="center"/>
                    <w:rPr>
                      <w:rFonts w:hint="eastAsia"/>
                      <w:color w:val="auto"/>
                      <w:sz w:val="21"/>
                      <w:szCs w:val="21"/>
                    </w:rPr>
                  </w:pPr>
                </w:p>
              </w:tc>
              <w:tc>
                <w:tcPr>
                  <w:tcW w:w="1350" w:type="dxa"/>
                  <w:vMerge w:val="continue"/>
                  <w:noWrap w:val="0"/>
                  <w:vAlign w:val="center"/>
                </w:tcPr>
                <w:p w14:paraId="60BB7554">
                  <w:pPr>
                    <w:spacing w:line="240" w:lineRule="auto"/>
                    <w:ind w:firstLine="0" w:firstLineChars="0"/>
                    <w:jc w:val="center"/>
                    <w:rPr>
                      <w:rFonts w:hint="eastAsia"/>
                      <w:color w:val="auto"/>
                      <w:sz w:val="21"/>
                      <w:szCs w:val="21"/>
                    </w:rPr>
                  </w:pPr>
                </w:p>
              </w:tc>
              <w:tc>
                <w:tcPr>
                  <w:tcW w:w="1293" w:type="dxa"/>
                  <w:vMerge w:val="continue"/>
                  <w:noWrap w:val="0"/>
                  <w:vAlign w:val="center"/>
                </w:tcPr>
                <w:p w14:paraId="441B5DF8">
                  <w:pPr>
                    <w:spacing w:line="240" w:lineRule="auto"/>
                    <w:ind w:firstLine="0" w:firstLineChars="0"/>
                    <w:jc w:val="center"/>
                    <w:rPr>
                      <w:color w:val="auto"/>
                      <w:sz w:val="21"/>
                      <w:szCs w:val="21"/>
                    </w:rPr>
                  </w:pPr>
                </w:p>
              </w:tc>
              <w:tc>
                <w:tcPr>
                  <w:tcW w:w="1269" w:type="dxa"/>
                  <w:noWrap w:val="0"/>
                  <w:vAlign w:val="center"/>
                </w:tcPr>
                <w:p w14:paraId="0DBC5933">
                  <w:pPr>
                    <w:spacing w:line="240" w:lineRule="auto"/>
                    <w:ind w:firstLine="0" w:firstLineChars="0"/>
                    <w:jc w:val="center"/>
                    <w:rPr>
                      <w:rFonts w:hint="eastAsia"/>
                      <w:color w:val="auto"/>
                      <w:sz w:val="21"/>
                      <w:szCs w:val="21"/>
                    </w:rPr>
                  </w:pPr>
                  <w:r>
                    <w:rPr>
                      <w:rFonts w:hint="eastAsia" w:cs="Times New Roman" w:eastAsiaTheme="minorEastAsia"/>
                      <w:color w:val="auto"/>
                      <w:sz w:val="21"/>
                      <w:szCs w:val="21"/>
                      <w:lang w:val="en-US" w:eastAsia="zh-CN"/>
                    </w:rPr>
                    <w:t>臭气浓度</w:t>
                  </w:r>
                </w:p>
              </w:tc>
              <w:tc>
                <w:tcPr>
                  <w:tcW w:w="1062" w:type="dxa"/>
                  <w:noWrap w:val="0"/>
                  <w:vAlign w:val="center"/>
                </w:tcPr>
                <w:p w14:paraId="3B387DF5">
                  <w:pPr>
                    <w:spacing w:line="240" w:lineRule="auto"/>
                    <w:ind w:firstLine="0" w:firstLineChars="0"/>
                    <w:jc w:val="center"/>
                    <w:rPr>
                      <w:rFonts w:hint="eastAsia"/>
                      <w:color w:val="auto"/>
                      <w:sz w:val="21"/>
                      <w:szCs w:val="21"/>
                    </w:rPr>
                  </w:pPr>
                  <w:r>
                    <w:rPr>
                      <w:rFonts w:hint="eastAsia"/>
                      <w:color w:val="auto"/>
                      <w:sz w:val="21"/>
                      <w:szCs w:val="21"/>
                    </w:rPr>
                    <w:t>手工</w:t>
                  </w:r>
                </w:p>
              </w:tc>
              <w:tc>
                <w:tcPr>
                  <w:tcW w:w="1419" w:type="dxa"/>
                  <w:noWrap w:val="0"/>
                  <w:vAlign w:val="center"/>
                </w:tcPr>
                <w:p w14:paraId="5AC9A1FB">
                  <w:pPr>
                    <w:spacing w:line="240" w:lineRule="auto"/>
                    <w:ind w:firstLine="0" w:firstLineChars="0"/>
                    <w:jc w:val="center"/>
                    <w:rPr>
                      <w:color w:val="auto"/>
                      <w:kern w:val="0"/>
                      <w:sz w:val="21"/>
                      <w:szCs w:val="21"/>
                    </w:rPr>
                  </w:pPr>
                  <w:r>
                    <w:rPr>
                      <w:color w:val="auto"/>
                      <w:kern w:val="0"/>
                      <w:sz w:val="21"/>
                      <w:szCs w:val="21"/>
                    </w:rPr>
                    <w:t>非连续采样至少3个</w:t>
                  </w:r>
                </w:p>
              </w:tc>
              <w:tc>
                <w:tcPr>
                  <w:tcW w:w="1108" w:type="dxa"/>
                  <w:noWrap w:val="0"/>
                  <w:vAlign w:val="center"/>
                </w:tcPr>
                <w:p w14:paraId="0D2EC429">
                  <w:pPr>
                    <w:spacing w:line="240" w:lineRule="auto"/>
                    <w:ind w:firstLine="0" w:firstLineChars="0"/>
                    <w:jc w:val="center"/>
                    <w:rPr>
                      <w:rFonts w:hint="eastAsia"/>
                      <w:color w:val="auto"/>
                      <w:sz w:val="21"/>
                      <w:szCs w:val="21"/>
                    </w:rPr>
                  </w:pPr>
                  <w:r>
                    <w:rPr>
                      <w:rFonts w:hint="eastAsia"/>
                      <w:color w:val="auto"/>
                      <w:sz w:val="21"/>
                      <w:szCs w:val="21"/>
                    </w:rPr>
                    <w:t>一次/年</w:t>
                  </w:r>
                </w:p>
              </w:tc>
              <w:tc>
                <w:tcPr>
                  <w:tcW w:w="1599" w:type="dxa"/>
                  <w:noWrap w:val="0"/>
                  <w:vAlign w:val="center"/>
                </w:tcPr>
                <w:p w14:paraId="61AB0CF4">
                  <w:pPr>
                    <w:spacing w:line="240" w:lineRule="auto"/>
                    <w:ind w:firstLine="0" w:firstLineChars="0"/>
                    <w:jc w:val="center"/>
                    <w:rPr>
                      <w:rFonts w:hint="eastAsia"/>
                      <w:color w:val="auto"/>
                      <w:sz w:val="21"/>
                      <w:szCs w:val="21"/>
                      <w:lang w:val="en-US" w:eastAsia="zh-CN"/>
                    </w:rPr>
                  </w:pPr>
                  <w:r>
                    <w:rPr>
                      <w:rFonts w:hint="eastAsia" w:eastAsia="宋体"/>
                      <w:color w:val="auto"/>
                      <w:sz w:val="21"/>
                      <w:szCs w:val="21"/>
                      <w:lang w:eastAsia="zh-CN"/>
                    </w:rPr>
                    <w:fldChar w:fldCharType="begin"/>
                  </w:r>
                  <w:r>
                    <w:rPr>
                      <w:rFonts w:hint="eastAsia" w:eastAsia="宋体"/>
                      <w:color w:val="auto"/>
                      <w:sz w:val="21"/>
                      <w:szCs w:val="21"/>
                      <w:lang w:eastAsia="zh-CN"/>
                    </w:rPr>
                    <w:instrText xml:space="preserve"> HYPERLINK "https://www.mee.gov.cn/ywgz/fgbz/bz/bzwb/jcffbz/202209/W020220922551201899953.pdf" </w:instrText>
                  </w:r>
                  <w:r>
                    <w:rPr>
                      <w:rFonts w:hint="eastAsia" w:eastAsia="宋体"/>
                      <w:color w:val="auto"/>
                      <w:sz w:val="21"/>
                      <w:szCs w:val="21"/>
                      <w:lang w:eastAsia="zh-CN"/>
                    </w:rPr>
                    <w:fldChar w:fldCharType="separate"/>
                  </w:r>
                  <w:r>
                    <w:rPr>
                      <w:rFonts w:hint="eastAsia" w:eastAsia="宋体"/>
                      <w:color w:val="auto"/>
                      <w:sz w:val="21"/>
                      <w:szCs w:val="21"/>
                      <w:lang w:eastAsia="zh-CN"/>
                    </w:rPr>
                    <w:t>环境空气和废气 臭气的测定 三点比较式臭袋法（HJ 1262—2022）</w:t>
                  </w:r>
                  <w:r>
                    <w:rPr>
                      <w:rFonts w:hint="eastAsia" w:eastAsia="宋体"/>
                      <w:color w:val="auto"/>
                      <w:sz w:val="21"/>
                      <w:szCs w:val="21"/>
                      <w:lang w:eastAsia="zh-CN"/>
                    </w:rPr>
                    <w:fldChar w:fldCharType="end"/>
                  </w:r>
                </w:p>
              </w:tc>
              <w:tc>
                <w:tcPr>
                  <w:tcW w:w="1621" w:type="dxa"/>
                  <w:vMerge w:val="continue"/>
                  <w:noWrap w:val="0"/>
                  <w:vAlign w:val="center"/>
                </w:tcPr>
                <w:p w14:paraId="5C876AB8">
                  <w:pPr>
                    <w:spacing w:line="240" w:lineRule="auto"/>
                    <w:ind w:firstLine="0" w:firstLineChars="0"/>
                    <w:jc w:val="center"/>
                    <w:rPr>
                      <w:rFonts w:hint="eastAsia"/>
                      <w:color w:val="auto"/>
                      <w:sz w:val="21"/>
                      <w:szCs w:val="21"/>
                      <w:lang w:val="en-US" w:eastAsia="zh-CN"/>
                    </w:rPr>
                  </w:pPr>
                </w:p>
              </w:tc>
              <w:tc>
                <w:tcPr>
                  <w:tcW w:w="1028" w:type="dxa"/>
                  <w:vMerge w:val="continue"/>
                  <w:noWrap w:val="0"/>
                  <w:vAlign w:val="center"/>
                </w:tcPr>
                <w:p w14:paraId="5EC17BD8">
                  <w:pPr>
                    <w:spacing w:line="240" w:lineRule="auto"/>
                    <w:ind w:firstLine="0" w:firstLineChars="0"/>
                    <w:jc w:val="center"/>
                    <w:rPr>
                      <w:color w:val="auto"/>
                      <w:sz w:val="21"/>
                      <w:szCs w:val="21"/>
                    </w:rPr>
                  </w:pPr>
                </w:p>
              </w:tc>
            </w:tr>
            <w:tr w14:paraId="326BD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657" w:type="dxa"/>
                  <w:noWrap w:val="0"/>
                  <w:vAlign w:val="center"/>
                </w:tcPr>
                <w:p w14:paraId="4C3E7E29">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8</w:t>
                  </w:r>
                </w:p>
              </w:tc>
              <w:tc>
                <w:tcPr>
                  <w:tcW w:w="796" w:type="dxa"/>
                  <w:vMerge w:val="continue"/>
                  <w:noWrap w:val="0"/>
                  <w:vAlign w:val="center"/>
                </w:tcPr>
                <w:p w14:paraId="6159BD66">
                  <w:pPr>
                    <w:spacing w:line="240" w:lineRule="auto"/>
                    <w:ind w:firstLine="0" w:firstLineChars="0"/>
                    <w:jc w:val="center"/>
                    <w:rPr>
                      <w:rFonts w:hint="eastAsia"/>
                      <w:color w:val="auto"/>
                      <w:sz w:val="21"/>
                      <w:szCs w:val="21"/>
                    </w:rPr>
                  </w:pPr>
                </w:p>
              </w:tc>
              <w:tc>
                <w:tcPr>
                  <w:tcW w:w="1350" w:type="dxa"/>
                  <w:vMerge w:val="restart"/>
                  <w:shd w:val="clear" w:color="auto" w:fill="auto"/>
                  <w:noWrap w:val="0"/>
                  <w:vAlign w:val="center"/>
                </w:tcPr>
                <w:p w14:paraId="000E9008">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w:t>
                  </w:r>
                </w:p>
              </w:tc>
              <w:tc>
                <w:tcPr>
                  <w:tcW w:w="1350" w:type="dxa"/>
                  <w:vMerge w:val="restart"/>
                  <w:shd w:val="clear" w:color="auto" w:fill="auto"/>
                  <w:noWrap w:val="0"/>
                  <w:vAlign w:val="center"/>
                </w:tcPr>
                <w:p w14:paraId="6ECE7C44">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厂界、厂区内</w:t>
                  </w:r>
                </w:p>
              </w:tc>
              <w:tc>
                <w:tcPr>
                  <w:tcW w:w="1293" w:type="dxa"/>
                  <w:vMerge w:val="restart"/>
                  <w:shd w:val="clear" w:color="auto" w:fill="auto"/>
                  <w:noWrap w:val="0"/>
                  <w:vAlign w:val="center"/>
                </w:tcPr>
                <w:p w14:paraId="45F6AFEA">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color w:val="auto"/>
                      <w:sz w:val="21"/>
                      <w:szCs w:val="21"/>
                    </w:rPr>
                    <w:t xml:space="preserve">温度，湿度，气压，风速 </w:t>
                  </w:r>
                </w:p>
              </w:tc>
              <w:tc>
                <w:tcPr>
                  <w:tcW w:w="1269" w:type="dxa"/>
                  <w:shd w:val="clear" w:color="auto" w:fill="auto"/>
                  <w:noWrap w:val="0"/>
                  <w:vAlign w:val="center"/>
                </w:tcPr>
                <w:p w14:paraId="46610FCF">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非甲烷总烃</w:t>
                  </w:r>
                </w:p>
              </w:tc>
              <w:tc>
                <w:tcPr>
                  <w:tcW w:w="1062" w:type="dxa"/>
                  <w:shd w:val="clear" w:color="auto" w:fill="auto"/>
                  <w:noWrap w:val="0"/>
                  <w:vAlign w:val="center"/>
                </w:tcPr>
                <w:p w14:paraId="4FB16340">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手工</w:t>
                  </w:r>
                </w:p>
              </w:tc>
              <w:tc>
                <w:tcPr>
                  <w:tcW w:w="1419" w:type="dxa"/>
                  <w:shd w:val="clear" w:color="auto" w:fill="auto"/>
                  <w:noWrap w:val="0"/>
                  <w:vAlign w:val="center"/>
                </w:tcPr>
                <w:p w14:paraId="3383B70F">
                  <w:pPr>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kern w:val="0"/>
                      <w:sz w:val="21"/>
                      <w:szCs w:val="21"/>
                    </w:rPr>
                    <w:t>非连续采样至少3个</w:t>
                  </w:r>
                </w:p>
              </w:tc>
              <w:tc>
                <w:tcPr>
                  <w:tcW w:w="1108" w:type="dxa"/>
                  <w:shd w:val="clear" w:color="auto" w:fill="auto"/>
                  <w:noWrap w:val="0"/>
                  <w:vAlign w:val="center"/>
                </w:tcPr>
                <w:p w14:paraId="7F9DFCDD">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一次/</w:t>
                  </w:r>
                  <w:r>
                    <w:rPr>
                      <w:rFonts w:hint="eastAsia"/>
                      <w:color w:val="auto"/>
                      <w:sz w:val="21"/>
                      <w:szCs w:val="21"/>
                      <w:lang w:val="en-US" w:eastAsia="zh-CN"/>
                    </w:rPr>
                    <w:t>半</w:t>
                  </w:r>
                  <w:r>
                    <w:rPr>
                      <w:rFonts w:hint="eastAsia"/>
                      <w:color w:val="auto"/>
                      <w:sz w:val="21"/>
                      <w:szCs w:val="21"/>
                    </w:rPr>
                    <w:t>年</w:t>
                  </w:r>
                </w:p>
              </w:tc>
              <w:tc>
                <w:tcPr>
                  <w:tcW w:w="1599" w:type="dxa"/>
                  <w:shd w:val="clear" w:color="auto" w:fill="auto"/>
                  <w:noWrap w:val="0"/>
                  <w:vAlign w:val="center"/>
                </w:tcPr>
                <w:p w14:paraId="4EF6416A">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w:t>
                  </w:r>
                  <w:r>
                    <w:rPr>
                      <w:color w:val="auto"/>
                      <w:sz w:val="21"/>
                      <w:szCs w:val="21"/>
                    </w:rPr>
                    <w:t>固定污染源排气中</w:t>
                  </w:r>
                  <w:r>
                    <w:rPr>
                      <w:rFonts w:hint="eastAsia"/>
                      <w:color w:val="auto"/>
                      <w:sz w:val="21"/>
                      <w:szCs w:val="21"/>
                    </w:rPr>
                    <w:t>非甲烷总烃的测定》</w:t>
                  </w:r>
                  <w:r>
                    <w:rPr>
                      <w:color w:val="auto"/>
                      <w:sz w:val="21"/>
                      <w:szCs w:val="21"/>
                    </w:rPr>
                    <w:t>（</w:t>
                  </w:r>
                  <w:r>
                    <w:rPr>
                      <w:rFonts w:hint="eastAsia"/>
                      <w:color w:val="auto"/>
                      <w:sz w:val="21"/>
                      <w:szCs w:val="21"/>
                    </w:rPr>
                    <w:t>HJ/T38</w:t>
                  </w:r>
                  <w:r>
                    <w:rPr>
                      <w:color w:val="auto"/>
                      <w:sz w:val="21"/>
                      <w:szCs w:val="21"/>
                    </w:rPr>
                    <w:t>）</w:t>
                  </w:r>
                </w:p>
              </w:tc>
              <w:tc>
                <w:tcPr>
                  <w:tcW w:w="1621" w:type="dxa"/>
                  <w:vMerge w:val="continue"/>
                  <w:noWrap w:val="0"/>
                  <w:vAlign w:val="center"/>
                </w:tcPr>
                <w:p w14:paraId="257FC951">
                  <w:pPr>
                    <w:spacing w:line="240" w:lineRule="auto"/>
                    <w:ind w:firstLine="0" w:firstLineChars="0"/>
                    <w:jc w:val="center"/>
                    <w:rPr>
                      <w:rFonts w:hint="eastAsia"/>
                      <w:color w:val="auto"/>
                      <w:sz w:val="21"/>
                      <w:szCs w:val="21"/>
                      <w:lang w:val="en-US" w:eastAsia="zh-CN"/>
                    </w:rPr>
                  </w:pPr>
                </w:p>
              </w:tc>
              <w:tc>
                <w:tcPr>
                  <w:tcW w:w="1028" w:type="dxa"/>
                  <w:vMerge w:val="continue"/>
                  <w:noWrap w:val="0"/>
                  <w:vAlign w:val="center"/>
                </w:tcPr>
                <w:p w14:paraId="60118E3A">
                  <w:pPr>
                    <w:spacing w:line="240" w:lineRule="auto"/>
                    <w:ind w:firstLine="0" w:firstLineChars="0"/>
                    <w:jc w:val="center"/>
                    <w:rPr>
                      <w:color w:val="auto"/>
                      <w:sz w:val="21"/>
                      <w:szCs w:val="21"/>
                    </w:rPr>
                  </w:pPr>
                </w:p>
              </w:tc>
            </w:tr>
            <w:tr w14:paraId="7985F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657" w:type="dxa"/>
                  <w:noWrap w:val="0"/>
                  <w:vAlign w:val="center"/>
                </w:tcPr>
                <w:p w14:paraId="36B9D16F">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9</w:t>
                  </w:r>
                </w:p>
              </w:tc>
              <w:tc>
                <w:tcPr>
                  <w:tcW w:w="796" w:type="dxa"/>
                  <w:vMerge w:val="continue"/>
                  <w:noWrap w:val="0"/>
                  <w:vAlign w:val="center"/>
                </w:tcPr>
                <w:p w14:paraId="0D9AA1D6">
                  <w:pPr>
                    <w:spacing w:line="240" w:lineRule="auto"/>
                    <w:ind w:firstLine="0" w:firstLineChars="0"/>
                    <w:jc w:val="center"/>
                    <w:rPr>
                      <w:rFonts w:hint="eastAsia"/>
                      <w:color w:val="auto"/>
                      <w:sz w:val="21"/>
                      <w:szCs w:val="21"/>
                    </w:rPr>
                  </w:pPr>
                </w:p>
              </w:tc>
              <w:tc>
                <w:tcPr>
                  <w:tcW w:w="1350" w:type="dxa"/>
                  <w:vMerge w:val="continue"/>
                  <w:noWrap w:val="0"/>
                  <w:vAlign w:val="center"/>
                </w:tcPr>
                <w:p w14:paraId="70356F11">
                  <w:pPr>
                    <w:spacing w:line="240" w:lineRule="auto"/>
                    <w:ind w:firstLine="0" w:firstLineChars="0"/>
                    <w:jc w:val="center"/>
                    <w:rPr>
                      <w:rFonts w:hint="eastAsia"/>
                      <w:color w:val="auto"/>
                      <w:sz w:val="21"/>
                      <w:szCs w:val="21"/>
                    </w:rPr>
                  </w:pPr>
                </w:p>
              </w:tc>
              <w:tc>
                <w:tcPr>
                  <w:tcW w:w="1350" w:type="dxa"/>
                  <w:vMerge w:val="continue"/>
                  <w:noWrap w:val="0"/>
                  <w:vAlign w:val="center"/>
                </w:tcPr>
                <w:p w14:paraId="369E4A65">
                  <w:pPr>
                    <w:spacing w:line="240" w:lineRule="auto"/>
                    <w:ind w:firstLine="0" w:firstLineChars="0"/>
                    <w:jc w:val="center"/>
                    <w:rPr>
                      <w:rFonts w:hint="eastAsia"/>
                      <w:color w:val="auto"/>
                      <w:sz w:val="21"/>
                      <w:szCs w:val="21"/>
                    </w:rPr>
                  </w:pPr>
                </w:p>
              </w:tc>
              <w:tc>
                <w:tcPr>
                  <w:tcW w:w="1293" w:type="dxa"/>
                  <w:vMerge w:val="continue"/>
                  <w:noWrap w:val="0"/>
                  <w:vAlign w:val="center"/>
                </w:tcPr>
                <w:p w14:paraId="7D3151F4">
                  <w:pPr>
                    <w:spacing w:line="240" w:lineRule="auto"/>
                    <w:ind w:firstLine="0" w:firstLineChars="0"/>
                    <w:jc w:val="center"/>
                    <w:rPr>
                      <w:color w:val="auto"/>
                      <w:sz w:val="21"/>
                      <w:szCs w:val="21"/>
                    </w:rPr>
                  </w:pPr>
                </w:p>
              </w:tc>
              <w:tc>
                <w:tcPr>
                  <w:tcW w:w="1269" w:type="dxa"/>
                  <w:noWrap w:val="0"/>
                  <w:vAlign w:val="center"/>
                </w:tcPr>
                <w:p w14:paraId="72CEB56B">
                  <w:pPr>
                    <w:spacing w:line="240" w:lineRule="auto"/>
                    <w:ind w:firstLine="0" w:firstLineChars="0"/>
                    <w:jc w:val="center"/>
                    <w:rPr>
                      <w:rFonts w:hint="eastAsia"/>
                      <w:color w:val="auto"/>
                      <w:sz w:val="21"/>
                      <w:szCs w:val="21"/>
                    </w:rPr>
                  </w:pPr>
                  <w:r>
                    <w:rPr>
                      <w:rFonts w:hint="eastAsia"/>
                      <w:color w:val="auto"/>
                      <w:sz w:val="21"/>
                      <w:szCs w:val="21"/>
                      <w:lang w:val="en-US" w:eastAsia="zh-CN"/>
                    </w:rPr>
                    <w:t>颗粒物</w:t>
                  </w:r>
                </w:p>
              </w:tc>
              <w:tc>
                <w:tcPr>
                  <w:tcW w:w="1062" w:type="dxa"/>
                  <w:noWrap w:val="0"/>
                  <w:vAlign w:val="center"/>
                </w:tcPr>
                <w:p w14:paraId="44F33950">
                  <w:pPr>
                    <w:spacing w:line="240" w:lineRule="auto"/>
                    <w:ind w:firstLine="0" w:firstLineChars="0"/>
                    <w:jc w:val="center"/>
                    <w:rPr>
                      <w:rFonts w:hint="eastAsia"/>
                      <w:color w:val="auto"/>
                      <w:sz w:val="21"/>
                      <w:szCs w:val="21"/>
                    </w:rPr>
                  </w:pPr>
                  <w:r>
                    <w:rPr>
                      <w:rFonts w:hint="eastAsia"/>
                      <w:color w:val="auto"/>
                      <w:sz w:val="21"/>
                      <w:szCs w:val="21"/>
                    </w:rPr>
                    <w:t>手工</w:t>
                  </w:r>
                </w:p>
              </w:tc>
              <w:tc>
                <w:tcPr>
                  <w:tcW w:w="1419" w:type="dxa"/>
                  <w:noWrap w:val="0"/>
                  <w:vAlign w:val="center"/>
                </w:tcPr>
                <w:p w14:paraId="30CF6011">
                  <w:pPr>
                    <w:spacing w:line="240" w:lineRule="auto"/>
                    <w:ind w:firstLine="0" w:firstLineChars="0"/>
                    <w:jc w:val="center"/>
                    <w:rPr>
                      <w:color w:val="auto"/>
                      <w:kern w:val="0"/>
                      <w:sz w:val="21"/>
                      <w:szCs w:val="21"/>
                    </w:rPr>
                  </w:pPr>
                  <w:r>
                    <w:rPr>
                      <w:color w:val="auto"/>
                      <w:kern w:val="0"/>
                      <w:sz w:val="21"/>
                      <w:szCs w:val="21"/>
                    </w:rPr>
                    <w:t>非连续采样至少3个</w:t>
                  </w:r>
                </w:p>
              </w:tc>
              <w:tc>
                <w:tcPr>
                  <w:tcW w:w="1108" w:type="dxa"/>
                  <w:noWrap w:val="0"/>
                  <w:vAlign w:val="center"/>
                </w:tcPr>
                <w:p w14:paraId="724C4DC7">
                  <w:pPr>
                    <w:spacing w:line="240" w:lineRule="auto"/>
                    <w:ind w:firstLine="0" w:firstLineChars="0"/>
                    <w:jc w:val="center"/>
                    <w:rPr>
                      <w:rFonts w:hint="eastAsia"/>
                      <w:color w:val="auto"/>
                      <w:sz w:val="21"/>
                      <w:szCs w:val="21"/>
                    </w:rPr>
                  </w:pPr>
                  <w:r>
                    <w:rPr>
                      <w:rFonts w:hint="eastAsia"/>
                      <w:color w:val="auto"/>
                      <w:sz w:val="21"/>
                      <w:szCs w:val="21"/>
                    </w:rPr>
                    <w:t>一次/年</w:t>
                  </w:r>
                </w:p>
              </w:tc>
              <w:tc>
                <w:tcPr>
                  <w:tcW w:w="1599" w:type="dxa"/>
                  <w:noWrap w:val="0"/>
                  <w:vAlign w:val="center"/>
                </w:tcPr>
                <w:p w14:paraId="6ACD2A02">
                  <w:pPr>
                    <w:spacing w:line="240" w:lineRule="auto"/>
                    <w:ind w:firstLine="0" w:firstLineChars="0"/>
                    <w:jc w:val="center"/>
                    <w:rPr>
                      <w:rFonts w:hint="eastAsia"/>
                      <w:color w:val="auto"/>
                      <w:sz w:val="21"/>
                      <w:szCs w:val="21"/>
                      <w:lang w:val="en-US" w:eastAsia="zh-CN"/>
                    </w:rPr>
                  </w:pPr>
                  <w:r>
                    <w:rPr>
                      <w:rFonts w:hint="eastAsia"/>
                      <w:color w:val="auto"/>
                      <w:sz w:val="21"/>
                      <w:szCs w:val="21"/>
                    </w:rPr>
                    <w:fldChar w:fldCharType="begin"/>
                  </w:r>
                  <w:r>
                    <w:rPr>
                      <w:rFonts w:hint="eastAsia"/>
                      <w:color w:val="auto"/>
                      <w:sz w:val="21"/>
                      <w:szCs w:val="21"/>
                    </w:rPr>
                    <w:instrText xml:space="preserve"> HYPERLINK "https://www.mee.gov.cn/ywgz/fgbz/bz/bzwb/jcffbz/201801/W020180108584617605202.pdf" </w:instrText>
                  </w:r>
                  <w:r>
                    <w:rPr>
                      <w:rFonts w:hint="eastAsia"/>
                      <w:color w:val="auto"/>
                      <w:sz w:val="21"/>
                      <w:szCs w:val="21"/>
                    </w:rPr>
                    <w:fldChar w:fldCharType="separate"/>
                  </w:r>
                  <w:r>
                    <w:rPr>
                      <w:rFonts w:hint="eastAsia"/>
                      <w:color w:val="auto"/>
                      <w:sz w:val="21"/>
                      <w:szCs w:val="21"/>
                    </w:rPr>
                    <w:t>固定污染源废气 低浓度颗粒物的测定 重量法（HJ 836-2017）</w:t>
                  </w:r>
                  <w:r>
                    <w:rPr>
                      <w:rFonts w:hint="eastAsia"/>
                      <w:color w:val="auto"/>
                      <w:sz w:val="21"/>
                      <w:szCs w:val="21"/>
                    </w:rPr>
                    <w:fldChar w:fldCharType="end"/>
                  </w:r>
                </w:p>
              </w:tc>
              <w:tc>
                <w:tcPr>
                  <w:tcW w:w="1621" w:type="dxa"/>
                  <w:vMerge w:val="continue"/>
                  <w:noWrap w:val="0"/>
                  <w:vAlign w:val="center"/>
                </w:tcPr>
                <w:p w14:paraId="5AE1ACEE">
                  <w:pPr>
                    <w:spacing w:line="240" w:lineRule="auto"/>
                    <w:ind w:firstLine="0" w:firstLineChars="0"/>
                    <w:jc w:val="center"/>
                    <w:rPr>
                      <w:rFonts w:hint="eastAsia"/>
                      <w:color w:val="auto"/>
                      <w:sz w:val="21"/>
                      <w:szCs w:val="21"/>
                      <w:lang w:val="en-US" w:eastAsia="zh-CN"/>
                    </w:rPr>
                  </w:pPr>
                </w:p>
              </w:tc>
              <w:tc>
                <w:tcPr>
                  <w:tcW w:w="1028" w:type="dxa"/>
                  <w:vMerge w:val="continue"/>
                  <w:noWrap w:val="0"/>
                  <w:vAlign w:val="center"/>
                </w:tcPr>
                <w:p w14:paraId="52E58442">
                  <w:pPr>
                    <w:spacing w:line="240" w:lineRule="auto"/>
                    <w:ind w:firstLine="0" w:firstLineChars="0"/>
                    <w:jc w:val="center"/>
                    <w:rPr>
                      <w:color w:val="auto"/>
                      <w:sz w:val="21"/>
                      <w:szCs w:val="21"/>
                    </w:rPr>
                  </w:pPr>
                </w:p>
              </w:tc>
            </w:tr>
            <w:tr w14:paraId="79F70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657" w:type="dxa"/>
                  <w:noWrap w:val="0"/>
                  <w:vAlign w:val="center"/>
                </w:tcPr>
                <w:p w14:paraId="7AFCE3D1">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10</w:t>
                  </w:r>
                </w:p>
              </w:tc>
              <w:tc>
                <w:tcPr>
                  <w:tcW w:w="796" w:type="dxa"/>
                  <w:vMerge w:val="continue"/>
                  <w:noWrap w:val="0"/>
                  <w:vAlign w:val="center"/>
                </w:tcPr>
                <w:p w14:paraId="4A7B3292">
                  <w:pPr>
                    <w:spacing w:line="240" w:lineRule="auto"/>
                    <w:ind w:firstLine="0" w:firstLineChars="0"/>
                    <w:jc w:val="center"/>
                    <w:rPr>
                      <w:rFonts w:hint="eastAsia"/>
                      <w:color w:val="auto"/>
                      <w:sz w:val="21"/>
                      <w:szCs w:val="21"/>
                    </w:rPr>
                  </w:pPr>
                </w:p>
              </w:tc>
              <w:tc>
                <w:tcPr>
                  <w:tcW w:w="1350" w:type="dxa"/>
                  <w:vMerge w:val="continue"/>
                  <w:noWrap w:val="0"/>
                  <w:vAlign w:val="center"/>
                </w:tcPr>
                <w:p w14:paraId="534A1A32">
                  <w:pPr>
                    <w:spacing w:line="240" w:lineRule="auto"/>
                    <w:ind w:firstLine="0" w:firstLineChars="0"/>
                    <w:jc w:val="center"/>
                    <w:rPr>
                      <w:rFonts w:hint="eastAsia"/>
                      <w:color w:val="auto"/>
                      <w:sz w:val="21"/>
                      <w:szCs w:val="21"/>
                    </w:rPr>
                  </w:pPr>
                </w:p>
              </w:tc>
              <w:tc>
                <w:tcPr>
                  <w:tcW w:w="1350" w:type="dxa"/>
                  <w:vMerge w:val="continue"/>
                  <w:noWrap w:val="0"/>
                  <w:vAlign w:val="center"/>
                </w:tcPr>
                <w:p w14:paraId="2211635C">
                  <w:pPr>
                    <w:spacing w:line="240" w:lineRule="auto"/>
                    <w:ind w:firstLine="0" w:firstLineChars="0"/>
                    <w:jc w:val="center"/>
                    <w:rPr>
                      <w:rFonts w:hint="eastAsia"/>
                      <w:color w:val="auto"/>
                      <w:sz w:val="21"/>
                      <w:szCs w:val="21"/>
                    </w:rPr>
                  </w:pPr>
                </w:p>
              </w:tc>
              <w:tc>
                <w:tcPr>
                  <w:tcW w:w="1293" w:type="dxa"/>
                  <w:vMerge w:val="continue"/>
                  <w:noWrap w:val="0"/>
                  <w:vAlign w:val="center"/>
                </w:tcPr>
                <w:p w14:paraId="416B0A28">
                  <w:pPr>
                    <w:spacing w:line="240" w:lineRule="auto"/>
                    <w:ind w:firstLine="0" w:firstLineChars="0"/>
                    <w:jc w:val="center"/>
                    <w:rPr>
                      <w:color w:val="auto"/>
                      <w:sz w:val="21"/>
                      <w:szCs w:val="21"/>
                    </w:rPr>
                  </w:pPr>
                </w:p>
              </w:tc>
              <w:tc>
                <w:tcPr>
                  <w:tcW w:w="1269" w:type="dxa"/>
                  <w:noWrap w:val="0"/>
                  <w:vAlign w:val="center"/>
                </w:tcPr>
                <w:p w14:paraId="298A3B8F">
                  <w:pPr>
                    <w:spacing w:line="240" w:lineRule="auto"/>
                    <w:ind w:firstLine="0" w:firstLineChars="0"/>
                    <w:jc w:val="center"/>
                    <w:rPr>
                      <w:rFonts w:hint="eastAsia"/>
                      <w:color w:val="auto"/>
                      <w:sz w:val="21"/>
                      <w:szCs w:val="21"/>
                    </w:rPr>
                  </w:pPr>
                  <w:r>
                    <w:rPr>
                      <w:rFonts w:hint="eastAsia"/>
                      <w:color w:val="auto"/>
                      <w:sz w:val="21"/>
                      <w:szCs w:val="21"/>
                      <w:lang w:val="en-US" w:eastAsia="zh-CN"/>
                    </w:rPr>
                    <w:t>硫化氢</w:t>
                  </w:r>
                </w:p>
              </w:tc>
              <w:tc>
                <w:tcPr>
                  <w:tcW w:w="1062" w:type="dxa"/>
                  <w:noWrap w:val="0"/>
                  <w:vAlign w:val="center"/>
                </w:tcPr>
                <w:p w14:paraId="190C4840">
                  <w:pPr>
                    <w:spacing w:line="240" w:lineRule="auto"/>
                    <w:ind w:firstLine="0" w:firstLineChars="0"/>
                    <w:jc w:val="center"/>
                    <w:rPr>
                      <w:rFonts w:hint="eastAsia"/>
                      <w:color w:val="auto"/>
                      <w:sz w:val="21"/>
                      <w:szCs w:val="21"/>
                    </w:rPr>
                  </w:pPr>
                  <w:r>
                    <w:rPr>
                      <w:rFonts w:hint="eastAsia"/>
                      <w:color w:val="auto"/>
                      <w:sz w:val="21"/>
                      <w:szCs w:val="21"/>
                    </w:rPr>
                    <w:t>手工</w:t>
                  </w:r>
                </w:p>
              </w:tc>
              <w:tc>
                <w:tcPr>
                  <w:tcW w:w="1419" w:type="dxa"/>
                  <w:noWrap w:val="0"/>
                  <w:vAlign w:val="center"/>
                </w:tcPr>
                <w:p w14:paraId="54475249">
                  <w:pPr>
                    <w:spacing w:line="240" w:lineRule="auto"/>
                    <w:ind w:firstLine="0" w:firstLineChars="0"/>
                    <w:jc w:val="center"/>
                    <w:rPr>
                      <w:color w:val="auto"/>
                      <w:kern w:val="0"/>
                      <w:sz w:val="21"/>
                      <w:szCs w:val="21"/>
                    </w:rPr>
                  </w:pPr>
                  <w:r>
                    <w:rPr>
                      <w:color w:val="auto"/>
                      <w:kern w:val="0"/>
                      <w:sz w:val="21"/>
                      <w:szCs w:val="21"/>
                    </w:rPr>
                    <w:t>非连续采样至少3个</w:t>
                  </w:r>
                </w:p>
              </w:tc>
              <w:tc>
                <w:tcPr>
                  <w:tcW w:w="1108" w:type="dxa"/>
                  <w:noWrap w:val="0"/>
                  <w:vAlign w:val="center"/>
                </w:tcPr>
                <w:p w14:paraId="2099456E">
                  <w:pPr>
                    <w:spacing w:line="240" w:lineRule="auto"/>
                    <w:ind w:firstLine="0" w:firstLineChars="0"/>
                    <w:jc w:val="center"/>
                    <w:rPr>
                      <w:rFonts w:hint="eastAsia"/>
                      <w:color w:val="auto"/>
                      <w:sz w:val="21"/>
                      <w:szCs w:val="21"/>
                    </w:rPr>
                  </w:pPr>
                  <w:r>
                    <w:rPr>
                      <w:rFonts w:hint="eastAsia"/>
                      <w:color w:val="auto"/>
                      <w:sz w:val="21"/>
                      <w:szCs w:val="21"/>
                    </w:rPr>
                    <w:t>一次/年</w:t>
                  </w:r>
                </w:p>
              </w:tc>
              <w:tc>
                <w:tcPr>
                  <w:tcW w:w="1599" w:type="dxa"/>
                  <w:noWrap w:val="0"/>
                  <w:vAlign w:val="center"/>
                </w:tcPr>
                <w:p w14:paraId="224680B7">
                  <w:pPr>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fldChar w:fldCharType="begin"/>
                  </w:r>
                  <w:r>
                    <w:rPr>
                      <w:rFonts w:hint="eastAsia"/>
                      <w:color w:val="auto"/>
                      <w:sz w:val="21"/>
                      <w:szCs w:val="21"/>
                      <w:lang w:val="en-US" w:eastAsia="zh-CN"/>
                    </w:rPr>
                    <w:instrText xml:space="preserve"> HYPERLINK "https://www.mee.gov.cn/ywgz/fgbz/bz/bzwb/jcffbz/202501/W020250328587648955939.pdf" </w:instrText>
                  </w:r>
                  <w:r>
                    <w:rPr>
                      <w:rFonts w:hint="eastAsia"/>
                      <w:color w:val="auto"/>
                      <w:sz w:val="21"/>
                      <w:szCs w:val="21"/>
                      <w:lang w:val="en-US" w:eastAsia="zh-CN"/>
                    </w:rPr>
                    <w:fldChar w:fldCharType="separate"/>
                  </w:r>
                  <w:r>
                    <w:rPr>
                      <w:rFonts w:hint="eastAsia"/>
                      <w:color w:val="auto"/>
                      <w:sz w:val="21"/>
                      <w:szCs w:val="21"/>
                      <w:lang w:val="en-US" w:eastAsia="zh-CN"/>
                    </w:rPr>
                    <w:t>固定污染源废气　硫化氢的测定 亚甲基蓝分光光度法（HJ 1388—2024）</w:t>
                  </w:r>
                  <w:r>
                    <w:rPr>
                      <w:rFonts w:hint="eastAsia"/>
                      <w:color w:val="auto"/>
                      <w:sz w:val="21"/>
                      <w:szCs w:val="21"/>
                      <w:lang w:val="en-US" w:eastAsia="zh-CN"/>
                    </w:rPr>
                    <w:fldChar w:fldCharType="end"/>
                  </w:r>
                </w:p>
              </w:tc>
              <w:tc>
                <w:tcPr>
                  <w:tcW w:w="1621" w:type="dxa"/>
                  <w:vMerge w:val="continue"/>
                  <w:noWrap w:val="0"/>
                  <w:vAlign w:val="center"/>
                </w:tcPr>
                <w:p w14:paraId="7E1EA585">
                  <w:pPr>
                    <w:spacing w:line="240" w:lineRule="auto"/>
                    <w:ind w:firstLine="0" w:firstLineChars="0"/>
                    <w:jc w:val="center"/>
                    <w:rPr>
                      <w:rFonts w:hint="eastAsia"/>
                      <w:color w:val="auto"/>
                      <w:sz w:val="21"/>
                      <w:szCs w:val="21"/>
                      <w:lang w:val="en-US" w:eastAsia="zh-CN"/>
                    </w:rPr>
                  </w:pPr>
                </w:p>
              </w:tc>
              <w:tc>
                <w:tcPr>
                  <w:tcW w:w="1028" w:type="dxa"/>
                  <w:vMerge w:val="continue"/>
                  <w:noWrap w:val="0"/>
                  <w:vAlign w:val="center"/>
                </w:tcPr>
                <w:p w14:paraId="77389013">
                  <w:pPr>
                    <w:spacing w:line="240" w:lineRule="auto"/>
                    <w:ind w:firstLine="0" w:firstLineChars="0"/>
                    <w:jc w:val="center"/>
                    <w:rPr>
                      <w:color w:val="auto"/>
                      <w:sz w:val="21"/>
                      <w:szCs w:val="21"/>
                    </w:rPr>
                  </w:pPr>
                </w:p>
              </w:tc>
            </w:tr>
            <w:tr w14:paraId="3B80C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657" w:type="dxa"/>
                  <w:noWrap w:val="0"/>
                  <w:vAlign w:val="center"/>
                </w:tcPr>
                <w:p w14:paraId="2127AF86">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11</w:t>
                  </w:r>
                </w:p>
              </w:tc>
              <w:tc>
                <w:tcPr>
                  <w:tcW w:w="796" w:type="dxa"/>
                  <w:vMerge w:val="continue"/>
                  <w:noWrap w:val="0"/>
                  <w:vAlign w:val="center"/>
                </w:tcPr>
                <w:p w14:paraId="3175C85B">
                  <w:pPr>
                    <w:spacing w:line="240" w:lineRule="auto"/>
                    <w:ind w:firstLine="0" w:firstLineChars="0"/>
                    <w:jc w:val="center"/>
                    <w:rPr>
                      <w:rFonts w:hint="eastAsia"/>
                      <w:color w:val="auto"/>
                      <w:sz w:val="21"/>
                      <w:szCs w:val="21"/>
                    </w:rPr>
                  </w:pPr>
                </w:p>
              </w:tc>
              <w:tc>
                <w:tcPr>
                  <w:tcW w:w="1350" w:type="dxa"/>
                  <w:vMerge w:val="continue"/>
                  <w:noWrap w:val="0"/>
                  <w:vAlign w:val="center"/>
                </w:tcPr>
                <w:p w14:paraId="197E0DD5">
                  <w:pPr>
                    <w:spacing w:line="240" w:lineRule="auto"/>
                    <w:ind w:firstLine="0" w:firstLineChars="0"/>
                    <w:jc w:val="center"/>
                    <w:rPr>
                      <w:rFonts w:hint="eastAsia"/>
                      <w:color w:val="auto"/>
                      <w:sz w:val="21"/>
                      <w:szCs w:val="21"/>
                    </w:rPr>
                  </w:pPr>
                </w:p>
              </w:tc>
              <w:tc>
                <w:tcPr>
                  <w:tcW w:w="1350" w:type="dxa"/>
                  <w:vMerge w:val="continue"/>
                  <w:noWrap w:val="0"/>
                  <w:vAlign w:val="center"/>
                </w:tcPr>
                <w:p w14:paraId="118858E7">
                  <w:pPr>
                    <w:spacing w:line="240" w:lineRule="auto"/>
                    <w:ind w:firstLine="0" w:firstLineChars="0"/>
                    <w:jc w:val="center"/>
                    <w:rPr>
                      <w:rFonts w:hint="eastAsia"/>
                      <w:color w:val="auto"/>
                      <w:sz w:val="21"/>
                      <w:szCs w:val="21"/>
                    </w:rPr>
                  </w:pPr>
                </w:p>
              </w:tc>
              <w:tc>
                <w:tcPr>
                  <w:tcW w:w="1293" w:type="dxa"/>
                  <w:vMerge w:val="continue"/>
                  <w:noWrap w:val="0"/>
                  <w:vAlign w:val="center"/>
                </w:tcPr>
                <w:p w14:paraId="4FE95B04">
                  <w:pPr>
                    <w:spacing w:line="240" w:lineRule="auto"/>
                    <w:ind w:firstLine="0" w:firstLineChars="0"/>
                    <w:jc w:val="center"/>
                    <w:rPr>
                      <w:color w:val="auto"/>
                      <w:sz w:val="21"/>
                      <w:szCs w:val="21"/>
                    </w:rPr>
                  </w:pPr>
                </w:p>
              </w:tc>
              <w:tc>
                <w:tcPr>
                  <w:tcW w:w="1269" w:type="dxa"/>
                  <w:noWrap w:val="0"/>
                  <w:vAlign w:val="center"/>
                </w:tcPr>
                <w:p w14:paraId="528C8B53">
                  <w:pPr>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臭气浓度</w:t>
                  </w:r>
                </w:p>
              </w:tc>
              <w:tc>
                <w:tcPr>
                  <w:tcW w:w="1062" w:type="dxa"/>
                  <w:noWrap w:val="0"/>
                  <w:vAlign w:val="center"/>
                </w:tcPr>
                <w:p w14:paraId="30330BA1">
                  <w:pPr>
                    <w:spacing w:line="240" w:lineRule="auto"/>
                    <w:ind w:firstLine="0" w:firstLineChars="0"/>
                    <w:jc w:val="center"/>
                    <w:rPr>
                      <w:rFonts w:hint="eastAsia"/>
                      <w:color w:val="auto"/>
                      <w:sz w:val="21"/>
                      <w:szCs w:val="21"/>
                    </w:rPr>
                  </w:pPr>
                  <w:r>
                    <w:rPr>
                      <w:rFonts w:hint="eastAsia"/>
                      <w:color w:val="auto"/>
                      <w:sz w:val="21"/>
                      <w:szCs w:val="21"/>
                    </w:rPr>
                    <w:t>手工</w:t>
                  </w:r>
                </w:p>
              </w:tc>
              <w:tc>
                <w:tcPr>
                  <w:tcW w:w="1419" w:type="dxa"/>
                  <w:noWrap w:val="0"/>
                  <w:vAlign w:val="center"/>
                </w:tcPr>
                <w:p w14:paraId="43D94042">
                  <w:pPr>
                    <w:spacing w:line="240" w:lineRule="auto"/>
                    <w:ind w:firstLine="0" w:firstLineChars="0"/>
                    <w:jc w:val="center"/>
                    <w:rPr>
                      <w:color w:val="auto"/>
                      <w:kern w:val="0"/>
                      <w:sz w:val="21"/>
                      <w:szCs w:val="21"/>
                    </w:rPr>
                  </w:pPr>
                  <w:r>
                    <w:rPr>
                      <w:color w:val="auto"/>
                      <w:kern w:val="0"/>
                      <w:sz w:val="21"/>
                      <w:szCs w:val="21"/>
                    </w:rPr>
                    <w:t>非连续采样至少3个</w:t>
                  </w:r>
                </w:p>
              </w:tc>
              <w:tc>
                <w:tcPr>
                  <w:tcW w:w="1108" w:type="dxa"/>
                  <w:noWrap w:val="0"/>
                  <w:vAlign w:val="center"/>
                </w:tcPr>
                <w:p w14:paraId="7AE6AE3F">
                  <w:pPr>
                    <w:spacing w:line="240" w:lineRule="auto"/>
                    <w:ind w:firstLine="0" w:firstLineChars="0"/>
                    <w:jc w:val="center"/>
                    <w:rPr>
                      <w:rFonts w:hint="eastAsia"/>
                      <w:color w:val="auto"/>
                      <w:sz w:val="21"/>
                      <w:szCs w:val="21"/>
                    </w:rPr>
                  </w:pPr>
                  <w:r>
                    <w:rPr>
                      <w:rFonts w:hint="eastAsia"/>
                      <w:color w:val="auto"/>
                      <w:sz w:val="21"/>
                      <w:szCs w:val="21"/>
                    </w:rPr>
                    <w:t>一次/年</w:t>
                  </w:r>
                </w:p>
              </w:tc>
              <w:tc>
                <w:tcPr>
                  <w:tcW w:w="1599" w:type="dxa"/>
                  <w:noWrap w:val="0"/>
                  <w:vAlign w:val="center"/>
                </w:tcPr>
                <w:p w14:paraId="6C4E14E5">
                  <w:pPr>
                    <w:spacing w:line="240" w:lineRule="auto"/>
                    <w:ind w:firstLine="0" w:firstLineChars="0"/>
                    <w:jc w:val="center"/>
                    <w:rPr>
                      <w:rFonts w:hint="eastAsia"/>
                      <w:color w:val="auto"/>
                      <w:sz w:val="21"/>
                      <w:szCs w:val="21"/>
                      <w:lang w:val="en-US" w:eastAsia="zh-CN"/>
                    </w:rPr>
                  </w:pPr>
                  <w:r>
                    <w:rPr>
                      <w:rFonts w:hint="eastAsia" w:eastAsia="宋体"/>
                      <w:color w:val="auto"/>
                      <w:sz w:val="21"/>
                      <w:szCs w:val="21"/>
                      <w:lang w:eastAsia="zh-CN"/>
                    </w:rPr>
                    <w:fldChar w:fldCharType="begin"/>
                  </w:r>
                  <w:r>
                    <w:rPr>
                      <w:rFonts w:hint="eastAsia" w:eastAsia="宋体"/>
                      <w:color w:val="auto"/>
                      <w:sz w:val="21"/>
                      <w:szCs w:val="21"/>
                      <w:lang w:eastAsia="zh-CN"/>
                    </w:rPr>
                    <w:instrText xml:space="preserve"> HYPERLINK "https://www.mee.gov.cn/ywgz/fgbz/bz/bzwb/jcffbz/202209/W020220922551201899953.pdf" </w:instrText>
                  </w:r>
                  <w:r>
                    <w:rPr>
                      <w:rFonts w:hint="eastAsia" w:eastAsia="宋体"/>
                      <w:color w:val="auto"/>
                      <w:sz w:val="21"/>
                      <w:szCs w:val="21"/>
                      <w:lang w:eastAsia="zh-CN"/>
                    </w:rPr>
                    <w:fldChar w:fldCharType="separate"/>
                  </w:r>
                  <w:r>
                    <w:rPr>
                      <w:rFonts w:hint="eastAsia" w:eastAsia="宋体"/>
                      <w:color w:val="auto"/>
                      <w:sz w:val="21"/>
                      <w:szCs w:val="21"/>
                      <w:lang w:eastAsia="zh-CN"/>
                    </w:rPr>
                    <w:t>环境空气和废气 臭气的测定 三点比较式臭袋法（HJ 1262—2022）</w:t>
                  </w:r>
                  <w:r>
                    <w:rPr>
                      <w:rFonts w:hint="eastAsia" w:eastAsia="宋体"/>
                      <w:color w:val="auto"/>
                      <w:sz w:val="21"/>
                      <w:szCs w:val="21"/>
                      <w:lang w:eastAsia="zh-CN"/>
                    </w:rPr>
                    <w:fldChar w:fldCharType="end"/>
                  </w:r>
                </w:p>
              </w:tc>
              <w:tc>
                <w:tcPr>
                  <w:tcW w:w="1621" w:type="dxa"/>
                  <w:vMerge w:val="continue"/>
                  <w:noWrap w:val="0"/>
                  <w:vAlign w:val="center"/>
                </w:tcPr>
                <w:p w14:paraId="3C7B2586">
                  <w:pPr>
                    <w:spacing w:line="240" w:lineRule="auto"/>
                    <w:ind w:firstLine="0" w:firstLineChars="0"/>
                    <w:jc w:val="center"/>
                    <w:rPr>
                      <w:rFonts w:hint="eastAsia"/>
                      <w:color w:val="auto"/>
                      <w:sz w:val="21"/>
                      <w:szCs w:val="21"/>
                      <w:lang w:val="en-US" w:eastAsia="zh-CN"/>
                    </w:rPr>
                  </w:pPr>
                </w:p>
              </w:tc>
              <w:tc>
                <w:tcPr>
                  <w:tcW w:w="1028" w:type="dxa"/>
                  <w:vMerge w:val="continue"/>
                  <w:noWrap w:val="0"/>
                  <w:vAlign w:val="center"/>
                </w:tcPr>
                <w:p w14:paraId="1F8D59A7">
                  <w:pPr>
                    <w:spacing w:line="240" w:lineRule="auto"/>
                    <w:ind w:firstLine="0" w:firstLineChars="0"/>
                    <w:jc w:val="center"/>
                    <w:rPr>
                      <w:color w:val="auto"/>
                      <w:sz w:val="21"/>
                      <w:szCs w:val="21"/>
                    </w:rPr>
                  </w:pPr>
                </w:p>
              </w:tc>
            </w:tr>
          </w:tbl>
          <w:p w14:paraId="0B43978C">
            <w:pPr>
              <w:ind w:firstLine="0" w:firstLineChars="0"/>
              <w:rPr>
                <w:color w:val="auto"/>
              </w:rPr>
            </w:pPr>
          </w:p>
        </w:tc>
      </w:tr>
    </w:tbl>
    <w:p w14:paraId="23C32437">
      <w:pPr>
        <w:ind w:firstLine="0" w:firstLineChars="0"/>
        <w:rPr>
          <w:rFonts w:hint="eastAsia"/>
          <w:color w:val="auto"/>
        </w:rPr>
        <w:sectPr>
          <w:pgSz w:w="16838" w:h="11905" w:orient="landscape"/>
          <w:pgMar w:top="1531" w:right="850" w:bottom="1531" w:left="850" w:header="851" w:footer="850" w:gutter="0"/>
          <w:pgNumType w:fmt="decimal"/>
          <w:cols w:space="720" w:num="1"/>
          <w:docGrid w:type="linesAndChars"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14819"/>
      </w:tblGrid>
      <w:tr w14:paraId="2CA9D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0" w:hRule="atLeast"/>
        </w:trPr>
        <w:tc>
          <w:tcPr>
            <w:tcW w:w="535" w:type="dxa"/>
          </w:tcPr>
          <w:p w14:paraId="51DC097D">
            <w:pPr>
              <w:rPr>
                <w:rFonts w:hint="eastAsia"/>
                <w:color w:val="auto"/>
                <w:vertAlign w:val="baseline"/>
              </w:rPr>
            </w:pPr>
          </w:p>
        </w:tc>
        <w:tc>
          <w:tcPr>
            <w:tcW w:w="14819" w:type="dxa"/>
          </w:tcPr>
          <w:p w14:paraId="59030CBB">
            <w:pPr>
              <w:ind w:firstLine="482"/>
              <w:rPr>
                <w:rFonts w:hint="eastAsia"/>
                <w:color w:val="auto"/>
              </w:rPr>
            </w:pPr>
            <w:r>
              <w:rPr>
                <w:rFonts w:hint="eastAsia"/>
                <w:b/>
                <w:bCs/>
                <w:color w:val="auto"/>
              </w:rPr>
              <w:t>污染源强核算过程</w:t>
            </w:r>
          </w:p>
          <w:p w14:paraId="61316A56">
            <w:pPr>
              <w:ind w:firstLine="480"/>
              <w:rPr>
                <w:rFonts w:hint="default" w:eastAsia="宋体"/>
                <w:b/>
                <w:bCs/>
                <w:color w:val="auto"/>
                <w:lang w:val="en-US" w:eastAsia="zh-CN"/>
              </w:rPr>
            </w:pPr>
            <w:r>
              <w:rPr>
                <w:rFonts w:hint="eastAsia"/>
                <w:b/>
                <w:bCs/>
                <w:color w:val="auto"/>
                <w:lang w:eastAsia="zh-CN"/>
              </w:rPr>
              <w:t>（</w:t>
            </w:r>
            <w:r>
              <w:rPr>
                <w:rFonts w:hint="eastAsia"/>
                <w:b/>
                <w:bCs/>
                <w:color w:val="auto"/>
                <w:lang w:val="en-US" w:eastAsia="zh-CN"/>
              </w:rPr>
              <w:t>1）配料、投料粉尘</w:t>
            </w:r>
          </w:p>
          <w:p w14:paraId="1F18B275">
            <w:pPr>
              <w:ind w:firstLine="480"/>
              <w:rPr>
                <w:rFonts w:hint="eastAsia"/>
                <w:b w:val="0"/>
                <w:bCs w:val="0"/>
                <w:color w:val="auto"/>
              </w:rPr>
            </w:pPr>
            <w:r>
              <w:rPr>
                <w:rFonts w:hint="eastAsia"/>
                <w:b w:val="0"/>
                <w:bCs w:val="0"/>
                <w:color w:val="auto"/>
                <w:lang w:val="en-US" w:eastAsia="zh-CN"/>
              </w:rPr>
              <w:t>本项目</w:t>
            </w:r>
            <w:r>
              <w:rPr>
                <w:rFonts w:hint="eastAsia"/>
                <w:b w:val="0"/>
                <w:bCs w:val="0"/>
                <w:color w:val="auto"/>
              </w:rPr>
              <w:t>粉料配料</w:t>
            </w:r>
            <w:r>
              <w:rPr>
                <w:rFonts w:hint="eastAsia"/>
                <w:b w:val="0"/>
                <w:bCs w:val="0"/>
                <w:color w:val="auto"/>
                <w:lang w:val="en-US" w:eastAsia="zh-CN"/>
              </w:rPr>
              <w:t>、投料</w:t>
            </w:r>
            <w:r>
              <w:rPr>
                <w:rFonts w:hint="eastAsia"/>
                <w:b w:val="0"/>
                <w:bCs w:val="0"/>
                <w:color w:val="auto"/>
              </w:rPr>
              <w:t>工序年运行时间约600h，颗粒物的产生量参考《环境影响评价实用技术指南》</w:t>
            </w:r>
            <w:r>
              <w:rPr>
                <w:rFonts w:hint="eastAsia"/>
                <w:b w:val="0"/>
                <w:bCs w:val="0"/>
                <w:color w:val="auto"/>
                <w:lang w:eastAsia="zh-CN"/>
              </w:rPr>
              <w:t>（</w:t>
            </w:r>
            <w:r>
              <w:rPr>
                <w:rFonts w:hint="eastAsia"/>
                <w:b w:val="0"/>
                <w:bCs w:val="0"/>
                <w:color w:val="auto"/>
              </w:rPr>
              <w:t>李爱贞主编</w:t>
            </w:r>
            <w:r>
              <w:rPr>
                <w:rFonts w:hint="eastAsia"/>
                <w:b w:val="0"/>
                <w:bCs w:val="0"/>
                <w:color w:val="auto"/>
                <w:lang w:eastAsia="zh-CN"/>
              </w:rPr>
              <w:t>）</w:t>
            </w:r>
            <w:r>
              <w:rPr>
                <w:rFonts w:hint="eastAsia"/>
                <w:b w:val="0"/>
                <w:bCs w:val="0"/>
                <w:color w:val="auto"/>
              </w:rPr>
              <w:t>中推荐的经验系数进行估算，按原材料的0.</w:t>
            </w:r>
            <w:r>
              <w:rPr>
                <w:rFonts w:hint="eastAsia"/>
                <w:b w:val="0"/>
                <w:bCs w:val="0"/>
                <w:color w:val="auto"/>
                <w:lang w:val="en-US" w:eastAsia="zh-CN"/>
              </w:rPr>
              <w:t>0</w:t>
            </w:r>
            <w:r>
              <w:rPr>
                <w:rFonts w:hint="eastAsia"/>
                <w:b w:val="0"/>
                <w:bCs w:val="0"/>
                <w:color w:val="auto"/>
              </w:rPr>
              <w:t>1%~0.</w:t>
            </w:r>
            <w:r>
              <w:rPr>
                <w:rFonts w:hint="eastAsia"/>
                <w:b w:val="0"/>
                <w:bCs w:val="0"/>
                <w:color w:val="auto"/>
                <w:lang w:val="en-US" w:eastAsia="zh-CN"/>
              </w:rPr>
              <w:t>04</w:t>
            </w:r>
            <w:r>
              <w:rPr>
                <w:rFonts w:hint="eastAsia"/>
                <w:b w:val="0"/>
                <w:bCs w:val="0"/>
                <w:color w:val="auto"/>
              </w:rPr>
              <w:t>%计，项目配料</w:t>
            </w:r>
            <w:r>
              <w:rPr>
                <w:rFonts w:hint="eastAsia"/>
                <w:b w:val="0"/>
                <w:bCs w:val="0"/>
                <w:color w:val="auto"/>
                <w:lang w:val="en-US" w:eastAsia="zh-CN"/>
              </w:rPr>
              <w:t>、投料均</w:t>
            </w:r>
            <w:r>
              <w:rPr>
                <w:rFonts w:hint="eastAsia"/>
                <w:b w:val="0"/>
                <w:bCs w:val="0"/>
                <w:color w:val="auto"/>
              </w:rPr>
              <w:t>取0.</w:t>
            </w:r>
            <w:r>
              <w:rPr>
                <w:rFonts w:hint="eastAsia"/>
                <w:b w:val="0"/>
                <w:bCs w:val="0"/>
                <w:color w:val="auto"/>
                <w:lang w:val="en-US" w:eastAsia="zh-CN"/>
              </w:rPr>
              <w:t>04</w:t>
            </w:r>
            <w:r>
              <w:rPr>
                <w:rFonts w:hint="eastAsia"/>
                <w:b w:val="0"/>
                <w:bCs w:val="0"/>
                <w:color w:val="auto"/>
              </w:rPr>
              <w:t>%进行计算，本项目粉料用量</w:t>
            </w:r>
            <w:r>
              <w:rPr>
                <w:rFonts w:hint="eastAsia"/>
                <w:b w:val="0"/>
                <w:bCs w:val="0"/>
                <w:color w:val="auto"/>
                <w:lang w:val="en-US" w:eastAsia="zh-CN"/>
              </w:rPr>
              <w:t>2649</w:t>
            </w:r>
            <w:r>
              <w:rPr>
                <w:rFonts w:hint="eastAsia"/>
                <w:b w:val="0"/>
                <w:bCs w:val="0"/>
                <w:color w:val="auto"/>
              </w:rPr>
              <w:t>t/a，则</w:t>
            </w:r>
            <w:r>
              <w:rPr>
                <w:rFonts w:hint="eastAsia"/>
                <w:b w:val="0"/>
                <w:bCs w:val="0"/>
                <w:color w:val="auto"/>
                <w:lang w:val="en-US" w:eastAsia="zh-CN"/>
              </w:rPr>
              <w:t>配料</w:t>
            </w:r>
            <w:r>
              <w:rPr>
                <w:rFonts w:hint="eastAsia"/>
                <w:b w:val="0"/>
                <w:bCs w:val="0"/>
                <w:color w:val="auto"/>
              </w:rPr>
              <w:t>颗粒物产生量为</w:t>
            </w:r>
            <w:r>
              <w:rPr>
                <w:rFonts w:hint="eastAsia"/>
                <w:b w:val="0"/>
                <w:bCs w:val="0"/>
                <w:color w:val="auto"/>
                <w:lang w:val="en-US" w:eastAsia="zh-CN"/>
              </w:rPr>
              <w:t>1.06</w:t>
            </w:r>
            <w:r>
              <w:rPr>
                <w:rFonts w:hint="eastAsia"/>
                <w:b w:val="0"/>
                <w:bCs w:val="0"/>
                <w:color w:val="auto"/>
              </w:rPr>
              <w:t>t/a</w:t>
            </w:r>
            <w:r>
              <w:rPr>
                <w:rFonts w:hint="eastAsia"/>
                <w:b w:val="0"/>
                <w:bCs w:val="0"/>
                <w:color w:val="auto"/>
                <w:lang w:eastAsia="zh-CN"/>
              </w:rPr>
              <w:t>，</w:t>
            </w:r>
            <w:r>
              <w:rPr>
                <w:rFonts w:hint="eastAsia"/>
                <w:b w:val="0"/>
                <w:bCs w:val="0"/>
                <w:color w:val="auto"/>
                <w:lang w:val="en-US" w:eastAsia="zh-CN"/>
              </w:rPr>
              <w:t>投料</w:t>
            </w:r>
            <w:r>
              <w:rPr>
                <w:rFonts w:hint="eastAsia"/>
                <w:b w:val="0"/>
                <w:bCs w:val="0"/>
                <w:color w:val="auto"/>
              </w:rPr>
              <w:t>颗粒物产生量为</w:t>
            </w:r>
            <w:r>
              <w:rPr>
                <w:rFonts w:hint="eastAsia"/>
                <w:b w:val="0"/>
                <w:bCs w:val="0"/>
                <w:color w:val="auto"/>
                <w:lang w:val="en-US" w:eastAsia="zh-CN"/>
              </w:rPr>
              <w:t>1.06</w:t>
            </w:r>
            <w:r>
              <w:rPr>
                <w:rFonts w:hint="eastAsia"/>
                <w:b w:val="0"/>
                <w:bCs w:val="0"/>
                <w:color w:val="auto"/>
              </w:rPr>
              <w:t>t/a。</w:t>
            </w:r>
            <w:r>
              <w:rPr>
                <w:rFonts w:hint="eastAsia"/>
                <w:color w:val="auto"/>
                <w:lang w:val="en-US" w:eastAsia="zh-CN"/>
              </w:rPr>
              <w:t>配料颗粒物通过密闭配料间内部集风管收集</w:t>
            </w:r>
            <w:r>
              <w:rPr>
                <w:color w:val="auto"/>
              </w:rPr>
              <w:t>，</w:t>
            </w:r>
            <w:r>
              <w:rPr>
                <w:rFonts w:hint="eastAsia"/>
                <w:color w:val="auto"/>
                <w:lang w:val="en-US" w:eastAsia="zh-CN"/>
              </w:rPr>
              <w:t>配料间规格为5*5*3m，换气次数为24次/h，配料工序风量合计为1800</w:t>
            </w:r>
            <w:r>
              <w:rPr>
                <w:rFonts w:hint="eastAsia"/>
                <w:color w:val="auto"/>
              </w:rPr>
              <w:t>m³/h</w:t>
            </w:r>
            <w:r>
              <w:rPr>
                <w:rFonts w:hint="eastAsia"/>
                <w:color w:val="auto"/>
                <w:lang w:eastAsia="zh-CN"/>
              </w:rPr>
              <w:t>。</w:t>
            </w:r>
            <w:r>
              <w:rPr>
                <w:rFonts w:hint="eastAsia"/>
                <w:color w:val="auto"/>
                <w:lang w:val="en-US" w:eastAsia="zh-CN"/>
              </w:rPr>
              <w:t>投料颗粒物通过集气罩进行收集</w:t>
            </w:r>
            <w:r>
              <w:rPr>
                <w:color w:val="auto"/>
              </w:rPr>
              <w:t>，本项目</w:t>
            </w:r>
            <w:r>
              <w:rPr>
                <w:rFonts w:hint="eastAsia"/>
                <w:color w:val="auto"/>
                <w:lang w:val="en-US" w:eastAsia="zh-CN"/>
              </w:rPr>
              <w:t>共设置3台密炼机，单个投料口</w:t>
            </w:r>
            <w:r>
              <w:rPr>
                <w:rFonts w:hint="eastAsia"/>
                <w:color w:val="auto"/>
              </w:rPr>
              <w:t>集气罩</w:t>
            </w:r>
            <w:r>
              <w:rPr>
                <w:rFonts w:hint="eastAsia"/>
                <w:color w:val="auto"/>
                <w:spacing w:val="-4"/>
              </w:rPr>
              <w:t>尺寸为1m</w:t>
            </w:r>
            <w:r>
              <w:rPr>
                <w:rFonts w:ascii="Arial" w:hAnsi="Arial" w:cs="Arial"/>
                <w:color w:val="auto"/>
                <w:spacing w:val="-4"/>
              </w:rPr>
              <w:t>×</w:t>
            </w:r>
            <w:r>
              <w:rPr>
                <w:rFonts w:hint="eastAsia"/>
                <w:color w:val="auto"/>
                <w:spacing w:val="-4"/>
              </w:rPr>
              <w:t>1m，</w:t>
            </w:r>
            <w:r>
              <w:rPr>
                <w:rFonts w:hint="eastAsia"/>
                <w:color w:val="auto"/>
              </w:rPr>
              <w:t>集气罩</w:t>
            </w:r>
            <w:r>
              <w:rPr>
                <w:rFonts w:hint="eastAsia"/>
                <w:color w:val="auto"/>
                <w:lang w:val="en-US" w:eastAsia="zh-CN"/>
              </w:rPr>
              <w:t>距离产尘点高度为0.3m，</w:t>
            </w:r>
            <w:r>
              <w:rPr>
                <w:rFonts w:hint="eastAsia"/>
                <w:color w:val="auto"/>
                <w:spacing w:val="-4"/>
              </w:rPr>
              <w:t>边缘风速要求不小于0.3m/s，本次评价取0.4m/s</w:t>
            </w:r>
            <w:r>
              <w:rPr>
                <w:rFonts w:hint="eastAsia"/>
                <w:color w:val="auto"/>
                <w:spacing w:val="-4"/>
                <w:lang w:eastAsia="zh-CN"/>
              </w:rPr>
              <w:t>。</w:t>
            </w:r>
            <w:r>
              <w:rPr>
                <w:rFonts w:hint="eastAsia"/>
                <w:color w:val="auto"/>
                <w:spacing w:val="-4"/>
              </w:rPr>
              <w:t>则</w:t>
            </w:r>
            <w:r>
              <w:rPr>
                <w:rFonts w:hint="eastAsia"/>
                <w:color w:val="auto"/>
              </w:rPr>
              <w:t>单个集气罩风量为1400m³/h</w:t>
            </w:r>
            <w:r>
              <w:rPr>
                <w:rFonts w:hint="eastAsia"/>
                <w:color w:val="auto"/>
                <w:kern w:val="0"/>
                <w:lang w:eastAsia="zh-CN"/>
              </w:rPr>
              <w:t>，</w:t>
            </w:r>
            <w:r>
              <w:rPr>
                <w:rFonts w:hint="eastAsia"/>
                <w:color w:val="auto"/>
                <w:lang w:val="en-US" w:eastAsia="zh-CN"/>
              </w:rPr>
              <w:t>投料工序风量合计为4200</w:t>
            </w:r>
            <w:r>
              <w:rPr>
                <w:rFonts w:hint="eastAsia"/>
                <w:color w:val="auto"/>
              </w:rPr>
              <w:t>m³/h</w:t>
            </w:r>
            <w:r>
              <w:rPr>
                <w:rFonts w:hint="eastAsia"/>
                <w:color w:val="auto"/>
                <w:lang w:eastAsia="zh-CN"/>
              </w:rPr>
              <w:t>。</w:t>
            </w:r>
          </w:p>
          <w:p w14:paraId="6EFDF95A">
            <w:pPr>
              <w:ind w:firstLine="480"/>
              <w:rPr>
                <w:rFonts w:hint="eastAsia"/>
                <w:b/>
                <w:bCs/>
                <w:color w:val="auto"/>
              </w:rPr>
            </w:pPr>
            <w:r>
              <w:rPr>
                <w:color w:val="auto"/>
              </w:rPr>
              <w:t>收集的</w:t>
            </w:r>
            <w:r>
              <w:rPr>
                <w:rFonts w:hint="eastAsia"/>
                <w:color w:val="auto"/>
                <w:lang w:val="en-US" w:eastAsia="zh-CN"/>
              </w:rPr>
              <w:t>颗粒物</w:t>
            </w:r>
            <w:r>
              <w:rPr>
                <w:color w:val="auto"/>
              </w:rPr>
              <w:t>经</w:t>
            </w:r>
            <w:r>
              <w:rPr>
                <w:rFonts w:hint="eastAsia"/>
                <w:color w:val="auto"/>
                <w:lang w:val="en-US" w:eastAsia="zh-CN"/>
              </w:rPr>
              <w:t>布袋除尘器+二级活性炭吸附装置</w:t>
            </w:r>
            <w:r>
              <w:rPr>
                <w:color w:val="auto"/>
              </w:rPr>
              <w:t>处理后，</w:t>
            </w:r>
            <w:r>
              <w:rPr>
                <w:rFonts w:hint="eastAsia"/>
                <w:color w:val="auto"/>
                <w:lang w:val="en-US" w:eastAsia="zh-CN"/>
              </w:rPr>
              <w:t>经过15m高排气筒（DA001）排放</w:t>
            </w:r>
            <w:r>
              <w:rPr>
                <w:color w:val="auto"/>
              </w:rPr>
              <w:t>。</w:t>
            </w:r>
            <w:r>
              <w:rPr>
                <w:rFonts w:hint="eastAsia"/>
                <w:color w:val="auto"/>
                <w:lang w:eastAsia="zh-CN"/>
              </w:rPr>
              <w:t>项目</w:t>
            </w:r>
            <w:r>
              <w:rPr>
                <w:rFonts w:hint="eastAsia"/>
                <w:color w:val="auto"/>
                <w:lang w:val="en-US" w:eastAsia="zh-CN"/>
              </w:rPr>
              <w:t>配料工序颗粒物</w:t>
            </w:r>
            <w:r>
              <w:rPr>
                <w:rFonts w:hint="eastAsia"/>
                <w:color w:val="auto"/>
                <w:lang w:eastAsia="zh-CN"/>
              </w:rPr>
              <w:t>收集效率以</w:t>
            </w:r>
            <w:r>
              <w:rPr>
                <w:rFonts w:hint="eastAsia"/>
                <w:color w:val="auto"/>
                <w:lang w:val="en-US" w:eastAsia="zh-CN"/>
              </w:rPr>
              <w:t>95%计，投料工序颗粒物</w:t>
            </w:r>
            <w:r>
              <w:rPr>
                <w:rFonts w:hint="eastAsia"/>
                <w:color w:val="auto"/>
                <w:lang w:eastAsia="zh-CN"/>
              </w:rPr>
              <w:t>收集效率以</w:t>
            </w:r>
            <w:r>
              <w:rPr>
                <w:rFonts w:hint="eastAsia"/>
                <w:color w:val="auto"/>
                <w:lang w:val="en-US" w:eastAsia="zh-CN"/>
              </w:rPr>
              <w:t>90%计，</w:t>
            </w:r>
            <w:r>
              <w:rPr>
                <w:color w:val="auto"/>
              </w:rPr>
              <w:t>处理效率以9</w:t>
            </w:r>
            <w:r>
              <w:rPr>
                <w:rFonts w:hint="eastAsia"/>
                <w:color w:val="auto"/>
                <w:lang w:val="en-US" w:eastAsia="zh-CN"/>
              </w:rPr>
              <w:t>9</w:t>
            </w:r>
            <w:r>
              <w:rPr>
                <w:color w:val="auto"/>
              </w:rPr>
              <w:t>%计；则</w:t>
            </w:r>
            <w:r>
              <w:rPr>
                <w:rFonts w:hint="eastAsia"/>
                <w:color w:val="auto"/>
                <w:lang w:eastAsia="zh-CN"/>
              </w:rPr>
              <w:t>项目</w:t>
            </w:r>
            <w:r>
              <w:rPr>
                <w:rFonts w:hint="eastAsia"/>
                <w:color w:val="auto"/>
                <w:lang w:val="en-US" w:eastAsia="zh-CN"/>
              </w:rPr>
              <w:t>配料颗粒物有组织</w:t>
            </w:r>
            <w:r>
              <w:rPr>
                <w:rFonts w:hint="eastAsia"/>
                <w:color w:val="auto"/>
                <w:lang w:eastAsia="zh-CN"/>
              </w:rPr>
              <w:t>排放量为</w:t>
            </w:r>
            <w:r>
              <w:rPr>
                <w:rFonts w:hint="eastAsia"/>
                <w:color w:val="auto"/>
              </w:rPr>
              <w:t>0.</w:t>
            </w:r>
            <w:r>
              <w:rPr>
                <w:rFonts w:hint="eastAsia"/>
                <w:color w:val="auto"/>
                <w:lang w:val="en-US" w:eastAsia="zh-CN"/>
              </w:rPr>
              <w:t>01t</w:t>
            </w:r>
            <w:r>
              <w:rPr>
                <w:color w:val="auto"/>
              </w:rPr>
              <w:t>/a</w:t>
            </w:r>
            <w:r>
              <w:rPr>
                <w:rFonts w:hint="eastAsia"/>
                <w:color w:val="auto"/>
                <w:lang w:eastAsia="zh-CN"/>
              </w:rPr>
              <w:t>、</w:t>
            </w:r>
            <w:r>
              <w:rPr>
                <w:rFonts w:hint="eastAsia"/>
                <w:color w:val="auto"/>
                <w:lang w:val="en-US" w:eastAsia="zh-CN"/>
              </w:rPr>
              <w:t>0.017kg/h、9.324mg/m³</w:t>
            </w:r>
            <w:r>
              <w:rPr>
                <w:rFonts w:hint="eastAsia"/>
                <w:color w:val="auto"/>
                <w:lang w:eastAsia="zh-CN"/>
              </w:rPr>
              <w:t>；</w:t>
            </w:r>
            <w:r>
              <w:rPr>
                <w:rFonts w:hint="eastAsia"/>
                <w:color w:val="auto"/>
                <w:lang w:val="en-US" w:eastAsia="zh-CN"/>
              </w:rPr>
              <w:t>投料颗粒物有组织</w:t>
            </w:r>
            <w:r>
              <w:rPr>
                <w:rFonts w:hint="eastAsia"/>
                <w:color w:val="auto"/>
                <w:lang w:eastAsia="zh-CN"/>
              </w:rPr>
              <w:t>排放量为</w:t>
            </w:r>
            <w:r>
              <w:rPr>
                <w:rFonts w:hint="eastAsia"/>
                <w:color w:val="auto"/>
              </w:rPr>
              <w:t>0.0</w:t>
            </w:r>
            <w:r>
              <w:rPr>
                <w:rFonts w:hint="eastAsia"/>
                <w:color w:val="auto"/>
                <w:lang w:val="en-US" w:eastAsia="zh-CN"/>
              </w:rPr>
              <w:t>09t</w:t>
            </w:r>
            <w:r>
              <w:rPr>
                <w:color w:val="auto"/>
              </w:rPr>
              <w:t>/a</w:t>
            </w:r>
            <w:r>
              <w:rPr>
                <w:rFonts w:hint="eastAsia"/>
                <w:color w:val="auto"/>
                <w:lang w:eastAsia="zh-CN"/>
              </w:rPr>
              <w:t>、</w:t>
            </w:r>
            <w:r>
              <w:rPr>
                <w:rFonts w:hint="eastAsia"/>
                <w:color w:val="auto"/>
                <w:lang w:val="en-US" w:eastAsia="zh-CN"/>
              </w:rPr>
              <w:t>0.016kg/h、3.786mg/m³</w:t>
            </w:r>
            <w:r>
              <w:rPr>
                <w:rFonts w:hint="eastAsia"/>
                <w:color w:val="auto"/>
                <w:lang w:eastAsia="zh-CN"/>
              </w:rPr>
              <w:t>；</w:t>
            </w:r>
            <w:r>
              <w:rPr>
                <w:rFonts w:hint="eastAsia"/>
                <w:color w:val="auto"/>
                <w:lang w:val="en-US" w:eastAsia="zh-CN"/>
              </w:rPr>
              <w:t>颗粒物无组织</w:t>
            </w:r>
            <w:r>
              <w:rPr>
                <w:rFonts w:hint="eastAsia"/>
                <w:color w:val="auto"/>
                <w:lang w:eastAsia="zh-CN"/>
              </w:rPr>
              <w:t>排放量为</w:t>
            </w:r>
            <w:r>
              <w:rPr>
                <w:rFonts w:hint="eastAsia"/>
                <w:color w:val="auto"/>
                <w:lang w:val="en-US" w:eastAsia="zh-CN"/>
              </w:rPr>
              <w:t>0.159t</w:t>
            </w:r>
            <w:r>
              <w:rPr>
                <w:color w:val="auto"/>
              </w:rPr>
              <w:t>/a</w:t>
            </w:r>
            <w:r>
              <w:rPr>
                <w:rFonts w:hint="eastAsia"/>
                <w:color w:val="auto"/>
                <w:lang w:eastAsia="zh-CN"/>
              </w:rPr>
              <w:t>、</w:t>
            </w:r>
            <w:r>
              <w:rPr>
                <w:rFonts w:hint="eastAsia"/>
                <w:color w:val="auto"/>
                <w:lang w:val="en-US" w:eastAsia="zh-CN"/>
              </w:rPr>
              <w:t>0.033kg/h</w:t>
            </w:r>
            <w:r>
              <w:rPr>
                <w:color w:val="auto"/>
              </w:rPr>
              <w:t>。</w:t>
            </w:r>
          </w:p>
          <w:p w14:paraId="6A7E57E8">
            <w:pPr>
              <w:ind w:firstLine="480"/>
              <w:rPr>
                <w:rFonts w:hint="default" w:eastAsia="宋体"/>
                <w:b/>
                <w:bCs/>
                <w:color w:val="auto"/>
                <w:lang w:val="en-US" w:eastAsia="zh-CN"/>
              </w:rPr>
            </w:pPr>
            <w:r>
              <w:rPr>
                <w:rFonts w:hint="eastAsia"/>
                <w:b/>
                <w:bCs/>
                <w:color w:val="auto"/>
                <w:lang w:eastAsia="zh-CN"/>
              </w:rPr>
              <w:t>（</w:t>
            </w:r>
            <w:r>
              <w:rPr>
                <w:rFonts w:hint="eastAsia"/>
                <w:b/>
                <w:bCs/>
                <w:color w:val="auto"/>
                <w:lang w:val="en-US" w:eastAsia="zh-CN"/>
              </w:rPr>
              <w:t>2）密炼废气</w:t>
            </w:r>
          </w:p>
          <w:p w14:paraId="7A4443B9">
            <w:pPr>
              <w:ind w:firstLine="480"/>
              <w:rPr>
                <w:rFonts w:hint="eastAsia" w:eastAsia="宋体"/>
                <w:b w:val="0"/>
                <w:bCs w:val="0"/>
                <w:color w:val="auto"/>
                <w:lang w:eastAsia="zh-CN"/>
              </w:rPr>
            </w:pPr>
            <w:r>
              <w:rPr>
                <w:rFonts w:hint="eastAsia"/>
                <w:b w:val="0"/>
                <w:bCs w:val="0"/>
                <w:color w:val="auto"/>
                <w:lang w:val="en-US" w:eastAsia="zh-CN"/>
              </w:rPr>
              <w:t>本项目密炼</w:t>
            </w:r>
            <w:r>
              <w:rPr>
                <w:rFonts w:hint="eastAsia"/>
                <w:b w:val="0"/>
                <w:bCs w:val="0"/>
                <w:color w:val="auto"/>
              </w:rPr>
              <w:t>工序年运行时间约</w:t>
            </w:r>
            <w:r>
              <w:rPr>
                <w:rFonts w:hint="eastAsia"/>
                <w:b w:val="0"/>
                <w:bCs w:val="0"/>
                <w:color w:val="auto"/>
                <w:lang w:val="en-US" w:eastAsia="zh-CN"/>
              </w:rPr>
              <w:t>480</w:t>
            </w:r>
            <w:r>
              <w:rPr>
                <w:rFonts w:hint="eastAsia"/>
                <w:b w:val="0"/>
                <w:bCs w:val="0"/>
                <w:color w:val="auto"/>
              </w:rPr>
              <w:t>0h，非甲烷总烃的产生量参考《橡胶制品生产过程中有机废气的排放系数》</w:t>
            </w:r>
            <w:r>
              <w:rPr>
                <w:rFonts w:hint="eastAsia"/>
                <w:b w:val="0"/>
                <w:bCs w:val="0"/>
                <w:color w:val="auto"/>
                <w:lang w:eastAsia="zh-CN"/>
              </w:rPr>
              <w:t>（</w:t>
            </w:r>
            <w:r>
              <w:rPr>
                <w:rFonts w:hint="eastAsia"/>
                <w:b w:val="0"/>
                <w:bCs w:val="0"/>
                <w:color w:val="auto"/>
              </w:rPr>
              <w:t>橡胶工业2006年第53卷第11期，作者</w:t>
            </w:r>
            <w:r>
              <w:rPr>
                <w:rFonts w:hint="eastAsia"/>
                <w:b w:val="0"/>
                <w:bCs w:val="0"/>
                <w:color w:val="auto"/>
                <w:lang w:eastAsia="zh-CN"/>
              </w:rPr>
              <w:t>：</w:t>
            </w:r>
            <w:r>
              <w:rPr>
                <w:rFonts w:hint="eastAsia"/>
                <w:b w:val="0"/>
                <w:bCs w:val="0"/>
                <w:color w:val="auto"/>
              </w:rPr>
              <w:t>张芝兰</w:t>
            </w:r>
            <w:r>
              <w:rPr>
                <w:rFonts w:hint="eastAsia"/>
                <w:b w:val="0"/>
                <w:bCs w:val="0"/>
                <w:color w:val="auto"/>
                <w:lang w:eastAsia="zh-CN"/>
              </w:rPr>
              <w:t>）</w:t>
            </w:r>
            <w:r>
              <w:rPr>
                <w:rFonts w:hint="eastAsia"/>
                <w:b w:val="0"/>
                <w:bCs w:val="0"/>
                <w:color w:val="auto"/>
              </w:rPr>
              <w:t>表2中提供的最大排放系数进行核算，密炼非甲烷总烃最大排放系数为299mg/kg-胶，本项目用胶量为</w:t>
            </w:r>
            <w:r>
              <w:rPr>
                <w:rFonts w:hint="eastAsia"/>
                <w:b w:val="0"/>
                <w:bCs w:val="0"/>
                <w:color w:val="auto"/>
                <w:lang w:val="en-US" w:eastAsia="zh-CN"/>
              </w:rPr>
              <w:t>4660</w:t>
            </w:r>
            <w:r>
              <w:rPr>
                <w:rFonts w:hint="eastAsia"/>
                <w:b w:val="0"/>
                <w:bCs w:val="0"/>
                <w:color w:val="auto"/>
              </w:rPr>
              <w:t>t/a，因此非甲烷总烃产生量为</w:t>
            </w:r>
            <w:r>
              <w:rPr>
                <w:rFonts w:hint="eastAsia"/>
                <w:b w:val="0"/>
                <w:bCs w:val="0"/>
                <w:color w:val="auto"/>
                <w:lang w:val="en-US" w:eastAsia="zh-CN"/>
              </w:rPr>
              <w:t>1.393</w:t>
            </w:r>
            <w:r>
              <w:rPr>
                <w:rFonts w:hint="eastAsia"/>
                <w:b w:val="0"/>
                <w:bCs w:val="0"/>
                <w:color w:val="auto"/>
              </w:rPr>
              <w:t>t/a。</w:t>
            </w:r>
            <w:r>
              <w:rPr>
                <w:rFonts w:hint="eastAsia"/>
                <w:b w:val="0"/>
                <w:bCs w:val="0"/>
                <w:color w:val="auto"/>
                <w:lang w:val="en-US" w:eastAsia="zh-CN"/>
              </w:rPr>
              <w:t>颗粒物的产生量</w:t>
            </w:r>
            <w:r>
              <w:rPr>
                <w:rFonts w:hint="eastAsia"/>
                <w:b w:val="0"/>
                <w:bCs w:val="0"/>
                <w:color w:val="auto"/>
              </w:rPr>
              <w:t>参考《橡胶制品生产过程中有机废气的排放系数》</w:t>
            </w:r>
            <w:r>
              <w:rPr>
                <w:rFonts w:hint="eastAsia"/>
                <w:b w:val="0"/>
                <w:bCs w:val="0"/>
                <w:color w:val="auto"/>
                <w:lang w:eastAsia="zh-CN"/>
              </w:rPr>
              <w:t>（</w:t>
            </w:r>
            <w:r>
              <w:rPr>
                <w:rFonts w:hint="eastAsia"/>
                <w:b w:val="0"/>
                <w:bCs w:val="0"/>
                <w:color w:val="auto"/>
              </w:rPr>
              <w:t>橡胶工业2006年第53卷第11期，作者</w:t>
            </w:r>
            <w:r>
              <w:rPr>
                <w:rFonts w:hint="eastAsia"/>
                <w:b w:val="0"/>
                <w:bCs w:val="0"/>
                <w:color w:val="auto"/>
                <w:lang w:eastAsia="zh-CN"/>
              </w:rPr>
              <w:t>：</w:t>
            </w:r>
            <w:r>
              <w:rPr>
                <w:rFonts w:hint="eastAsia"/>
                <w:b w:val="0"/>
                <w:bCs w:val="0"/>
                <w:color w:val="auto"/>
              </w:rPr>
              <w:t>张芝兰</w:t>
            </w:r>
            <w:r>
              <w:rPr>
                <w:rFonts w:hint="eastAsia"/>
                <w:b w:val="0"/>
                <w:bCs w:val="0"/>
                <w:color w:val="auto"/>
                <w:lang w:eastAsia="zh-CN"/>
              </w:rPr>
              <w:t>）</w:t>
            </w:r>
            <w:r>
              <w:rPr>
                <w:rFonts w:hint="eastAsia"/>
                <w:b w:val="0"/>
                <w:bCs w:val="0"/>
                <w:color w:val="auto"/>
              </w:rPr>
              <w:t>表2中提供的最大排放系数进行核算，密炼</w:t>
            </w:r>
            <w:r>
              <w:rPr>
                <w:rFonts w:hint="eastAsia"/>
                <w:b w:val="0"/>
                <w:bCs w:val="0"/>
                <w:color w:val="auto"/>
                <w:lang w:val="en-US" w:eastAsia="zh-CN"/>
              </w:rPr>
              <w:t>颗粒物</w:t>
            </w:r>
            <w:r>
              <w:rPr>
                <w:rFonts w:hint="eastAsia"/>
                <w:b w:val="0"/>
                <w:bCs w:val="0"/>
                <w:color w:val="auto"/>
              </w:rPr>
              <w:t>最大排放系数为</w:t>
            </w:r>
            <w:r>
              <w:rPr>
                <w:rFonts w:hint="eastAsia"/>
                <w:b w:val="0"/>
                <w:bCs w:val="0"/>
                <w:color w:val="auto"/>
                <w:lang w:val="en-US" w:eastAsia="zh-CN"/>
              </w:rPr>
              <w:t>925</w:t>
            </w:r>
            <w:r>
              <w:rPr>
                <w:rFonts w:hint="eastAsia"/>
                <w:b w:val="0"/>
                <w:bCs w:val="0"/>
                <w:color w:val="auto"/>
              </w:rPr>
              <w:t>mg/kg-胶，本项目用胶量为</w:t>
            </w:r>
            <w:r>
              <w:rPr>
                <w:rFonts w:hint="eastAsia"/>
                <w:b w:val="0"/>
                <w:bCs w:val="0"/>
                <w:color w:val="auto"/>
                <w:lang w:val="en-US" w:eastAsia="zh-CN"/>
              </w:rPr>
              <w:t>4660</w:t>
            </w:r>
            <w:r>
              <w:rPr>
                <w:rFonts w:hint="eastAsia"/>
                <w:b w:val="0"/>
                <w:bCs w:val="0"/>
                <w:color w:val="auto"/>
              </w:rPr>
              <w:t>t/a，因此</w:t>
            </w:r>
            <w:r>
              <w:rPr>
                <w:rFonts w:hint="eastAsia"/>
                <w:b w:val="0"/>
                <w:bCs w:val="0"/>
                <w:color w:val="auto"/>
                <w:lang w:val="en-US" w:eastAsia="zh-CN"/>
              </w:rPr>
              <w:t>颗粒物</w:t>
            </w:r>
            <w:r>
              <w:rPr>
                <w:rFonts w:hint="eastAsia"/>
                <w:b w:val="0"/>
                <w:bCs w:val="0"/>
                <w:color w:val="auto"/>
              </w:rPr>
              <w:t>烃产生量为</w:t>
            </w:r>
            <w:r>
              <w:rPr>
                <w:rFonts w:hint="eastAsia"/>
                <w:b w:val="0"/>
                <w:bCs w:val="0"/>
                <w:color w:val="auto"/>
                <w:lang w:val="en-US" w:eastAsia="zh-CN"/>
              </w:rPr>
              <w:t>4.31</w:t>
            </w:r>
            <w:r>
              <w:rPr>
                <w:rFonts w:hint="eastAsia"/>
                <w:b w:val="0"/>
                <w:bCs w:val="0"/>
                <w:color w:val="auto"/>
              </w:rPr>
              <w:t>t/a。环保设施针对臭气浓度去除效率6</w:t>
            </w:r>
            <w:r>
              <w:rPr>
                <w:rFonts w:hint="eastAsia"/>
                <w:b w:val="0"/>
                <w:bCs w:val="0"/>
                <w:color w:val="auto"/>
                <w:lang w:val="en-US" w:eastAsia="zh-CN"/>
              </w:rPr>
              <w:t>0</w:t>
            </w:r>
            <w:r>
              <w:rPr>
                <w:rFonts w:hint="eastAsia"/>
                <w:b w:val="0"/>
                <w:bCs w:val="0"/>
                <w:color w:val="auto"/>
              </w:rPr>
              <w:t>%</w:t>
            </w:r>
            <w:r>
              <w:rPr>
                <w:rFonts w:hint="eastAsia"/>
                <w:b w:val="0"/>
                <w:bCs w:val="0"/>
                <w:color w:val="auto"/>
                <w:lang w:eastAsia="zh-CN"/>
              </w:rPr>
              <w:t>，</w:t>
            </w:r>
            <w:r>
              <w:rPr>
                <w:rFonts w:hint="eastAsia"/>
                <w:b w:val="0"/>
                <w:bCs w:val="0"/>
                <w:color w:val="auto"/>
              </w:rPr>
              <w:t>类比同类型企业，由《河北祥桓橡塑制品有限公司检验报告》可知经处理后臭气浓度排放浓度为977</w:t>
            </w:r>
            <w:r>
              <w:rPr>
                <w:rFonts w:hint="eastAsia"/>
                <w:b w:val="0"/>
                <w:bCs w:val="0"/>
                <w:color w:val="auto"/>
                <w:lang w:eastAsia="zh-CN"/>
              </w:rPr>
              <w:t>（</w:t>
            </w:r>
            <w:r>
              <w:rPr>
                <w:rFonts w:hint="eastAsia"/>
                <w:b w:val="0"/>
                <w:bCs w:val="0"/>
                <w:color w:val="auto"/>
              </w:rPr>
              <w:t>无量纲</w:t>
            </w:r>
            <w:r>
              <w:rPr>
                <w:rFonts w:hint="eastAsia"/>
                <w:b w:val="0"/>
                <w:bCs w:val="0"/>
                <w:color w:val="auto"/>
                <w:lang w:eastAsia="zh-CN"/>
              </w:rPr>
              <w:t>），</w:t>
            </w:r>
            <w:r>
              <w:rPr>
                <w:rFonts w:hint="eastAsia"/>
                <w:b w:val="0"/>
                <w:bCs w:val="0"/>
                <w:color w:val="auto"/>
              </w:rPr>
              <w:t>则密炼工序臭气浓度为</w:t>
            </w:r>
            <w:r>
              <w:rPr>
                <w:rFonts w:hint="eastAsia"/>
                <w:b w:val="0"/>
                <w:bCs w:val="0"/>
                <w:color w:val="auto"/>
                <w:lang w:val="en-US" w:eastAsia="zh-CN"/>
              </w:rPr>
              <w:t>2442.5</w:t>
            </w:r>
            <w:r>
              <w:rPr>
                <w:rFonts w:hint="eastAsia"/>
                <w:b w:val="0"/>
                <w:bCs w:val="0"/>
                <w:color w:val="auto"/>
                <w:lang w:eastAsia="zh-CN"/>
              </w:rPr>
              <w:t>（</w:t>
            </w:r>
            <w:r>
              <w:rPr>
                <w:rFonts w:hint="eastAsia"/>
                <w:b w:val="0"/>
                <w:bCs w:val="0"/>
                <w:color w:val="auto"/>
              </w:rPr>
              <w:t>无量纲</w:t>
            </w:r>
            <w:r>
              <w:rPr>
                <w:rFonts w:hint="eastAsia"/>
                <w:b w:val="0"/>
                <w:bCs w:val="0"/>
                <w:color w:val="auto"/>
                <w:lang w:eastAsia="zh-CN"/>
              </w:rPr>
              <w:t>）。</w:t>
            </w:r>
          </w:p>
          <w:p w14:paraId="2FDC48BE">
            <w:pPr>
              <w:ind w:firstLine="480"/>
              <w:rPr>
                <w:rFonts w:hint="eastAsia"/>
                <w:b w:val="0"/>
                <w:bCs w:val="0"/>
                <w:color w:val="auto"/>
              </w:rPr>
            </w:pPr>
            <w:r>
              <w:rPr>
                <w:rFonts w:hint="eastAsia"/>
                <w:b w:val="0"/>
                <w:bCs w:val="0"/>
                <w:color w:val="auto"/>
                <w:lang w:val="en-US" w:eastAsia="zh-CN"/>
              </w:rPr>
              <w:t>密炼废气</w:t>
            </w:r>
            <w:r>
              <w:rPr>
                <w:rFonts w:hint="eastAsia"/>
                <w:color w:val="auto"/>
                <w:lang w:val="en-US" w:eastAsia="zh-CN"/>
              </w:rPr>
              <w:t>通过集气罩+软帘进行收集</w:t>
            </w:r>
            <w:r>
              <w:rPr>
                <w:color w:val="auto"/>
              </w:rPr>
              <w:t>，本项目</w:t>
            </w:r>
            <w:r>
              <w:rPr>
                <w:rFonts w:hint="eastAsia"/>
                <w:color w:val="auto"/>
                <w:lang w:val="en-US" w:eastAsia="zh-CN"/>
              </w:rPr>
              <w:t>共设置3台密炼机，单个集气罩+软帘</w:t>
            </w:r>
            <w:r>
              <w:rPr>
                <w:rFonts w:hint="eastAsia"/>
                <w:color w:val="auto"/>
                <w:spacing w:val="-4"/>
              </w:rPr>
              <w:t>尺寸为</w:t>
            </w:r>
            <w:r>
              <w:rPr>
                <w:rFonts w:hint="eastAsia"/>
                <w:color w:val="auto"/>
                <w:spacing w:val="-4"/>
                <w:lang w:val="en-US" w:eastAsia="zh-CN"/>
              </w:rPr>
              <w:t>3</w:t>
            </w:r>
            <w:r>
              <w:rPr>
                <w:rFonts w:hint="eastAsia"/>
                <w:color w:val="auto"/>
                <w:spacing w:val="-4"/>
              </w:rPr>
              <w:t>m</w:t>
            </w:r>
            <w:r>
              <w:rPr>
                <w:rFonts w:ascii="Arial" w:hAnsi="Arial" w:cs="Arial"/>
                <w:color w:val="auto"/>
                <w:spacing w:val="-4"/>
              </w:rPr>
              <w:t>×</w:t>
            </w:r>
            <w:r>
              <w:rPr>
                <w:rFonts w:hint="eastAsia"/>
                <w:color w:val="auto"/>
                <w:spacing w:val="-4"/>
                <w:lang w:val="en-US" w:eastAsia="zh-CN"/>
              </w:rPr>
              <w:t>1.5</w:t>
            </w:r>
            <w:r>
              <w:rPr>
                <w:rFonts w:hint="eastAsia"/>
                <w:color w:val="auto"/>
                <w:spacing w:val="-4"/>
              </w:rPr>
              <w:t>m，</w:t>
            </w:r>
            <w:r>
              <w:rPr>
                <w:rFonts w:hint="eastAsia"/>
                <w:color w:val="auto"/>
              </w:rPr>
              <w:t>集气罩</w:t>
            </w:r>
            <w:r>
              <w:rPr>
                <w:rFonts w:hint="eastAsia"/>
                <w:color w:val="auto"/>
                <w:lang w:val="en-US" w:eastAsia="zh-CN"/>
              </w:rPr>
              <w:t>距离产尘点高度为0.3m，</w:t>
            </w:r>
            <w:r>
              <w:rPr>
                <w:rFonts w:hint="eastAsia"/>
                <w:color w:val="auto"/>
                <w:spacing w:val="-4"/>
              </w:rPr>
              <w:t>边缘风速要求不小于0.3m/s，本次评价取0.4m/s</w:t>
            </w:r>
            <w:r>
              <w:rPr>
                <w:rFonts w:hint="eastAsia"/>
                <w:color w:val="auto"/>
                <w:spacing w:val="-4"/>
                <w:lang w:eastAsia="zh-CN"/>
              </w:rPr>
              <w:t>。</w:t>
            </w:r>
            <w:r>
              <w:rPr>
                <w:rFonts w:hint="eastAsia"/>
                <w:color w:val="auto"/>
                <w:spacing w:val="-4"/>
              </w:rPr>
              <w:t>则</w:t>
            </w:r>
            <w:r>
              <w:rPr>
                <w:rFonts w:hint="eastAsia"/>
                <w:color w:val="auto"/>
              </w:rPr>
              <w:t>单个集气罩</w:t>
            </w:r>
            <w:r>
              <w:rPr>
                <w:rFonts w:hint="eastAsia"/>
                <w:color w:val="auto"/>
                <w:lang w:val="en-US" w:eastAsia="zh-CN"/>
              </w:rPr>
              <w:t>+软帘</w:t>
            </w:r>
            <w:r>
              <w:rPr>
                <w:rFonts w:hint="eastAsia"/>
                <w:color w:val="auto"/>
              </w:rPr>
              <w:t>风量为</w:t>
            </w:r>
            <w:r>
              <w:rPr>
                <w:rFonts w:hint="eastAsia"/>
                <w:color w:val="auto"/>
                <w:lang w:val="en-US" w:eastAsia="zh-CN"/>
              </w:rPr>
              <w:t>63</w:t>
            </w:r>
            <w:r>
              <w:rPr>
                <w:rFonts w:hint="eastAsia"/>
                <w:color w:val="auto"/>
              </w:rPr>
              <w:t>00m³/h</w:t>
            </w:r>
            <w:r>
              <w:rPr>
                <w:rFonts w:hint="eastAsia"/>
                <w:color w:val="auto"/>
                <w:kern w:val="0"/>
                <w:lang w:eastAsia="zh-CN"/>
              </w:rPr>
              <w:t>，</w:t>
            </w:r>
            <w:r>
              <w:rPr>
                <w:rFonts w:hint="eastAsia"/>
                <w:color w:val="auto"/>
                <w:lang w:val="en-US" w:eastAsia="zh-CN"/>
              </w:rPr>
              <w:t>密炼工序风量合计为18900</w:t>
            </w:r>
            <w:r>
              <w:rPr>
                <w:rFonts w:hint="eastAsia"/>
                <w:color w:val="auto"/>
              </w:rPr>
              <w:t>m³/h</w:t>
            </w:r>
            <w:r>
              <w:rPr>
                <w:rFonts w:hint="eastAsia"/>
                <w:color w:val="auto"/>
                <w:lang w:eastAsia="zh-CN"/>
              </w:rPr>
              <w:t>。</w:t>
            </w:r>
          </w:p>
          <w:p w14:paraId="05DEB16E">
            <w:pPr>
              <w:ind w:firstLine="480"/>
              <w:rPr>
                <w:rFonts w:hint="eastAsia"/>
                <w:b/>
                <w:bCs/>
                <w:color w:val="auto"/>
                <w:lang w:eastAsia="zh-CN"/>
              </w:rPr>
            </w:pPr>
            <w:r>
              <w:rPr>
                <w:color w:val="auto"/>
              </w:rPr>
              <w:t>收集的</w:t>
            </w:r>
            <w:r>
              <w:rPr>
                <w:rFonts w:hint="eastAsia"/>
                <w:color w:val="auto"/>
                <w:lang w:val="en-US" w:eastAsia="zh-CN"/>
              </w:rPr>
              <w:t>颗粒物、</w:t>
            </w:r>
            <w:r>
              <w:rPr>
                <w:rFonts w:hint="eastAsia"/>
                <w:b w:val="0"/>
                <w:bCs w:val="0"/>
                <w:color w:val="auto"/>
              </w:rPr>
              <w:t>非甲烷总烃</w:t>
            </w:r>
            <w:r>
              <w:rPr>
                <w:color w:val="auto"/>
              </w:rPr>
              <w:t>经</w:t>
            </w:r>
            <w:r>
              <w:rPr>
                <w:rFonts w:hint="eastAsia"/>
                <w:color w:val="auto"/>
                <w:lang w:val="en-US" w:eastAsia="zh-CN"/>
              </w:rPr>
              <w:t>布袋除尘器+二级活性炭吸附装置</w:t>
            </w:r>
            <w:r>
              <w:rPr>
                <w:color w:val="auto"/>
              </w:rPr>
              <w:t>处理后，</w:t>
            </w:r>
            <w:r>
              <w:rPr>
                <w:rFonts w:hint="eastAsia"/>
                <w:color w:val="auto"/>
                <w:lang w:val="en-US" w:eastAsia="zh-CN"/>
              </w:rPr>
              <w:t>经过15m高排气筒（DA001）排放</w:t>
            </w:r>
            <w:r>
              <w:rPr>
                <w:color w:val="auto"/>
              </w:rPr>
              <w:t>。</w:t>
            </w:r>
            <w:r>
              <w:rPr>
                <w:rFonts w:hint="eastAsia"/>
                <w:color w:val="auto"/>
                <w:lang w:eastAsia="zh-CN"/>
              </w:rPr>
              <w:t>项目</w:t>
            </w:r>
            <w:r>
              <w:rPr>
                <w:rFonts w:hint="eastAsia"/>
                <w:color w:val="auto"/>
                <w:lang w:val="en-US" w:eastAsia="zh-CN"/>
              </w:rPr>
              <w:t>密炼工序颗粒物、</w:t>
            </w:r>
            <w:r>
              <w:rPr>
                <w:rFonts w:hint="eastAsia"/>
                <w:b w:val="0"/>
                <w:bCs w:val="0"/>
                <w:color w:val="auto"/>
              </w:rPr>
              <w:t>非甲烷总烃</w:t>
            </w:r>
            <w:r>
              <w:rPr>
                <w:rFonts w:hint="eastAsia"/>
                <w:color w:val="auto"/>
                <w:lang w:eastAsia="zh-CN"/>
              </w:rPr>
              <w:t>收集效率以</w:t>
            </w:r>
            <w:r>
              <w:rPr>
                <w:rFonts w:hint="eastAsia"/>
                <w:color w:val="auto"/>
                <w:lang w:val="en-US" w:eastAsia="zh-CN"/>
              </w:rPr>
              <w:t>90%、90%计，</w:t>
            </w:r>
            <w:r>
              <w:rPr>
                <w:color w:val="auto"/>
              </w:rPr>
              <w:t>处理效率以9</w:t>
            </w:r>
            <w:r>
              <w:rPr>
                <w:rFonts w:hint="eastAsia"/>
                <w:color w:val="auto"/>
                <w:lang w:val="en-US" w:eastAsia="zh-CN"/>
              </w:rPr>
              <w:t>9</w:t>
            </w:r>
            <w:r>
              <w:rPr>
                <w:color w:val="auto"/>
              </w:rPr>
              <w:t>%</w:t>
            </w:r>
            <w:r>
              <w:rPr>
                <w:rFonts w:hint="eastAsia"/>
                <w:color w:val="auto"/>
                <w:lang w:val="en-US" w:eastAsia="zh-CN"/>
              </w:rPr>
              <w:t>、90%</w:t>
            </w:r>
            <w:r>
              <w:rPr>
                <w:color w:val="auto"/>
              </w:rPr>
              <w:t>计；则</w:t>
            </w:r>
            <w:r>
              <w:rPr>
                <w:rFonts w:hint="eastAsia"/>
                <w:color w:val="auto"/>
                <w:lang w:eastAsia="zh-CN"/>
              </w:rPr>
              <w:t>项目</w:t>
            </w:r>
            <w:r>
              <w:rPr>
                <w:rFonts w:hint="eastAsia"/>
                <w:color w:val="auto"/>
                <w:lang w:val="en-US" w:eastAsia="zh-CN"/>
              </w:rPr>
              <w:t>密炼颗粒物有组织</w:t>
            </w:r>
            <w:r>
              <w:rPr>
                <w:rFonts w:hint="eastAsia"/>
                <w:color w:val="auto"/>
                <w:lang w:eastAsia="zh-CN"/>
              </w:rPr>
              <w:t>排放量为</w:t>
            </w:r>
            <w:r>
              <w:rPr>
                <w:rFonts w:hint="eastAsia"/>
                <w:color w:val="auto"/>
                <w:lang w:val="en-US" w:eastAsia="zh-CN"/>
              </w:rPr>
              <w:t>0.039t</w:t>
            </w:r>
            <w:r>
              <w:rPr>
                <w:color w:val="auto"/>
              </w:rPr>
              <w:t>/a</w:t>
            </w:r>
            <w:r>
              <w:rPr>
                <w:rFonts w:hint="eastAsia"/>
                <w:color w:val="auto"/>
                <w:lang w:eastAsia="zh-CN"/>
              </w:rPr>
              <w:t>、</w:t>
            </w:r>
            <w:r>
              <w:rPr>
                <w:rFonts w:hint="eastAsia"/>
                <w:color w:val="auto"/>
                <w:lang w:val="en-US" w:eastAsia="zh-CN"/>
              </w:rPr>
              <w:t>0.008kg/h、0.428mg/m³</w:t>
            </w:r>
            <w:r>
              <w:rPr>
                <w:rFonts w:hint="eastAsia"/>
                <w:color w:val="auto"/>
                <w:lang w:eastAsia="zh-CN"/>
              </w:rPr>
              <w:t>；</w:t>
            </w:r>
            <w:r>
              <w:rPr>
                <w:rFonts w:hint="eastAsia"/>
                <w:color w:val="auto"/>
                <w:lang w:val="en-US" w:eastAsia="zh-CN"/>
              </w:rPr>
              <w:t>密炼</w:t>
            </w:r>
            <w:r>
              <w:rPr>
                <w:rFonts w:hint="eastAsia"/>
                <w:b w:val="0"/>
                <w:bCs w:val="0"/>
                <w:color w:val="auto"/>
              </w:rPr>
              <w:t>非甲烷总烃</w:t>
            </w:r>
            <w:r>
              <w:rPr>
                <w:rFonts w:hint="eastAsia"/>
                <w:color w:val="auto"/>
                <w:lang w:val="en-US" w:eastAsia="zh-CN"/>
              </w:rPr>
              <w:t>有组织</w:t>
            </w:r>
            <w:r>
              <w:rPr>
                <w:rFonts w:hint="eastAsia"/>
                <w:color w:val="auto"/>
                <w:lang w:eastAsia="zh-CN"/>
              </w:rPr>
              <w:t>排放量为</w:t>
            </w:r>
            <w:r>
              <w:rPr>
                <w:rFonts w:hint="eastAsia"/>
                <w:color w:val="auto"/>
                <w:lang w:val="en-US" w:eastAsia="zh-CN"/>
              </w:rPr>
              <w:t>0.125t</w:t>
            </w:r>
            <w:r>
              <w:rPr>
                <w:color w:val="auto"/>
              </w:rPr>
              <w:t>/a</w:t>
            </w:r>
            <w:r>
              <w:rPr>
                <w:rFonts w:hint="eastAsia"/>
                <w:color w:val="auto"/>
                <w:lang w:eastAsia="zh-CN"/>
              </w:rPr>
              <w:t>、</w:t>
            </w:r>
            <w:r>
              <w:rPr>
                <w:rFonts w:hint="eastAsia"/>
                <w:color w:val="auto"/>
                <w:lang w:val="en-US" w:eastAsia="zh-CN"/>
              </w:rPr>
              <w:t>0.026kg/h、1.382mg/m³</w:t>
            </w:r>
            <w:r>
              <w:rPr>
                <w:rFonts w:hint="eastAsia"/>
                <w:color w:val="auto"/>
                <w:lang w:eastAsia="zh-CN"/>
              </w:rPr>
              <w:t>；</w:t>
            </w:r>
            <w:r>
              <w:rPr>
                <w:rFonts w:hint="eastAsia"/>
                <w:color w:val="auto"/>
                <w:lang w:val="en-US" w:eastAsia="zh-CN"/>
              </w:rPr>
              <w:t>颗粒物无组织</w:t>
            </w:r>
            <w:r>
              <w:rPr>
                <w:rFonts w:hint="eastAsia"/>
                <w:color w:val="auto"/>
                <w:lang w:eastAsia="zh-CN"/>
              </w:rPr>
              <w:t>排放量为</w:t>
            </w:r>
            <w:r>
              <w:rPr>
                <w:rFonts w:hint="eastAsia"/>
                <w:color w:val="auto"/>
                <w:lang w:val="en-US" w:eastAsia="zh-CN"/>
              </w:rPr>
              <w:t>0.431t</w:t>
            </w:r>
            <w:r>
              <w:rPr>
                <w:color w:val="auto"/>
              </w:rPr>
              <w:t>/a</w:t>
            </w:r>
            <w:r>
              <w:rPr>
                <w:rFonts w:hint="eastAsia"/>
                <w:color w:val="auto"/>
                <w:lang w:eastAsia="zh-CN"/>
              </w:rPr>
              <w:t>、</w:t>
            </w:r>
            <w:r>
              <w:rPr>
                <w:rFonts w:hint="eastAsia"/>
                <w:color w:val="auto"/>
                <w:lang w:val="en-US" w:eastAsia="zh-CN"/>
              </w:rPr>
              <w:t>0.09kg/h；</w:t>
            </w:r>
            <w:r>
              <w:rPr>
                <w:rFonts w:hint="eastAsia"/>
                <w:b w:val="0"/>
                <w:bCs w:val="0"/>
                <w:color w:val="auto"/>
              </w:rPr>
              <w:t>非甲烷总烃</w:t>
            </w:r>
            <w:r>
              <w:rPr>
                <w:rFonts w:hint="eastAsia"/>
                <w:color w:val="auto"/>
                <w:lang w:val="en-US" w:eastAsia="zh-CN"/>
              </w:rPr>
              <w:t>无组织</w:t>
            </w:r>
            <w:r>
              <w:rPr>
                <w:rFonts w:hint="eastAsia"/>
                <w:color w:val="auto"/>
                <w:lang w:eastAsia="zh-CN"/>
              </w:rPr>
              <w:t>排放量为</w:t>
            </w:r>
            <w:r>
              <w:rPr>
                <w:rFonts w:hint="eastAsia"/>
                <w:color w:val="auto"/>
                <w:lang w:val="en-US" w:eastAsia="zh-CN"/>
              </w:rPr>
              <w:t>0.139t</w:t>
            </w:r>
            <w:r>
              <w:rPr>
                <w:color w:val="auto"/>
              </w:rPr>
              <w:t>/a</w:t>
            </w:r>
            <w:r>
              <w:rPr>
                <w:rFonts w:hint="eastAsia"/>
                <w:color w:val="auto"/>
                <w:lang w:eastAsia="zh-CN"/>
              </w:rPr>
              <w:t>、</w:t>
            </w:r>
            <w:r>
              <w:rPr>
                <w:rFonts w:hint="eastAsia"/>
                <w:color w:val="auto"/>
                <w:lang w:val="en-US" w:eastAsia="zh-CN"/>
              </w:rPr>
              <w:t>0.029kg/h</w:t>
            </w:r>
            <w:r>
              <w:rPr>
                <w:color w:val="auto"/>
              </w:rPr>
              <w:t>。</w:t>
            </w:r>
          </w:p>
          <w:p w14:paraId="3851BE85">
            <w:pPr>
              <w:ind w:firstLine="480"/>
              <w:rPr>
                <w:rFonts w:hint="default" w:eastAsia="宋体"/>
                <w:b/>
                <w:bCs/>
                <w:color w:val="auto"/>
                <w:lang w:val="en-US" w:eastAsia="zh-CN"/>
              </w:rPr>
            </w:pPr>
            <w:r>
              <w:rPr>
                <w:rFonts w:hint="eastAsia"/>
                <w:b/>
                <w:bCs/>
                <w:color w:val="auto"/>
                <w:lang w:eastAsia="zh-CN"/>
              </w:rPr>
              <w:t>（</w:t>
            </w:r>
            <w:r>
              <w:rPr>
                <w:rFonts w:hint="eastAsia"/>
                <w:b/>
                <w:bCs/>
                <w:color w:val="auto"/>
                <w:lang w:val="en-US" w:eastAsia="zh-CN"/>
              </w:rPr>
              <w:t>3）开炼废气</w:t>
            </w:r>
          </w:p>
          <w:p w14:paraId="00E41640">
            <w:pPr>
              <w:ind w:firstLine="480"/>
              <w:rPr>
                <w:rFonts w:hint="eastAsia"/>
                <w:b w:val="0"/>
                <w:bCs w:val="0"/>
                <w:color w:val="auto"/>
              </w:rPr>
            </w:pPr>
            <w:r>
              <w:rPr>
                <w:rFonts w:hint="eastAsia"/>
                <w:b w:val="0"/>
                <w:bCs w:val="0"/>
                <w:color w:val="auto"/>
                <w:lang w:val="en-US" w:eastAsia="zh-CN"/>
              </w:rPr>
              <w:t>本项目开炼</w:t>
            </w:r>
            <w:r>
              <w:rPr>
                <w:rFonts w:hint="eastAsia"/>
                <w:b w:val="0"/>
                <w:bCs w:val="0"/>
                <w:color w:val="auto"/>
              </w:rPr>
              <w:t>工序年运行时间约</w:t>
            </w:r>
            <w:r>
              <w:rPr>
                <w:rFonts w:hint="eastAsia"/>
                <w:b w:val="0"/>
                <w:bCs w:val="0"/>
                <w:color w:val="auto"/>
                <w:lang w:val="en-US" w:eastAsia="zh-CN"/>
              </w:rPr>
              <w:t>480</w:t>
            </w:r>
            <w:r>
              <w:rPr>
                <w:rFonts w:hint="eastAsia"/>
                <w:b w:val="0"/>
                <w:bCs w:val="0"/>
                <w:color w:val="auto"/>
              </w:rPr>
              <w:t>0h，非甲烷总烃的产生量参考《橡胶制品生产过程中有机废气的排放系数》</w:t>
            </w:r>
            <w:r>
              <w:rPr>
                <w:rFonts w:hint="eastAsia"/>
                <w:b w:val="0"/>
                <w:bCs w:val="0"/>
                <w:color w:val="auto"/>
                <w:lang w:eastAsia="zh-CN"/>
              </w:rPr>
              <w:t>（</w:t>
            </w:r>
            <w:r>
              <w:rPr>
                <w:rFonts w:hint="eastAsia"/>
                <w:b w:val="0"/>
                <w:bCs w:val="0"/>
                <w:color w:val="auto"/>
              </w:rPr>
              <w:t>橡胶工业2006年第53卷第11期，作者</w:t>
            </w:r>
            <w:r>
              <w:rPr>
                <w:rFonts w:hint="eastAsia"/>
                <w:b w:val="0"/>
                <w:bCs w:val="0"/>
                <w:color w:val="auto"/>
                <w:lang w:eastAsia="zh-CN"/>
              </w:rPr>
              <w:t>：</w:t>
            </w:r>
            <w:r>
              <w:rPr>
                <w:rFonts w:hint="eastAsia"/>
                <w:b w:val="0"/>
                <w:bCs w:val="0"/>
                <w:color w:val="auto"/>
              </w:rPr>
              <w:t>张芝兰</w:t>
            </w:r>
            <w:r>
              <w:rPr>
                <w:rFonts w:hint="eastAsia"/>
                <w:b w:val="0"/>
                <w:bCs w:val="0"/>
                <w:color w:val="auto"/>
                <w:lang w:eastAsia="zh-CN"/>
              </w:rPr>
              <w:t>）</w:t>
            </w:r>
            <w:r>
              <w:rPr>
                <w:rFonts w:hint="eastAsia"/>
                <w:b w:val="0"/>
                <w:bCs w:val="0"/>
                <w:color w:val="auto"/>
              </w:rPr>
              <w:t>表2中提供的最大排放系数进行核算，其中开炼非甲烷总烃最大排放系数为</w:t>
            </w:r>
            <w:r>
              <w:rPr>
                <w:rFonts w:hint="eastAsia"/>
                <w:b w:val="0"/>
                <w:bCs w:val="0"/>
                <w:color w:val="auto"/>
                <w:lang w:val="en-US" w:eastAsia="zh-CN"/>
              </w:rPr>
              <w:t>155</w:t>
            </w:r>
            <w:r>
              <w:rPr>
                <w:rFonts w:hint="eastAsia"/>
                <w:b w:val="0"/>
                <w:bCs w:val="0"/>
                <w:color w:val="auto"/>
              </w:rPr>
              <w:t>mg/kg-胶，本项目用胶量为</w:t>
            </w:r>
            <w:r>
              <w:rPr>
                <w:rFonts w:hint="eastAsia"/>
                <w:b w:val="0"/>
                <w:bCs w:val="0"/>
                <w:color w:val="auto"/>
                <w:lang w:val="en-US" w:eastAsia="zh-CN"/>
              </w:rPr>
              <w:t>4660</w:t>
            </w:r>
            <w:r>
              <w:rPr>
                <w:rFonts w:hint="eastAsia"/>
                <w:b w:val="0"/>
                <w:bCs w:val="0"/>
                <w:color w:val="auto"/>
              </w:rPr>
              <w:t>t/a，因此非甲烷总烃产生量为</w:t>
            </w:r>
            <w:r>
              <w:rPr>
                <w:rFonts w:hint="eastAsia"/>
                <w:b w:val="0"/>
                <w:bCs w:val="0"/>
                <w:color w:val="auto"/>
                <w:lang w:val="en-US" w:eastAsia="zh-CN"/>
              </w:rPr>
              <w:t>0.722</w:t>
            </w:r>
            <w:r>
              <w:rPr>
                <w:rFonts w:hint="eastAsia"/>
                <w:b w:val="0"/>
                <w:bCs w:val="0"/>
                <w:color w:val="auto"/>
              </w:rPr>
              <w:t>t/a。环保设施针对臭气浓度去除效率6</w:t>
            </w:r>
            <w:r>
              <w:rPr>
                <w:rFonts w:hint="eastAsia"/>
                <w:b w:val="0"/>
                <w:bCs w:val="0"/>
                <w:color w:val="auto"/>
                <w:lang w:val="en-US" w:eastAsia="zh-CN"/>
              </w:rPr>
              <w:t>0</w:t>
            </w:r>
            <w:r>
              <w:rPr>
                <w:rFonts w:hint="eastAsia"/>
                <w:b w:val="0"/>
                <w:bCs w:val="0"/>
                <w:color w:val="auto"/>
              </w:rPr>
              <w:t>%</w:t>
            </w:r>
            <w:r>
              <w:rPr>
                <w:rFonts w:hint="eastAsia"/>
                <w:b w:val="0"/>
                <w:bCs w:val="0"/>
                <w:color w:val="auto"/>
                <w:lang w:eastAsia="zh-CN"/>
              </w:rPr>
              <w:t>，</w:t>
            </w:r>
            <w:r>
              <w:rPr>
                <w:rFonts w:hint="eastAsia"/>
                <w:b w:val="0"/>
                <w:bCs w:val="0"/>
                <w:color w:val="auto"/>
              </w:rPr>
              <w:t>类比同类型企业，由《河北祥桓橡塑制品有限公司检验报告》可知经处理后臭气浓度排放浓度为977</w:t>
            </w:r>
            <w:r>
              <w:rPr>
                <w:rFonts w:hint="eastAsia"/>
                <w:b w:val="0"/>
                <w:bCs w:val="0"/>
                <w:color w:val="auto"/>
                <w:lang w:eastAsia="zh-CN"/>
              </w:rPr>
              <w:t>（</w:t>
            </w:r>
            <w:r>
              <w:rPr>
                <w:rFonts w:hint="eastAsia"/>
                <w:b w:val="0"/>
                <w:bCs w:val="0"/>
                <w:color w:val="auto"/>
              </w:rPr>
              <w:t>无量纲</w:t>
            </w:r>
            <w:r>
              <w:rPr>
                <w:rFonts w:hint="eastAsia"/>
                <w:b w:val="0"/>
                <w:bCs w:val="0"/>
                <w:color w:val="auto"/>
                <w:lang w:eastAsia="zh-CN"/>
              </w:rPr>
              <w:t>），</w:t>
            </w:r>
            <w:r>
              <w:rPr>
                <w:rFonts w:hint="eastAsia"/>
                <w:b w:val="0"/>
                <w:bCs w:val="0"/>
                <w:color w:val="auto"/>
              </w:rPr>
              <w:t>则密炼工序臭气浓度为</w:t>
            </w:r>
            <w:r>
              <w:rPr>
                <w:rFonts w:hint="eastAsia"/>
                <w:b w:val="0"/>
                <w:bCs w:val="0"/>
                <w:color w:val="auto"/>
                <w:lang w:val="en-US" w:eastAsia="zh-CN"/>
              </w:rPr>
              <w:t>2442.5</w:t>
            </w:r>
            <w:r>
              <w:rPr>
                <w:rFonts w:hint="eastAsia"/>
                <w:b w:val="0"/>
                <w:bCs w:val="0"/>
                <w:color w:val="auto"/>
                <w:lang w:eastAsia="zh-CN"/>
              </w:rPr>
              <w:t>（</w:t>
            </w:r>
            <w:r>
              <w:rPr>
                <w:rFonts w:hint="eastAsia"/>
                <w:b w:val="0"/>
                <w:bCs w:val="0"/>
                <w:color w:val="auto"/>
              </w:rPr>
              <w:t>无量纲</w:t>
            </w:r>
            <w:r>
              <w:rPr>
                <w:rFonts w:hint="eastAsia"/>
                <w:b w:val="0"/>
                <w:bCs w:val="0"/>
                <w:color w:val="auto"/>
                <w:lang w:eastAsia="zh-CN"/>
              </w:rPr>
              <w:t>）。</w:t>
            </w:r>
          </w:p>
          <w:p w14:paraId="2FFE6A54">
            <w:pPr>
              <w:ind w:firstLine="480"/>
              <w:rPr>
                <w:rFonts w:hint="eastAsia"/>
                <w:color w:val="auto"/>
                <w:lang w:eastAsia="zh-CN"/>
              </w:rPr>
            </w:pPr>
            <w:r>
              <w:rPr>
                <w:rFonts w:hint="eastAsia"/>
                <w:b w:val="0"/>
                <w:bCs w:val="0"/>
                <w:color w:val="auto"/>
                <w:lang w:val="en-US" w:eastAsia="zh-CN"/>
              </w:rPr>
              <w:t>开炼废气</w:t>
            </w:r>
            <w:r>
              <w:rPr>
                <w:rFonts w:hint="eastAsia"/>
                <w:color w:val="auto"/>
                <w:lang w:val="en-US" w:eastAsia="zh-CN"/>
              </w:rPr>
              <w:t>通过集气罩+软帘进行收集</w:t>
            </w:r>
            <w:r>
              <w:rPr>
                <w:color w:val="auto"/>
              </w:rPr>
              <w:t>，本项目</w:t>
            </w:r>
            <w:r>
              <w:rPr>
                <w:rFonts w:hint="eastAsia"/>
                <w:color w:val="auto"/>
                <w:lang w:val="en-US" w:eastAsia="zh-CN"/>
              </w:rPr>
              <w:t>共设置3台</w:t>
            </w:r>
            <w:r>
              <w:rPr>
                <w:rFonts w:hint="eastAsia"/>
                <w:b w:val="0"/>
                <w:bCs w:val="0"/>
                <w:color w:val="auto"/>
                <w:lang w:val="en-US" w:eastAsia="zh-CN"/>
              </w:rPr>
              <w:t>开炼</w:t>
            </w:r>
            <w:r>
              <w:rPr>
                <w:rFonts w:hint="eastAsia"/>
                <w:color w:val="auto"/>
                <w:lang w:val="en-US" w:eastAsia="zh-CN"/>
              </w:rPr>
              <w:t>机，单个集气罩+软帘</w:t>
            </w:r>
            <w:r>
              <w:rPr>
                <w:rFonts w:hint="eastAsia"/>
                <w:color w:val="auto"/>
                <w:spacing w:val="-4"/>
              </w:rPr>
              <w:t>尺寸为</w:t>
            </w:r>
            <w:r>
              <w:rPr>
                <w:rFonts w:hint="eastAsia"/>
                <w:color w:val="auto"/>
                <w:spacing w:val="-4"/>
                <w:lang w:val="en-US" w:eastAsia="zh-CN"/>
              </w:rPr>
              <w:t>3</w:t>
            </w:r>
            <w:r>
              <w:rPr>
                <w:rFonts w:hint="eastAsia"/>
                <w:color w:val="auto"/>
                <w:spacing w:val="-4"/>
              </w:rPr>
              <w:t>m</w:t>
            </w:r>
            <w:r>
              <w:rPr>
                <w:rFonts w:ascii="Arial" w:hAnsi="Arial" w:cs="Arial"/>
                <w:color w:val="auto"/>
                <w:spacing w:val="-4"/>
              </w:rPr>
              <w:t>×</w:t>
            </w:r>
            <w:r>
              <w:rPr>
                <w:rFonts w:hint="eastAsia"/>
                <w:color w:val="auto"/>
                <w:spacing w:val="-4"/>
                <w:lang w:val="en-US" w:eastAsia="zh-CN"/>
              </w:rPr>
              <w:t>1</w:t>
            </w:r>
            <w:r>
              <w:rPr>
                <w:rFonts w:hint="eastAsia"/>
                <w:color w:val="auto"/>
                <w:spacing w:val="-4"/>
              </w:rPr>
              <w:t>m，</w:t>
            </w:r>
            <w:r>
              <w:rPr>
                <w:rFonts w:hint="eastAsia"/>
                <w:color w:val="auto"/>
              </w:rPr>
              <w:t>集气罩</w:t>
            </w:r>
            <w:r>
              <w:rPr>
                <w:rFonts w:hint="eastAsia"/>
                <w:color w:val="auto"/>
                <w:lang w:val="en-US" w:eastAsia="zh-CN"/>
              </w:rPr>
              <w:t>距离产尘点高度为0.3m，</w:t>
            </w:r>
            <w:r>
              <w:rPr>
                <w:rFonts w:hint="eastAsia"/>
                <w:color w:val="auto"/>
                <w:spacing w:val="-4"/>
              </w:rPr>
              <w:t>边缘风速要求不小于0.3m/s，本次评价取0.4m/s</w:t>
            </w:r>
            <w:r>
              <w:rPr>
                <w:rFonts w:hint="eastAsia"/>
                <w:color w:val="auto"/>
                <w:spacing w:val="-4"/>
                <w:lang w:eastAsia="zh-CN"/>
              </w:rPr>
              <w:t>。</w:t>
            </w:r>
            <w:r>
              <w:rPr>
                <w:rFonts w:hint="eastAsia"/>
                <w:color w:val="auto"/>
                <w:spacing w:val="-4"/>
              </w:rPr>
              <w:t>则</w:t>
            </w:r>
            <w:r>
              <w:rPr>
                <w:rFonts w:hint="eastAsia"/>
                <w:color w:val="auto"/>
              </w:rPr>
              <w:t>单个集气罩</w:t>
            </w:r>
            <w:r>
              <w:rPr>
                <w:rFonts w:hint="eastAsia"/>
                <w:color w:val="auto"/>
                <w:lang w:val="en-US" w:eastAsia="zh-CN"/>
              </w:rPr>
              <w:t>+软帘</w:t>
            </w:r>
            <w:r>
              <w:rPr>
                <w:rFonts w:hint="eastAsia"/>
                <w:color w:val="auto"/>
              </w:rPr>
              <w:t>风量为</w:t>
            </w:r>
            <w:r>
              <w:rPr>
                <w:rFonts w:hint="eastAsia"/>
                <w:color w:val="auto"/>
                <w:lang w:val="en-US" w:eastAsia="zh-CN"/>
              </w:rPr>
              <w:t>42</w:t>
            </w:r>
            <w:r>
              <w:rPr>
                <w:rFonts w:hint="eastAsia"/>
                <w:color w:val="auto"/>
              </w:rPr>
              <w:t>00m³/h</w:t>
            </w:r>
            <w:r>
              <w:rPr>
                <w:rFonts w:hint="eastAsia"/>
                <w:color w:val="auto"/>
                <w:kern w:val="0"/>
                <w:lang w:eastAsia="zh-CN"/>
              </w:rPr>
              <w:t>，</w:t>
            </w:r>
            <w:r>
              <w:rPr>
                <w:rFonts w:hint="eastAsia"/>
                <w:color w:val="auto"/>
                <w:lang w:val="en-US" w:eastAsia="zh-CN"/>
              </w:rPr>
              <w:t>密炼工序风量合计为12600</w:t>
            </w:r>
            <w:r>
              <w:rPr>
                <w:rFonts w:hint="eastAsia"/>
                <w:color w:val="auto"/>
              </w:rPr>
              <w:t>m³/h</w:t>
            </w:r>
            <w:r>
              <w:rPr>
                <w:rFonts w:hint="eastAsia"/>
                <w:color w:val="auto"/>
                <w:lang w:eastAsia="zh-CN"/>
              </w:rPr>
              <w:t>。</w:t>
            </w:r>
          </w:p>
          <w:p w14:paraId="1C332560">
            <w:pPr>
              <w:ind w:firstLine="480"/>
              <w:rPr>
                <w:rFonts w:hint="eastAsia"/>
                <w:color w:val="auto"/>
                <w:lang w:eastAsia="zh-CN"/>
              </w:rPr>
            </w:pPr>
            <w:r>
              <w:rPr>
                <w:color w:val="auto"/>
              </w:rPr>
              <w:t>收集的</w:t>
            </w:r>
            <w:r>
              <w:rPr>
                <w:rFonts w:hint="eastAsia"/>
                <w:b w:val="0"/>
                <w:bCs w:val="0"/>
                <w:color w:val="auto"/>
              </w:rPr>
              <w:t>非甲烷总烃</w:t>
            </w:r>
            <w:r>
              <w:rPr>
                <w:color w:val="auto"/>
              </w:rPr>
              <w:t>经</w:t>
            </w:r>
            <w:r>
              <w:rPr>
                <w:rFonts w:hint="eastAsia"/>
                <w:color w:val="auto"/>
                <w:lang w:val="en-US" w:eastAsia="zh-CN"/>
              </w:rPr>
              <w:t>布袋除尘器+二级活性炭吸附装置</w:t>
            </w:r>
            <w:r>
              <w:rPr>
                <w:color w:val="auto"/>
              </w:rPr>
              <w:t>处理后，</w:t>
            </w:r>
            <w:r>
              <w:rPr>
                <w:rFonts w:hint="eastAsia"/>
                <w:color w:val="auto"/>
                <w:lang w:val="en-US" w:eastAsia="zh-CN"/>
              </w:rPr>
              <w:t>经过15m高排气筒（DA001）排放</w:t>
            </w:r>
            <w:r>
              <w:rPr>
                <w:color w:val="auto"/>
              </w:rPr>
              <w:t>。</w:t>
            </w:r>
            <w:r>
              <w:rPr>
                <w:rFonts w:hint="eastAsia"/>
                <w:color w:val="auto"/>
                <w:lang w:eastAsia="zh-CN"/>
              </w:rPr>
              <w:t>项目</w:t>
            </w:r>
            <w:r>
              <w:rPr>
                <w:rFonts w:hint="eastAsia"/>
                <w:color w:val="auto"/>
                <w:lang w:val="en-US" w:eastAsia="zh-CN"/>
              </w:rPr>
              <w:t>开炼工序</w:t>
            </w:r>
            <w:r>
              <w:rPr>
                <w:rFonts w:hint="eastAsia"/>
                <w:b w:val="0"/>
                <w:bCs w:val="0"/>
                <w:color w:val="auto"/>
              </w:rPr>
              <w:t>非甲烷总烃</w:t>
            </w:r>
            <w:r>
              <w:rPr>
                <w:rFonts w:hint="eastAsia"/>
                <w:color w:val="auto"/>
                <w:lang w:eastAsia="zh-CN"/>
              </w:rPr>
              <w:t>收集效率以</w:t>
            </w:r>
            <w:r>
              <w:rPr>
                <w:rFonts w:hint="eastAsia"/>
                <w:color w:val="auto"/>
                <w:lang w:val="en-US" w:eastAsia="zh-CN"/>
              </w:rPr>
              <w:t>90%计，</w:t>
            </w:r>
            <w:r>
              <w:rPr>
                <w:color w:val="auto"/>
              </w:rPr>
              <w:t>处理效率以</w:t>
            </w:r>
            <w:r>
              <w:rPr>
                <w:rFonts w:hint="eastAsia"/>
                <w:color w:val="auto"/>
                <w:lang w:val="en-US" w:eastAsia="zh-CN"/>
              </w:rPr>
              <w:t>90%</w:t>
            </w:r>
            <w:r>
              <w:rPr>
                <w:color w:val="auto"/>
              </w:rPr>
              <w:t>计；则</w:t>
            </w:r>
            <w:r>
              <w:rPr>
                <w:rFonts w:hint="eastAsia"/>
                <w:color w:val="auto"/>
                <w:lang w:eastAsia="zh-CN"/>
              </w:rPr>
              <w:t>项目</w:t>
            </w:r>
            <w:r>
              <w:rPr>
                <w:rFonts w:hint="eastAsia"/>
                <w:color w:val="auto"/>
                <w:lang w:val="en-US" w:eastAsia="zh-CN"/>
              </w:rPr>
              <w:t>开炼</w:t>
            </w:r>
            <w:r>
              <w:rPr>
                <w:rFonts w:hint="eastAsia"/>
                <w:b w:val="0"/>
                <w:bCs w:val="0"/>
                <w:color w:val="auto"/>
              </w:rPr>
              <w:t>非甲烷总烃</w:t>
            </w:r>
            <w:r>
              <w:rPr>
                <w:rFonts w:hint="eastAsia"/>
                <w:color w:val="auto"/>
                <w:lang w:val="en-US" w:eastAsia="zh-CN"/>
              </w:rPr>
              <w:t>有组织</w:t>
            </w:r>
            <w:r>
              <w:rPr>
                <w:rFonts w:hint="eastAsia"/>
                <w:color w:val="auto"/>
                <w:lang w:eastAsia="zh-CN"/>
              </w:rPr>
              <w:t>排放量为</w:t>
            </w:r>
            <w:r>
              <w:rPr>
                <w:rFonts w:hint="eastAsia"/>
                <w:color w:val="auto"/>
                <w:lang w:val="en-US" w:eastAsia="zh-CN"/>
              </w:rPr>
              <w:t>0.065t</w:t>
            </w:r>
            <w:r>
              <w:rPr>
                <w:color w:val="auto"/>
              </w:rPr>
              <w:t>/a</w:t>
            </w:r>
            <w:r>
              <w:rPr>
                <w:rFonts w:hint="eastAsia"/>
                <w:color w:val="auto"/>
                <w:lang w:eastAsia="zh-CN"/>
              </w:rPr>
              <w:t>、</w:t>
            </w:r>
            <w:r>
              <w:rPr>
                <w:rFonts w:hint="eastAsia"/>
                <w:color w:val="auto"/>
                <w:lang w:val="en-US" w:eastAsia="zh-CN"/>
              </w:rPr>
              <w:t>0.014kg/h、1.074mg/m³</w:t>
            </w:r>
            <w:r>
              <w:rPr>
                <w:rFonts w:hint="eastAsia"/>
                <w:color w:val="auto"/>
                <w:lang w:eastAsia="zh-CN"/>
              </w:rPr>
              <w:t>；</w:t>
            </w:r>
            <w:r>
              <w:rPr>
                <w:rFonts w:hint="eastAsia"/>
                <w:b w:val="0"/>
                <w:bCs w:val="0"/>
                <w:color w:val="auto"/>
              </w:rPr>
              <w:t>非甲烷总烃</w:t>
            </w:r>
            <w:r>
              <w:rPr>
                <w:rFonts w:hint="eastAsia"/>
                <w:color w:val="auto"/>
                <w:lang w:val="en-US" w:eastAsia="zh-CN"/>
              </w:rPr>
              <w:t>无组织</w:t>
            </w:r>
            <w:r>
              <w:rPr>
                <w:rFonts w:hint="eastAsia"/>
                <w:color w:val="auto"/>
                <w:lang w:eastAsia="zh-CN"/>
              </w:rPr>
              <w:t>排放量为</w:t>
            </w:r>
            <w:r>
              <w:rPr>
                <w:rFonts w:hint="eastAsia"/>
                <w:color w:val="auto"/>
                <w:lang w:val="en-US" w:eastAsia="zh-CN"/>
              </w:rPr>
              <w:t>0.072t</w:t>
            </w:r>
            <w:r>
              <w:rPr>
                <w:color w:val="auto"/>
              </w:rPr>
              <w:t>/a</w:t>
            </w:r>
            <w:r>
              <w:rPr>
                <w:rFonts w:hint="eastAsia"/>
                <w:color w:val="auto"/>
                <w:lang w:eastAsia="zh-CN"/>
              </w:rPr>
              <w:t>、</w:t>
            </w:r>
            <w:r>
              <w:rPr>
                <w:rFonts w:hint="eastAsia"/>
                <w:color w:val="auto"/>
                <w:lang w:val="en-US" w:eastAsia="zh-CN"/>
              </w:rPr>
              <w:t>0.015kg/h</w:t>
            </w:r>
            <w:r>
              <w:rPr>
                <w:color w:val="auto"/>
              </w:rPr>
              <w:t>。</w:t>
            </w:r>
          </w:p>
          <w:p w14:paraId="26F0D102">
            <w:pPr>
              <w:jc w:val="center"/>
              <w:rPr>
                <w:rFonts w:hint="default"/>
                <w:color w:val="auto"/>
                <w:lang w:val="en-US" w:eastAsia="zh-CN"/>
              </w:rPr>
            </w:pPr>
            <w:r>
              <w:rPr>
                <w:rFonts w:hint="eastAsia"/>
                <w:b/>
                <w:bCs/>
                <w:color w:val="auto"/>
                <w:lang w:val="en-US" w:eastAsia="zh-CN"/>
              </w:rPr>
              <w:t xml:space="preserve">表4-4 </w:t>
            </w:r>
            <w:r>
              <w:rPr>
                <w:rFonts w:hint="eastAsia" w:cs="Times New Roman"/>
                <w:b/>
                <w:bCs/>
                <w:color w:val="auto"/>
                <w:sz w:val="24"/>
                <w:lang w:val="en-US" w:eastAsia="zh-CN"/>
              </w:rPr>
              <w:t>项目</w:t>
            </w:r>
            <w:r>
              <w:rPr>
                <w:rFonts w:hint="eastAsia"/>
                <w:b/>
                <w:bCs/>
                <w:color w:val="auto"/>
                <w:lang w:val="en-US" w:eastAsia="zh-CN"/>
              </w:rPr>
              <w:t>配料、投料粉尘、密炼废气、开炼废气</w:t>
            </w:r>
            <w:r>
              <w:rPr>
                <w:rFonts w:hint="eastAsia"/>
                <w:b/>
                <w:bCs/>
                <w:color w:val="auto"/>
              </w:rPr>
              <w:t>产排放情况一览表</w:t>
            </w:r>
          </w:p>
          <w:tbl>
            <w:tblPr>
              <w:tblStyle w:val="23"/>
              <w:tblW w:w="5000" w:type="pct"/>
              <w:tblInd w:w="-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800"/>
              <w:gridCol w:w="1206"/>
              <w:gridCol w:w="1020"/>
              <w:gridCol w:w="1292"/>
              <w:gridCol w:w="840"/>
              <w:gridCol w:w="736"/>
              <w:gridCol w:w="736"/>
              <w:gridCol w:w="1241"/>
              <w:gridCol w:w="1020"/>
              <w:gridCol w:w="1292"/>
              <w:gridCol w:w="1268"/>
              <w:gridCol w:w="1125"/>
              <w:gridCol w:w="1126"/>
            </w:tblGrid>
            <w:tr w14:paraId="641A1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1" w:type="dxa"/>
                  <w:vMerge w:val="restart"/>
                  <w:vAlign w:val="center"/>
                </w:tcPr>
                <w:p w14:paraId="440C35E0">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污染源</w:t>
                  </w:r>
                </w:p>
              </w:tc>
              <w:tc>
                <w:tcPr>
                  <w:tcW w:w="800" w:type="dxa"/>
                  <w:vMerge w:val="restart"/>
                  <w:vAlign w:val="center"/>
                </w:tcPr>
                <w:p w14:paraId="45ECB122">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污染物</w:t>
                  </w:r>
                </w:p>
              </w:tc>
              <w:tc>
                <w:tcPr>
                  <w:tcW w:w="3518" w:type="dxa"/>
                  <w:gridSpan w:val="3"/>
                  <w:vAlign w:val="center"/>
                </w:tcPr>
                <w:p w14:paraId="24CD14B7">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产生情况</w:t>
                  </w:r>
                </w:p>
              </w:tc>
              <w:tc>
                <w:tcPr>
                  <w:tcW w:w="840" w:type="dxa"/>
                  <w:vMerge w:val="restart"/>
                  <w:vAlign w:val="center"/>
                </w:tcPr>
                <w:p w14:paraId="1263E130">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污染防治措施</w:t>
                  </w:r>
                </w:p>
              </w:tc>
              <w:tc>
                <w:tcPr>
                  <w:tcW w:w="736" w:type="dxa"/>
                  <w:vMerge w:val="restart"/>
                  <w:vAlign w:val="center"/>
                </w:tcPr>
                <w:p w14:paraId="2B86F4CC">
                  <w:pPr>
                    <w:spacing w:line="240" w:lineRule="auto"/>
                    <w:jc w:val="center"/>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收集效率</w:t>
                  </w:r>
                  <w:r>
                    <w:rPr>
                      <w:rFonts w:ascii="Times New Roman" w:hAnsi="Times New Roman" w:cs="Times New Roman" w:eastAsiaTheme="minorEastAsia"/>
                      <w:b/>
                      <w:bCs/>
                      <w:color w:val="auto"/>
                      <w:sz w:val="21"/>
                      <w:szCs w:val="21"/>
                    </w:rPr>
                    <w:t>/%</w:t>
                  </w:r>
                </w:p>
              </w:tc>
              <w:tc>
                <w:tcPr>
                  <w:tcW w:w="736" w:type="dxa"/>
                  <w:vMerge w:val="restart"/>
                  <w:vAlign w:val="center"/>
                </w:tcPr>
                <w:p w14:paraId="04C95861">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处理</w:t>
                  </w:r>
                </w:p>
                <w:p w14:paraId="53C9AF38">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效率/%</w:t>
                  </w:r>
                </w:p>
              </w:tc>
              <w:tc>
                <w:tcPr>
                  <w:tcW w:w="3553" w:type="dxa"/>
                  <w:gridSpan w:val="3"/>
                  <w:vAlign w:val="center"/>
                </w:tcPr>
                <w:p w14:paraId="377FD534">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排放情况</w:t>
                  </w:r>
                </w:p>
              </w:tc>
              <w:tc>
                <w:tcPr>
                  <w:tcW w:w="1268" w:type="dxa"/>
                  <w:vMerge w:val="restart"/>
                  <w:vAlign w:val="center"/>
                </w:tcPr>
                <w:p w14:paraId="02296EBC">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排气筒编号</w:t>
                  </w:r>
                </w:p>
              </w:tc>
              <w:tc>
                <w:tcPr>
                  <w:tcW w:w="1125" w:type="dxa"/>
                  <w:vMerge w:val="restart"/>
                  <w:vAlign w:val="center"/>
                </w:tcPr>
                <w:p w14:paraId="7BB20028">
                  <w:pPr>
                    <w:spacing w:line="240" w:lineRule="auto"/>
                    <w:jc w:val="center"/>
                    <w:rPr>
                      <w:rFonts w:hint="eastAsia" w:ascii="Times New Roman" w:hAnsi="Times New Roman" w:cs="Times New Roman" w:eastAsiaTheme="minorEastAsia"/>
                      <w:b/>
                      <w:bCs/>
                      <w:color w:val="auto"/>
                      <w:sz w:val="21"/>
                      <w:szCs w:val="21"/>
                      <w:lang w:eastAsia="zh-CN"/>
                    </w:rPr>
                  </w:pPr>
                  <w:r>
                    <w:rPr>
                      <w:rFonts w:hint="eastAsia" w:ascii="Times New Roman" w:hAnsi="Times New Roman" w:cs="Times New Roman" w:eastAsiaTheme="minorEastAsia"/>
                      <w:b/>
                      <w:bCs/>
                      <w:color w:val="auto"/>
                      <w:sz w:val="21"/>
                      <w:szCs w:val="21"/>
                      <w:lang w:eastAsia="zh-CN"/>
                    </w:rPr>
                    <w:t>排放时间</w:t>
                  </w:r>
                </w:p>
              </w:tc>
              <w:tc>
                <w:tcPr>
                  <w:tcW w:w="1126" w:type="dxa"/>
                  <w:vMerge w:val="restart"/>
                  <w:vAlign w:val="center"/>
                </w:tcPr>
                <w:p w14:paraId="3C63396B">
                  <w:pPr>
                    <w:spacing w:line="240" w:lineRule="auto"/>
                    <w:jc w:val="center"/>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风量</w:t>
                  </w:r>
                  <w:r>
                    <w:rPr>
                      <w:rFonts w:ascii="Times New Roman" w:hAnsi="Times New Roman" w:cs="Times New Roman" w:eastAsiaTheme="minorEastAsia"/>
                      <w:b/>
                      <w:bCs/>
                      <w:color w:val="auto"/>
                      <w:sz w:val="21"/>
                      <w:szCs w:val="21"/>
                    </w:rPr>
                    <w:t>/m³/</w:t>
                  </w:r>
                  <w:r>
                    <w:rPr>
                      <w:rFonts w:hint="eastAsia" w:ascii="Times New Roman" w:hAnsi="Times New Roman" w:cs="Times New Roman" w:eastAsiaTheme="minorEastAsia"/>
                      <w:b/>
                      <w:bCs/>
                      <w:color w:val="auto"/>
                      <w:sz w:val="21"/>
                      <w:szCs w:val="21"/>
                      <w:lang w:val="en-US" w:eastAsia="zh-CN"/>
                    </w:rPr>
                    <w:t>h</w:t>
                  </w:r>
                </w:p>
              </w:tc>
            </w:tr>
            <w:tr w14:paraId="25AC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1" w:type="dxa"/>
                  <w:vMerge w:val="continue"/>
                  <w:vAlign w:val="center"/>
                </w:tcPr>
                <w:p w14:paraId="0FE8CA8C">
                  <w:pPr>
                    <w:spacing w:line="240" w:lineRule="auto"/>
                    <w:jc w:val="center"/>
                    <w:rPr>
                      <w:rFonts w:ascii="Times New Roman" w:hAnsi="Times New Roman" w:cs="Times New Roman" w:eastAsiaTheme="minorEastAsia"/>
                      <w:b/>
                      <w:bCs/>
                      <w:color w:val="auto"/>
                      <w:sz w:val="21"/>
                      <w:szCs w:val="21"/>
                    </w:rPr>
                  </w:pPr>
                </w:p>
              </w:tc>
              <w:tc>
                <w:tcPr>
                  <w:tcW w:w="800" w:type="dxa"/>
                  <w:vMerge w:val="continue"/>
                  <w:vAlign w:val="center"/>
                </w:tcPr>
                <w:p w14:paraId="5F00BB9F">
                  <w:pPr>
                    <w:spacing w:line="240" w:lineRule="auto"/>
                    <w:jc w:val="center"/>
                    <w:rPr>
                      <w:rFonts w:ascii="Times New Roman" w:hAnsi="Times New Roman" w:cs="Times New Roman" w:eastAsiaTheme="minorEastAsia"/>
                      <w:b/>
                      <w:bCs/>
                      <w:color w:val="auto"/>
                      <w:sz w:val="21"/>
                      <w:szCs w:val="21"/>
                    </w:rPr>
                  </w:pPr>
                </w:p>
              </w:tc>
              <w:tc>
                <w:tcPr>
                  <w:tcW w:w="1206" w:type="dxa"/>
                  <w:vAlign w:val="center"/>
                </w:tcPr>
                <w:p w14:paraId="7D22E416">
                  <w:pPr>
                    <w:spacing w:line="240" w:lineRule="auto"/>
                    <w:ind w:firstLine="0" w:firstLineChars="0"/>
                    <w:jc w:val="center"/>
                    <w:rPr>
                      <w:rFonts w:ascii="Times New Roman" w:hAnsi="Times New Roman" w:cs="Times New Roman" w:eastAsiaTheme="minorEastAsia"/>
                      <w:b/>
                      <w:bCs/>
                      <w:color w:val="auto"/>
                      <w:kern w:val="2"/>
                      <w:sz w:val="21"/>
                      <w:szCs w:val="21"/>
                      <w:lang w:val="en-US" w:eastAsia="zh-CN" w:bidi="ar-SA"/>
                    </w:rPr>
                  </w:pPr>
                  <w:r>
                    <w:rPr>
                      <w:rFonts w:ascii="Times New Roman" w:hAnsi="Times New Roman" w:cs="Times New Roman" w:eastAsiaTheme="minorEastAsia"/>
                      <w:b/>
                      <w:bCs/>
                      <w:color w:val="auto"/>
                      <w:sz w:val="21"/>
                      <w:szCs w:val="21"/>
                    </w:rPr>
                    <w:t>产生量/t/a</w:t>
                  </w:r>
                </w:p>
              </w:tc>
              <w:tc>
                <w:tcPr>
                  <w:tcW w:w="1020" w:type="dxa"/>
                  <w:vAlign w:val="center"/>
                </w:tcPr>
                <w:p w14:paraId="616F413F">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产生</w:t>
                  </w:r>
                </w:p>
                <w:p w14:paraId="1FDD2A22">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速率/kg/h</w:t>
                  </w:r>
                </w:p>
              </w:tc>
              <w:tc>
                <w:tcPr>
                  <w:tcW w:w="1292" w:type="dxa"/>
                  <w:vAlign w:val="center"/>
                </w:tcPr>
                <w:p w14:paraId="5322342D">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产生</w:t>
                  </w:r>
                </w:p>
                <w:p w14:paraId="57E5621F">
                  <w:pPr>
                    <w:spacing w:line="240" w:lineRule="auto"/>
                    <w:ind w:firstLine="0" w:firstLineChars="0"/>
                    <w:jc w:val="center"/>
                    <w:rPr>
                      <w:rFonts w:ascii="Times New Roman" w:hAnsi="Times New Roman" w:cs="Times New Roman" w:eastAsiaTheme="minorEastAsia"/>
                      <w:b/>
                      <w:bCs/>
                      <w:color w:val="auto"/>
                      <w:kern w:val="2"/>
                      <w:sz w:val="21"/>
                      <w:szCs w:val="21"/>
                      <w:lang w:val="en-US" w:eastAsia="zh-CN" w:bidi="ar-SA"/>
                    </w:rPr>
                  </w:pPr>
                  <w:r>
                    <w:rPr>
                      <w:rFonts w:ascii="Times New Roman" w:hAnsi="Times New Roman" w:cs="Times New Roman" w:eastAsiaTheme="minorEastAsia"/>
                      <w:b/>
                      <w:bCs/>
                      <w:color w:val="auto"/>
                      <w:sz w:val="21"/>
                      <w:szCs w:val="21"/>
                    </w:rPr>
                    <w:t>浓度/mg/m³</w:t>
                  </w:r>
                </w:p>
              </w:tc>
              <w:tc>
                <w:tcPr>
                  <w:tcW w:w="840" w:type="dxa"/>
                  <w:vMerge w:val="continue"/>
                  <w:vAlign w:val="center"/>
                </w:tcPr>
                <w:p w14:paraId="1E7C0183">
                  <w:pPr>
                    <w:spacing w:line="240" w:lineRule="auto"/>
                    <w:jc w:val="center"/>
                    <w:rPr>
                      <w:rFonts w:ascii="Times New Roman" w:hAnsi="Times New Roman" w:cs="Times New Roman" w:eastAsiaTheme="minorEastAsia"/>
                      <w:b/>
                      <w:bCs/>
                      <w:color w:val="auto"/>
                      <w:sz w:val="21"/>
                      <w:szCs w:val="21"/>
                    </w:rPr>
                  </w:pPr>
                </w:p>
              </w:tc>
              <w:tc>
                <w:tcPr>
                  <w:tcW w:w="736" w:type="dxa"/>
                  <w:vMerge w:val="continue"/>
                  <w:vAlign w:val="center"/>
                </w:tcPr>
                <w:p w14:paraId="17E83BD8">
                  <w:pPr>
                    <w:spacing w:line="240" w:lineRule="auto"/>
                    <w:jc w:val="center"/>
                    <w:rPr>
                      <w:rFonts w:ascii="Times New Roman" w:hAnsi="Times New Roman" w:cs="Times New Roman" w:eastAsiaTheme="minorEastAsia"/>
                      <w:b/>
                      <w:bCs/>
                      <w:color w:val="auto"/>
                      <w:sz w:val="21"/>
                      <w:szCs w:val="21"/>
                    </w:rPr>
                  </w:pPr>
                </w:p>
              </w:tc>
              <w:tc>
                <w:tcPr>
                  <w:tcW w:w="736" w:type="dxa"/>
                  <w:vMerge w:val="continue"/>
                  <w:vAlign w:val="center"/>
                </w:tcPr>
                <w:p w14:paraId="76D378DA">
                  <w:pPr>
                    <w:spacing w:line="240" w:lineRule="auto"/>
                    <w:jc w:val="center"/>
                    <w:rPr>
                      <w:rFonts w:ascii="Times New Roman" w:hAnsi="Times New Roman" w:cs="Times New Roman" w:eastAsiaTheme="minorEastAsia"/>
                      <w:b/>
                      <w:bCs/>
                      <w:color w:val="auto"/>
                      <w:sz w:val="21"/>
                      <w:szCs w:val="21"/>
                    </w:rPr>
                  </w:pPr>
                </w:p>
              </w:tc>
              <w:tc>
                <w:tcPr>
                  <w:tcW w:w="1241" w:type="dxa"/>
                  <w:vAlign w:val="center"/>
                </w:tcPr>
                <w:p w14:paraId="2A4CD46E">
                  <w:pPr>
                    <w:spacing w:line="240" w:lineRule="auto"/>
                    <w:ind w:firstLine="0" w:firstLineChars="0"/>
                    <w:jc w:val="center"/>
                    <w:rPr>
                      <w:rFonts w:ascii="Times New Roman" w:hAnsi="Times New Roman" w:cs="Times New Roman" w:eastAsiaTheme="minorEastAsia"/>
                      <w:b/>
                      <w:bCs/>
                      <w:color w:val="auto"/>
                      <w:kern w:val="2"/>
                      <w:sz w:val="21"/>
                      <w:szCs w:val="21"/>
                      <w:lang w:val="en-US" w:eastAsia="zh-CN" w:bidi="ar-SA"/>
                    </w:rPr>
                  </w:pPr>
                  <w:r>
                    <w:rPr>
                      <w:rFonts w:ascii="Times New Roman" w:hAnsi="Times New Roman" w:cs="Times New Roman" w:eastAsiaTheme="minorEastAsia"/>
                      <w:b/>
                      <w:bCs/>
                      <w:color w:val="auto"/>
                      <w:sz w:val="21"/>
                      <w:szCs w:val="21"/>
                    </w:rPr>
                    <w:t>排放量/t/a</w:t>
                  </w:r>
                </w:p>
              </w:tc>
              <w:tc>
                <w:tcPr>
                  <w:tcW w:w="1020" w:type="dxa"/>
                  <w:vAlign w:val="center"/>
                </w:tcPr>
                <w:p w14:paraId="0CE3D39E">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排放速率/kg/h</w:t>
                  </w:r>
                </w:p>
              </w:tc>
              <w:tc>
                <w:tcPr>
                  <w:tcW w:w="1292" w:type="dxa"/>
                  <w:vAlign w:val="center"/>
                </w:tcPr>
                <w:p w14:paraId="52997335">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排放</w:t>
                  </w:r>
                </w:p>
                <w:p w14:paraId="67E5B124">
                  <w:pPr>
                    <w:spacing w:line="240" w:lineRule="auto"/>
                    <w:ind w:firstLine="0" w:firstLineChars="0"/>
                    <w:jc w:val="center"/>
                    <w:rPr>
                      <w:rFonts w:ascii="Times New Roman" w:hAnsi="Times New Roman" w:cs="Times New Roman" w:eastAsiaTheme="minorEastAsia"/>
                      <w:b/>
                      <w:bCs/>
                      <w:color w:val="auto"/>
                      <w:kern w:val="2"/>
                      <w:sz w:val="21"/>
                      <w:szCs w:val="21"/>
                      <w:lang w:val="en-US" w:eastAsia="zh-CN" w:bidi="ar-SA"/>
                    </w:rPr>
                  </w:pPr>
                  <w:r>
                    <w:rPr>
                      <w:rFonts w:ascii="Times New Roman" w:hAnsi="Times New Roman" w:cs="Times New Roman" w:eastAsiaTheme="minorEastAsia"/>
                      <w:b/>
                      <w:bCs/>
                      <w:color w:val="auto"/>
                      <w:sz w:val="21"/>
                      <w:szCs w:val="21"/>
                    </w:rPr>
                    <w:t>浓度/mg/m³</w:t>
                  </w:r>
                </w:p>
              </w:tc>
              <w:tc>
                <w:tcPr>
                  <w:tcW w:w="1268" w:type="dxa"/>
                  <w:vMerge w:val="continue"/>
                  <w:vAlign w:val="center"/>
                </w:tcPr>
                <w:p w14:paraId="0F39099B">
                  <w:pPr>
                    <w:spacing w:line="240" w:lineRule="auto"/>
                    <w:jc w:val="center"/>
                    <w:rPr>
                      <w:rFonts w:ascii="Times New Roman" w:hAnsi="Times New Roman" w:cs="Times New Roman" w:eastAsiaTheme="minorEastAsia"/>
                      <w:color w:val="auto"/>
                      <w:sz w:val="21"/>
                      <w:szCs w:val="21"/>
                    </w:rPr>
                  </w:pPr>
                </w:p>
              </w:tc>
              <w:tc>
                <w:tcPr>
                  <w:tcW w:w="1125" w:type="dxa"/>
                  <w:vMerge w:val="continue"/>
                  <w:vAlign w:val="center"/>
                </w:tcPr>
                <w:p w14:paraId="4DE5E31A">
                  <w:pPr>
                    <w:spacing w:line="240" w:lineRule="auto"/>
                    <w:jc w:val="center"/>
                    <w:rPr>
                      <w:rFonts w:ascii="Times New Roman" w:hAnsi="Times New Roman" w:cs="Times New Roman" w:eastAsiaTheme="minorEastAsia"/>
                      <w:color w:val="auto"/>
                      <w:sz w:val="21"/>
                      <w:szCs w:val="21"/>
                    </w:rPr>
                  </w:pPr>
                </w:p>
              </w:tc>
              <w:tc>
                <w:tcPr>
                  <w:tcW w:w="1126" w:type="dxa"/>
                  <w:vMerge w:val="continue"/>
                  <w:vAlign w:val="center"/>
                </w:tcPr>
                <w:p w14:paraId="23A9F90C">
                  <w:pPr>
                    <w:spacing w:line="240" w:lineRule="auto"/>
                    <w:jc w:val="center"/>
                    <w:rPr>
                      <w:rFonts w:ascii="Times New Roman" w:hAnsi="Times New Roman" w:cs="Times New Roman" w:eastAsiaTheme="minorEastAsia"/>
                      <w:color w:val="auto"/>
                      <w:sz w:val="21"/>
                      <w:szCs w:val="21"/>
                    </w:rPr>
                  </w:pPr>
                </w:p>
              </w:tc>
            </w:tr>
            <w:tr w14:paraId="114F3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1" w:type="dxa"/>
                  <w:vAlign w:val="center"/>
                </w:tcPr>
                <w:p w14:paraId="5EA75949">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配料粉尘</w:t>
                  </w:r>
                </w:p>
              </w:tc>
              <w:tc>
                <w:tcPr>
                  <w:tcW w:w="800" w:type="dxa"/>
                  <w:vAlign w:val="center"/>
                </w:tcPr>
                <w:p w14:paraId="4D1CAF97">
                  <w:pPr>
                    <w:spacing w:line="240" w:lineRule="auto"/>
                    <w:jc w:val="center"/>
                    <w:rPr>
                      <w:rFonts w:hint="default" w:ascii="Times New Roman" w:hAnsi="Times New Roman" w:cs="Times New Roman" w:eastAsiaTheme="minorEastAsia"/>
                      <w:color w:val="auto"/>
                      <w:sz w:val="21"/>
                      <w:szCs w:val="21"/>
                      <w:lang w:eastAsia="zh-CN"/>
                    </w:rPr>
                  </w:pPr>
                  <w:r>
                    <w:rPr>
                      <w:rFonts w:hint="eastAsia" w:cs="Times New Roman" w:eastAsiaTheme="minorEastAsia"/>
                      <w:color w:val="auto"/>
                      <w:sz w:val="21"/>
                      <w:szCs w:val="21"/>
                      <w:lang w:val="en-US" w:eastAsia="zh-CN"/>
                    </w:rPr>
                    <w:t>颗粒物</w:t>
                  </w:r>
                </w:p>
              </w:tc>
              <w:tc>
                <w:tcPr>
                  <w:tcW w:w="1206" w:type="dxa"/>
                  <w:vAlign w:val="center"/>
                </w:tcPr>
                <w:p w14:paraId="75B55D08">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1.06</w:t>
                  </w:r>
                </w:p>
              </w:tc>
              <w:tc>
                <w:tcPr>
                  <w:tcW w:w="1020" w:type="dxa"/>
                  <w:shd w:val="clear" w:color="auto" w:fill="auto"/>
                  <w:vAlign w:val="center"/>
                </w:tcPr>
                <w:p w14:paraId="06011ADC">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1.767 </w:t>
                  </w:r>
                </w:p>
              </w:tc>
              <w:tc>
                <w:tcPr>
                  <w:tcW w:w="1292" w:type="dxa"/>
                  <w:shd w:val="clear" w:color="auto" w:fill="auto"/>
                  <w:vAlign w:val="center"/>
                </w:tcPr>
                <w:p w14:paraId="701E6DFB">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981.481 </w:t>
                  </w:r>
                </w:p>
              </w:tc>
              <w:tc>
                <w:tcPr>
                  <w:tcW w:w="840" w:type="dxa"/>
                  <w:vMerge w:val="restart"/>
                  <w:vAlign w:val="center"/>
                </w:tcPr>
                <w:p w14:paraId="70BEDBF1">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布袋除尘器+二级活性炭吸附装置</w:t>
                  </w:r>
                </w:p>
              </w:tc>
              <w:tc>
                <w:tcPr>
                  <w:tcW w:w="736" w:type="dxa"/>
                  <w:vAlign w:val="center"/>
                </w:tcPr>
                <w:p w14:paraId="56B71E79">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95</w:t>
                  </w:r>
                </w:p>
              </w:tc>
              <w:tc>
                <w:tcPr>
                  <w:tcW w:w="736" w:type="dxa"/>
                  <w:vAlign w:val="center"/>
                </w:tcPr>
                <w:p w14:paraId="3A3C8F0D">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99</w:t>
                  </w:r>
                </w:p>
              </w:tc>
              <w:tc>
                <w:tcPr>
                  <w:tcW w:w="1241" w:type="dxa"/>
                  <w:shd w:val="clear" w:color="auto" w:fill="auto"/>
                  <w:vAlign w:val="center"/>
                </w:tcPr>
                <w:p w14:paraId="7C824C39">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0.010 </w:t>
                  </w:r>
                </w:p>
              </w:tc>
              <w:tc>
                <w:tcPr>
                  <w:tcW w:w="1020" w:type="dxa"/>
                  <w:shd w:val="clear" w:color="auto" w:fill="auto"/>
                  <w:vAlign w:val="center"/>
                </w:tcPr>
                <w:p w14:paraId="3A983A77">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0.017 </w:t>
                  </w:r>
                </w:p>
              </w:tc>
              <w:tc>
                <w:tcPr>
                  <w:tcW w:w="1292" w:type="dxa"/>
                  <w:shd w:val="clear" w:color="auto" w:fill="auto"/>
                  <w:vAlign w:val="center"/>
                </w:tcPr>
                <w:p w14:paraId="3E5120AF">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9.324 </w:t>
                  </w:r>
                </w:p>
              </w:tc>
              <w:tc>
                <w:tcPr>
                  <w:tcW w:w="1268" w:type="dxa"/>
                  <w:vMerge w:val="restart"/>
                  <w:vAlign w:val="center"/>
                </w:tcPr>
                <w:p w14:paraId="072AAC14">
                  <w:pPr>
                    <w:keepNext w:val="0"/>
                    <w:keepLines w:val="0"/>
                    <w:widowControl/>
                    <w:suppressLineNumbers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i w:val="0"/>
                      <w:iCs w:val="0"/>
                      <w:color w:val="auto"/>
                      <w:kern w:val="0"/>
                      <w:sz w:val="21"/>
                      <w:szCs w:val="21"/>
                      <w:u w:val="none"/>
                      <w:lang w:val="en-US" w:eastAsia="zh-CN" w:bidi="ar"/>
                    </w:rPr>
                    <w:t>DA00</w:t>
                  </w:r>
                  <w:r>
                    <w:rPr>
                      <w:rFonts w:hint="eastAsia" w:cs="Times New Roman"/>
                      <w:i w:val="0"/>
                      <w:iCs w:val="0"/>
                      <w:color w:val="auto"/>
                      <w:kern w:val="0"/>
                      <w:sz w:val="21"/>
                      <w:szCs w:val="21"/>
                      <w:u w:val="none"/>
                      <w:lang w:val="en-US" w:eastAsia="zh-CN" w:bidi="ar"/>
                    </w:rPr>
                    <w:t>1</w:t>
                  </w:r>
                </w:p>
              </w:tc>
              <w:tc>
                <w:tcPr>
                  <w:tcW w:w="1125" w:type="dxa"/>
                  <w:vMerge w:val="restart"/>
                  <w:vAlign w:val="center"/>
                </w:tcPr>
                <w:p w14:paraId="121BBFF0">
                  <w:pPr>
                    <w:keepNext w:val="0"/>
                    <w:keepLines w:val="0"/>
                    <w:widowControl/>
                    <w:suppressLineNumbers w:val="0"/>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600h</w:t>
                  </w:r>
                </w:p>
              </w:tc>
              <w:tc>
                <w:tcPr>
                  <w:tcW w:w="1126" w:type="dxa"/>
                  <w:vAlign w:val="center"/>
                </w:tcPr>
                <w:p w14:paraId="4C36C762">
                  <w:pPr>
                    <w:keepNext w:val="0"/>
                    <w:keepLines w:val="0"/>
                    <w:widowControl/>
                    <w:suppressLineNumbers w:val="0"/>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1800</w:t>
                  </w:r>
                </w:p>
              </w:tc>
            </w:tr>
            <w:tr w14:paraId="22479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1" w:type="dxa"/>
                  <w:vAlign w:val="center"/>
                </w:tcPr>
                <w:p w14:paraId="37D88F28">
                  <w:pPr>
                    <w:spacing w:line="240" w:lineRule="auto"/>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投料粉尘</w:t>
                  </w:r>
                </w:p>
              </w:tc>
              <w:tc>
                <w:tcPr>
                  <w:tcW w:w="800" w:type="dxa"/>
                  <w:vAlign w:val="center"/>
                </w:tcPr>
                <w:p w14:paraId="22DABD8A">
                  <w:pPr>
                    <w:spacing w:line="240" w:lineRule="auto"/>
                    <w:jc w:val="center"/>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颗粒物</w:t>
                  </w:r>
                </w:p>
              </w:tc>
              <w:tc>
                <w:tcPr>
                  <w:tcW w:w="1206" w:type="dxa"/>
                  <w:vAlign w:val="center"/>
                </w:tcPr>
                <w:p w14:paraId="60869850">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1.06</w:t>
                  </w:r>
                </w:p>
              </w:tc>
              <w:tc>
                <w:tcPr>
                  <w:tcW w:w="1020" w:type="dxa"/>
                  <w:shd w:val="clear" w:color="auto" w:fill="auto"/>
                  <w:vAlign w:val="center"/>
                </w:tcPr>
                <w:p w14:paraId="7B54B925">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1.767 </w:t>
                  </w:r>
                </w:p>
              </w:tc>
              <w:tc>
                <w:tcPr>
                  <w:tcW w:w="1292" w:type="dxa"/>
                  <w:shd w:val="clear" w:color="auto" w:fill="auto"/>
                  <w:vAlign w:val="center"/>
                </w:tcPr>
                <w:p w14:paraId="7A42DBEC">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420.635 </w:t>
                  </w:r>
                </w:p>
              </w:tc>
              <w:tc>
                <w:tcPr>
                  <w:tcW w:w="840" w:type="dxa"/>
                  <w:vMerge w:val="continue"/>
                  <w:vAlign w:val="center"/>
                </w:tcPr>
                <w:p w14:paraId="4B8386EA">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p>
              </w:tc>
              <w:tc>
                <w:tcPr>
                  <w:tcW w:w="736" w:type="dxa"/>
                  <w:vAlign w:val="center"/>
                </w:tcPr>
                <w:p w14:paraId="4A146B50">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90</w:t>
                  </w:r>
                </w:p>
              </w:tc>
              <w:tc>
                <w:tcPr>
                  <w:tcW w:w="736" w:type="dxa"/>
                  <w:vAlign w:val="center"/>
                </w:tcPr>
                <w:p w14:paraId="0ACB7698">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99</w:t>
                  </w:r>
                </w:p>
              </w:tc>
              <w:tc>
                <w:tcPr>
                  <w:tcW w:w="1241" w:type="dxa"/>
                  <w:shd w:val="clear" w:color="auto" w:fill="auto"/>
                  <w:vAlign w:val="center"/>
                </w:tcPr>
                <w:p w14:paraId="5DDB9DDA">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0.009</w:t>
                  </w:r>
                </w:p>
              </w:tc>
              <w:tc>
                <w:tcPr>
                  <w:tcW w:w="1020" w:type="dxa"/>
                  <w:shd w:val="clear" w:color="auto" w:fill="auto"/>
                  <w:vAlign w:val="center"/>
                </w:tcPr>
                <w:p w14:paraId="49625767">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0.016 </w:t>
                  </w:r>
                </w:p>
              </w:tc>
              <w:tc>
                <w:tcPr>
                  <w:tcW w:w="1292" w:type="dxa"/>
                  <w:shd w:val="clear" w:color="auto" w:fill="auto"/>
                  <w:vAlign w:val="center"/>
                </w:tcPr>
                <w:p w14:paraId="6BE22962">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3.786 </w:t>
                  </w:r>
                </w:p>
              </w:tc>
              <w:tc>
                <w:tcPr>
                  <w:tcW w:w="1268" w:type="dxa"/>
                  <w:vMerge w:val="continue"/>
                  <w:vAlign w:val="center"/>
                </w:tcPr>
                <w:p w14:paraId="713E180B">
                  <w:pPr>
                    <w:keepNext w:val="0"/>
                    <w:keepLines w:val="0"/>
                    <w:widowControl/>
                    <w:suppressLineNumbers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1125" w:type="dxa"/>
                  <w:vMerge w:val="continue"/>
                  <w:vAlign w:val="center"/>
                </w:tcPr>
                <w:p w14:paraId="71150097">
                  <w:pPr>
                    <w:keepNext w:val="0"/>
                    <w:keepLines w:val="0"/>
                    <w:widowControl/>
                    <w:suppressLineNumbers w:val="0"/>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p>
              </w:tc>
              <w:tc>
                <w:tcPr>
                  <w:tcW w:w="1126" w:type="dxa"/>
                  <w:vAlign w:val="center"/>
                </w:tcPr>
                <w:p w14:paraId="0ABE0123">
                  <w:pPr>
                    <w:keepNext w:val="0"/>
                    <w:keepLines w:val="0"/>
                    <w:widowControl/>
                    <w:suppressLineNumbers w:val="0"/>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4200</w:t>
                  </w:r>
                </w:p>
              </w:tc>
            </w:tr>
            <w:tr w14:paraId="69C11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1" w:type="dxa"/>
                  <w:vMerge w:val="restart"/>
                  <w:vAlign w:val="center"/>
                </w:tcPr>
                <w:p w14:paraId="01FE1DA2">
                  <w:pPr>
                    <w:spacing w:line="240" w:lineRule="auto"/>
                    <w:jc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密炼</w:t>
                  </w:r>
                  <w:r>
                    <w:rPr>
                      <w:rFonts w:hint="eastAsia" w:cs="Times New Roman" w:eastAsiaTheme="minorEastAsia"/>
                      <w:color w:val="auto"/>
                      <w:sz w:val="21"/>
                      <w:szCs w:val="21"/>
                      <w:lang w:val="en-US" w:eastAsia="zh-CN"/>
                    </w:rPr>
                    <w:t>废气</w:t>
                  </w:r>
                </w:p>
              </w:tc>
              <w:tc>
                <w:tcPr>
                  <w:tcW w:w="800" w:type="dxa"/>
                  <w:vAlign w:val="center"/>
                </w:tcPr>
                <w:p w14:paraId="3A1F0C72">
                  <w:pPr>
                    <w:spacing w:line="240" w:lineRule="auto"/>
                    <w:jc w:val="center"/>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颗粒物</w:t>
                  </w:r>
                </w:p>
              </w:tc>
              <w:tc>
                <w:tcPr>
                  <w:tcW w:w="1206" w:type="dxa"/>
                  <w:vAlign w:val="center"/>
                </w:tcPr>
                <w:p w14:paraId="27F2D59A">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4.31</w:t>
                  </w:r>
                </w:p>
              </w:tc>
              <w:tc>
                <w:tcPr>
                  <w:tcW w:w="1020" w:type="dxa"/>
                  <w:shd w:val="clear" w:color="auto" w:fill="auto"/>
                  <w:vAlign w:val="center"/>
                </w:tcPr>
                <w:p w14:paraId="405E0C48">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0.898 </w:t>
                  </w:r>
                </w:p>
              </w:tc>
              <w:tc>
                <w:tcPr>
                  <w:tcW w:w="1292" w:type="dxa"/>
                  <w:shd w:val="clear" w:color="auto" w:fill="auto"/>
                  <w:vAlign w:val="center"/>
                </w:tcPr>
                <w:p w14:paraId="43E00BBC">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47.509 </w:t>
                  </w:r>
                </w:p>
              </w:tc>
              <w:tc>
                <w:tcPr>
                  <w:tcW w:w="840" w:type="dxa"/>
                  <w:vMerge w:val="continue"/>
                  <w:vAlign w:val="center"/>
                </w:tcPr>
                <w:p w14:paraId="48F06A3C">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p>
              </w:tc>
              <w:tc>
                <w:tcPr>
                  <w:tcW w:w="736" w:type="dxa"/>
                  <w:vAlign w:val="center"/>
                </w:tcPr>
                <w:p w14:paraId="35913812">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90</w:t>
                  </w:r>
                </w:p>
              </w:tc>
              <w:tc>
                <w:tcPr>
                  <w:tcW w:w="736" w:type="dxa"/>
                  <w:vAlign w:val="center"/>
                </w:tcPr>
                <w:p w14:paraId="55477E5B">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99</w:t>
                  </w:r>
                </w:p>
              </w:tc>
              <w:tc>
                <w:tcPr>
                  <w:tcW w:w="1241" w:type="dxa"/>
                  <w:shd w:val="clear" w:color="auto" w:fill="auto"/>
                  <w:vAlign w:val="center"/>
                </w:tcPr>
                <w:p w14:paraId="10A5B251">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0.039 </w:t>
                  </w:r>
                </w:p>
              </w:tc>
              <w:tc>
                <w:tcPr>
                  <w:tcW w:w="1020" w:type="dxa"/>
                  <w:shd w:val="clear" w:color="auto" w:fill="auto"/>
                  <w:vAlign w:val="center"/>
                </w:tcPr>
                <w:p w14:paraId="696E1766">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0.008 </w:t>
                  </w:r>
                </w:p>
              </w:tc>
              <w:tc>
                <w:tcPr>
                  <w:tcW w:w="1292" w:type="dxa"/>
                  <w:shd w:val="clear" w:color="auto" w:fill="auto"/>
                  <w:vAlign w:val="center"/>
                </w:tcPr>
                <w:p w14:paraId="3ED6F6EA">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0.428 </w:t>
                  </w:r>
                </w:p>
              </w:tc>
              <w:tc>
                <w:tcPr>
                  <w:tcW w:w="1268" w:type="dxa"/>
                  <w:vMerge w:val="continue"/>
                  <w:vAlign w:val="center"/>
                </w:tcPr>
                <w:p w14:paraId="4613F336">
                  <w:pPr>
                    <w:keepNext w:val="0"/>
                    <w:keepLines w:val="0"/>
                    <w:widowControl/>
                    <w:suppressLineNumbers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1125" w:type="dxa"/>
                  <w:vMerge w:val="restart"/>
                  <w:vAlign w:val="center"/>
                </w:tcPr>
                <w:p w14:paraId="22418568">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4800</w:t>
                  </w:r>
                  <w:r>
                    <w:rPr>
                      <w:rFonts w:hint="eastAsia" w:ascii="Times New Roman" w:hAnsi="Times New Roman" w:cs="Times New Roman"/>
                      <w:i w:val="0"/>
                      <w:iCs w:val="0"/>
                      <w:color w:val="auto"/>
                      <w:kern w:val="0"/>
                      <w:sz w:val="21"/>
                      <w:szCs w:val="21"/>
                      <w:u w:val="none"/>
                      <w:lang w:val="en-US" w:eastAsia="zh-CN" w:bidi="ar"/>
                    </w:rPr>
                    <w:t>h</w:t>
                  </w:r>
                </w:p>
              </w:tc>
              <w:tc>
                <w:tcPr>
                  <w:tcW w:w="1126" w:type="dxa"/>
                  <w:vMerge w:val="restart"/>
                  <w:vAlign w:val="center"/>
                </w:tcPr>
                <w:p w14:paraId="5A7222FB">
                  <w:pPr>
                    <w:keepNext w:val="0"/>
                    <w:keepLines w:val="0"/>
                    <w:widowControl/>
                    <w:suppressLineNumbers w:val="0"/>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18900</w:t>
                  </w:r>
                </w:p>
              </w:tc>
            </w:tr>
            <w:tr w14:paraId="1BC8F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1" w:type="dxa"/>
                  <w:vMerge w:val="continue"/>
                  <w:vAlign w:val="center"/>
                </w:tcPr>
                <w:p w14:paraId="4ADE1122">
                  <w:pPr>
                    <w:spacing w:line="240" w:lineRule="auto"/>
                    <w:jc w:val="center"/>
                    <w:rPr>
                      <w:rFonts w:hint="eastAsia" w:cs="Times New Roman" w:eastAsiaTheme="minorEastAsia"/>
                      <w:color w:val="auto"/>
                      <w:sz w:val="21"/>
                      <w:szCs w:val="21"/>
                      <w:lang w:val="en-US" w:eastAsia="zh-CN"/>
                    </w:rPr>
                  </w:pPr>
                </w:p>
              </w:tc>
              <w:tc>
                <w:tcPr>
                  <w:tcW w:w="800" w:type="dxa"/>
                  <w:vAlign w:val="center"/>
                </w:tcPr>
                <w:p w14:paraId="58B26540">
                  <w:pPr>
                    <w:spacing w:line="240" w:lineRule="auto"/>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非甲烷总烃</w:t>
                  </w:r>
                </w:p>
              </w:tc>
              <w:tc>
                <w:tcPr>
                  <w:tcW w:w="1206" w:type="dxa"/>
                  <w:vAlign w:val="center"/>
                </w:tcPr>
                <w:p w14:paraId="3FAAB7DF">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1.393</w:t>
                  </w:r>
                </w:p>
              </w:tc>
              <w:tc>
                <w:tcPr>
                  <w:tcW w:w="1020" w:type="dxa"/>
                  <w:shd w:val="clear" w:color="auto" w:fill="auto"/>
                  <w:vAlign w:val="center"/>
                </w:tcPr>
                <w:p w14:paraId="3E50EB61">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0.290 </w:t>
                  </w:r>
                </w:p>
              </w:tc>
              <w:tc>
                <w:tcPr>
                  <w:tcW w:w="1292" w:type="dxa"/>
                  <w:shd w:val="clear" w:color="auto" w:fill="auto"/>
                  <w:vAlign w:val="center"/>
                </w:tcPr>
                <w:p w14:paraId="27EB2A0A">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15.355 </w:t>
                  </w:r>
                </w:p>
              </w:tc>
              <w:tc>
                <w:tcPr>
                  <w:tcW w:w="840" w:type="dxa"/>
                  <w:vMerge w:val="continue"/>
                  <w:vAlign w:val="center"/>
                </w:tcPr>
                <w:p w14:paraId="7142A7E0">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p>
              </w:tc>
              <w:tc>
                <w:tcPr>
                  <w:tcW w:w="736" w:type="dxa"/>
                  <w:vAlign w:val="center"/>
                </w:tcPr>
                <w:p w14:paraId="361C4AEE">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90</w:t>
                  </w:r>
                </w:p>
              </w:tc>
              <w:tc>
                <w:tcPr>
                  <w:tcW w:w="736" w:type="dxa"/>
                  <w:vAlign w:val="center"/>
                </w:tcPr>
                <w:p w14:paraId="0C5BB4EF">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90</w:t>
                  </w:r>
                </w:p>
              </w:tc>
              <w:tc>
                <w:tcPr>
                  <w:tcW w:w="1241" w:type="dxa"/>
                  <w:shd w:val="clear" w:color="auto" w:fill="auto"/>
                  <w:vAlign w:val="center"/>
                </w:tcPr>
                <w:p w14:paraId="224D2125">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0.125 </w:t>
                  </w:r>
                </w:p>
              </w:tc>
              <w:tc>
                <w:tcPr>
                  <w:tcW w:w="1020" w:type="dxa"/>
                  <w:shd w:val="clear" w:color="auto" w:fill="auto"/>
                  <w:vAlign w:val="center"/>
                </w:tcPr>
                <w:p w14:paraId="446D3C18">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0.026 </w:t>
                  </w:r>
                </w:p>
              </w:tc>
              <w:tc>
                <w:tcPr>
                  <w:tcW w:w="1292" w:type="dxa"/>
                  <w:shd w:val="clear" w:color="auto" w:fill="auto"/>
                  <w:vAlign w:val="center"/>
                </w:tcPr>
                <w:p w14:paraId="43B97D73">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1.382 </w:t>
                  </w:r>
                </w:p>
              </w:tc>
              <w:tc>
                <w:tcPr>
                  <w:tcW w:w="1268" w:type="dxa"/>
                  <w:vMerge w:val="continue"/>
                  <w:vAlign w:val="center"/>
                </w:tcPr>
                <w:p w14:paraId="5C877446">
                  <w:pPr>
                    <w:keepNext w:val="0"/>
                    <w:keepLines w:val="0"/>
                    <w:widowControl/>
                    <w:suppressLineNumbers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1125" w:type="dxa"/>
                  <w:vMerge w:val="continue"/>
                  <w:vAlign w:val="center"/>
                </w:tcPr>
                <w:p w14:paraId="275773CA">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c>
                <w:tcPr>
                  <w:tcW w:w="1126" w:type="dxa"/>
                  <w:vMerge w:val="continue"/>
                  <w:vAlign w:val="center"/>
                </w:tcPr>
                <w:p w14:paraId="49466968">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r>
            <w:tr w14:paraId="2C05D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1" w:type="dxa"/>
                  <w:vMerge w:val="continue"/>
                  <w:vAlign w:val="center"/>
                </w:tcPr>
                <w:p w14:paraId="5C4C7996">
                  <w:pPr>
                    <w:spacing w:line="240" w:lineRule="auto"/>
                    <w:jc w:val="center"/>
                    <w:rPr>
                      <w:rFonts w:hint="eastAsia" w:cs="Times New Roman" w:eastAsiaTheme="minorEastAsia"/>
                      <w:color w:val="auto"/>
                      <w:sz w:val="21"/>
                      <w:szCs w:val="21"/>
                      <w:lang w:val="en-US" w:eastAsia="zh-CN"/>
                    </w:rPr>
                  </w:pPr>
                </w:p>
              </w:tc>
              <w:tc>
                <w:tcPr>
                  <w:tcW w:w="800" w:type="dxa"/>
                  <w:vAlign w:val="center"/>
                </w:tcPr>
                <w:p w14:paraId="11252B3F">
                  <w:pPr>
                    <w:spacing w:line="240" w:lineRule="auto"/>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臭气浓度</w:t>
                  </w:r>
                </w:p>
              </w:tc>
              <w:tc>
                <w:tcPr>
                  <w:tcW w:w="1206" w:type="dxa"/>
                  <w:vAlign w:val="center"/>
                </w:tcPr>
                <w:p w14:paraId="2F213C13">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1020" w:type="dxa"/>
                  <w:shd w:val="clear" w:color="auto" w:fill="auto"/>
                  <w:vAlign w:val="center"/>
                </w:tcPr>
                <w:p w14:paraId="603399CA">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1292" w:type="dxa"/>
                  <w:shd w:val="clear" w:color="auto" w:fill="auto"/>
                  <w:vAlign w:val="center"/>
                </w:tcPr>
                <w:p w14:paraId="5B49AE38">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2442.5（无量纲）</w:t>
                  </w:r>
                </w:p>
              </w:tc>
              <w:tc>
                <w:tcPr>
                  <w:tcW w:w="840" w:type="dxa"/>
                  <w:vMerge w:val="continue"/>
                  <w:vAlign w:val="center"/>
                </w:tcPr>
                <w:p w14:paraId="24D81FFD">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p>
              </w:tc>
              <w:tc>
                <w:tcPr>
                  <w:tcW w:w="736" w:type="dxa"/>
                  <w:vAlign w:val="center"/>
                </w:tcPr>
                <w:p w14:paraId="609FCBA6">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90</w:t>
                  </w:r>
                </w:p>
              </w:tc>
              <w:tc>
                <w:tcPr>
                  <w:tcW w:w="736" w:type="dxa"/>
                  <w:vAlign w:val="center"/>
                </w:tcPr>
                <w:p w14:paraId="07244A3D">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60</w:t>
                  </w:r>
                </w:p>
              </w:tc>
              <w:tc>
                <w:tcPr>
                  <w:tcW w:w="1241" w:type="dxa"/>
                  <w:shd w:val="clear" w:color="auto" w:fill="auto"/>
                  <w:vAlign w:val="center"/>
                </w:tcPr>
                <w:p w14:paraId="4DEC3107">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1020" w:type="dxa"/>
                  <w:shd w:val="clear" w:color="auto" w:fill="auto"/>
                  <w:vAlign w:val="center"/>
                </w:tcPr>
                <w:p w14:paraId="7095EA58">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1292" w:type="dxa"/>
                  <w:shd w:val="clear" w:color="auto" w:fill="auto"/>
                  <w:vAlign w:val="center"/>
                </w:tcPr>
                <w:p w14:paraId="6F3D9550">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977（无量纲）</w:t>
                  </w:r>
                </w:p>
              </w:tc>
              <w:tc>
                <w:tcPr>
                  <w:tcW w:w="1268" w:type="dxa"/>
                  <w:vMerge w:val="continue"/>
                  <w:vAlign w:val="center"/>
                </w:tcPr>
                <w:p w14:paraId="546C457C">
                  <w:pPr>
                    <w:keepNext w:val="0"/>
                    <w:keepLines w:val="0"/>
                    <w:widowControl/>
                    <w:suppressLineNumbers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1125" w:type="dxa"/>
                  <w:vMerge w:val="continue"/>
                  <w:vAlign w:val="center"/>
                </w:tcPr>
                <w:p w14:paraId="6D39ACE9">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c>
                <w:tcPr>
                  <w:tcW w:w="1126" w:type="dxa"/>
                  <w:vMerge w:val="continue"/>
                  <w:vAlign w:val="center"/>
                </w:tcPr>
                <w:p w14:paraId="15CCFC6D">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r>
            <w:tr w14:paraId="3D325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1" w:type="dxa"/>
                  <w:vMerge w:val="restart"/>
                  <w:vAlign w:val="center"/>
                </w:tcPr>
                <w:p w14:paraId="6E250FB5">
                  <w:pPr>
                    <w:spacing w:line="240" w:lineRule="auto"/>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开炼废气</w:t>
                  </w:r>
                </w:p>
              </w:tc>
              <w:tc>
                <w:tcPr>
                  <w:tcW w:w="800" w:type="dxa"/>
                  <w:shd w:val="clear" w:color="auto" w:fill="auto"/>
                  <w:vAlign w:val="center"/>
                </w:tcPr>
                <w:p w14:paraId="4394AABE">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非甲烷总烃</w:t>
                  </w:r>
                </w:p>
              </w:tc>
              <w:tc>
                <w:tcPr>
                  <w:tcW w:w="1206" w:type="dxa"/>
                  <w:vAlign w:val="center"/>
                </w:tcPr>
                <w:p w14:paraId="75B16780">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0.722</w:t>
                  </w:r>
                </w:p>
              </w:tc>
              <w:tc>
                <w:tcPr>
                  <w:tcW w:w="1020" w:type="dxa"/>
                  <w:shd w:val="clear" w:color="auto" w:fill="auto"/>
                  <w:vAlign w:val="center"/>
                </w:tcPr>
                <w:p w14:paraId="35D967D3">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0.150 </w:t>
                  </w:r>
                </w:p>
              </w:tc>
              <w:tc>
                <w:tcPr>
                  <w:tcW w:w="1292" w:type="dxa"/>
                  <w:shd w:val="clear" w:color="auto" w:fill="auto"/>
                  <w:vAlign w:val="center"/>
                </w:tcPr>
                <w:p w14:paraId="52FC9D5D">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11.938 </w:t>
                  </w:r>
                </w:p>
              </w:tc>
              <w:tc>
                <w:tcPr>
                  <w:tcW w:w="840" w:type="dxa"/>
                  <w:vMerge w:val="continue"/>
                  <w:vAlign w:val="center"/>
                </w:tcPr>
                <w:p w14:paraId="61EE1FB2">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p>
              </w:tc>
              <w:tc>
                <w:tcPr>
                  <w:tcW w:w="736" w:type="dxa"/>
                  <w:shd w:val="clear" w:color="auto" w:fill="auto"/>
                  <w:vAlign w:val="center"/>
                </w:tcPr>
                <w:p w14:paraId="79A1C5CF">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90</w:t>
                  </w:r>
                </w:p>
              </w:tc>
              <w:tc>
                <w:tcPr>
                  <w:tcW w:w="736" w:type="dxa"/>
                  <w:shd w:val="clear" w:color="auto" w:fill="auto"/>
                  <w:vAlign w:val="center"/>
                </w:tcPr>
                <w:p w14:paraId="4E4EFCF3">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90</w:t>
                  </w:r>
                </w:p>
              </w:tc>
              <w:tc>
                <w:tcPr>
                  <w:tcW w:w="1241" w:type="dxa"/>
                  <w:shd w:val="clear" w:color="auto" w:fill="auto"/>
                  <w:vAlign w:val="center"/>
                </w:tcPr>
                <w:p w14:paraId="36150202">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0.065 </w:t>
                  </w:r>
                </w:p>
              </w:tc>
              <w:tc>
                <w:tcPr>
                  <w:tcW w:w="1020" w:type="dxa"/>
                  <w:shd w:val="clear" w:color="auto" w:fill="auto"/>
                  <w:vAlign w:val="center"/>
                </w:tcPr>
                <w:p w14:paraId="3DF635A3">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0.014 </w:t>
                  </w:r>
                </w:p>
              </w:tc>
              <w:tc>
                <w:tcPr>
                  <w:tcW w:w="1292" w:type="dxa"/>
                  <w:shd w:val="clear" w:color="auto" w:fill="auto"/>
                  <w:vAlign w:val="center"/>
                </w:tcPr>
                <w:p w14:paraId="72C75D44">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1.074 </w:t>
                  </w:r>
                </w:p>
              </w:tc>
              <w:tc>
                <w:tcPr>
                  <w:tcW w:w="1268" w:type="dxa"/>
                  <w:vMerge w:val="continue"/>
                  <w:vAlign w:val="center"/>
                </w:tcPr>
                <w:p w14:paraId="460FDCFD">
                  <w:pPr>
                    <w:keepNext w:val="0"/>
                    <w:keepLines w:val="0"/>
                    <w:widowControl/>
                    <w:suppressLineNumbers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1125" w:type="dxa"/>
                  <w:vMerge w:val="restart"/>
                  <w:vAlign w:val="center"/>
                </w:tcPr>
                <w:p w14:paraId="30F5EA19">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4800</w:t>
                  </w:r>
                  <w:r>
                    <w:rPr>
                      <w:rFonts w:hint="eastAsia" w:ascii="Times New Roman" w:hAnsi="Times New Roman" w:cs="Times New Roman"/>
                      <w:i w:val="0"/>
                      <w:iCs w:val="0"/>
                      <w:color w:val="auto"/>
                      <w:kern w:val="0"/>
                      <w:sz w:val="21"/>
                      <w:szCs w:val="21"/>
                      <w:u w:val="none"/>
                      <w:lang w:val="en-US" w:eastAsia="zh-CN" w:bidi="ar"/>
                    </w:rPr>
                    <w:t>h</w:t>
                  </w:r>
                </w:p>
              </w:tc>
              <w:tc>
                <w:tcPr>
                  <w:tcW w:w="1126" w:type="dxa"/>
                  <w:vMerge w:val="restart"/>
                  <w:vAlign w:val="center"/>
                </w:tcPr>
                <w:p w14:paraId="5C7A9B9B">
                  <w:pPr>
                    <w:keepNext w:val="0"/>
                    <w:keepLines w:val="0"/>
                    <w:widowControl/>
                    <w:suppressLineNumbers w:val="0"/>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12600</w:t>
                  </w:r>
                </w:p>
              </w:tc>
            </w:tr>
            <w:tr w14:paraId="5DE86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1" w:type="dxa"/>
                  <w:vMerge w:val="continue"/>
                  <w:vAlign w:val="center"/>
                </w:tcPr>
                <w:p w14:paraId="6A8FC0C2">
                  <w:pPr>
                    <w:spacing w:line="240" w:lineRule="auto"/>
                    <w:jc w:val="center"/>
                    <w:rPr>
                      <w:rFonts w:hint="eastAsia" w:cs="Times New Roman" w:eastAsiaTheme="minorEastAsia"/>
                      <w:color w:val="auto"/>
                      <w:sz w:val="21"/>
                      <w:szCs w:val="21"/>
                      <w:lang w:val="en-US" w:eastAsia="zh-CN"/>
                    </w:rPr>
                  </w:pPr>
                </w:p>
              </w:tc>
              <w:tc>
                <w:tcPr>
                  <w:tcW w:w="800" w:type="dxa"/>
                  <w:shd w:val="clear" w:color="auto" w:fill="auto"/>
                  <w:vAlign w:val="center"/>
                </w:tcPr>
                <w:p w14:paraId="1B854A89">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臭气浓度</w:t>
                  </w:r>
                </w:p>
              </w:tc>
              <w:tc>
                <w:tcPr>
                  <w:tcW w:w="1206" w:type="dxa"/>
                  <w:shd w:val="clear" w:color="auto" w:fill="auto"/>
                  <w:vAlign w:val="center"/>
                </w:tcPr>
                <w:p w14:paraId="26FA71A4">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w:t>
                  </w:r>
                </w:p>
              </w:tc>
              <w:tc>
                <w:tcPr>
                  <w:tcW w:w="1020" w:type="dxa"/>
                  <w:shd w:val="clear" w:color="auto" w:fill="auto"/>
                  <w:vAlign w:val="center"/>
                </w:tcPr>
                <w:p w14:paraId="465894E5">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1292" w:type="dxa"/>
                  <w:shd w:val="clear" w:color="auto" w:fill="auto"/>
                  <w:vAlign w:val="center"/>
                </w:tcPr>
                <w:p w14:paraId="479F897C">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2442.5（无量纲）</w:t>
                  </w:r>
                </w:p>
              </w:tc>
              <w:tc>
                <w:tcPr>
                  <w:tcW w:w="840" w:type="dxa"/>
                  <w:vMerge w:val="continue"/>
                  <w:vAlign w:val="center"/>
                </w:tcPr>
                <w:p w14:paraId="3CB8DC7B">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p>
              </w:tc>
              <w:tc>
                <w:tcPr>
                  <w:tcW w:w="736" w:type="dxa"/>
                  <w:shd w:val="clear" w:color="auto" w:fill="auto"/>
                  <w:vAlign w:val="center"/>
                </w:tcPr>
                <w:p w14:paraId="58EDF2F8">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90</w:t>
                  </w:r>
                </w:p>
              </w:tc>
              <w:tc>
                <w:tcPr>
                  <w:tcW w:w="736" w:type="dxa"/>
                  <w:shd w:val="clear" w:color="auto" w:fill="auto"/>
                  <w:vAlign w:val="center"/>
                </w:tcPr>
                <w:p w14:paraId="1F6DE2D2">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60</w:t>
                  </w:r>
                </w:p>
              </w:tc>
              <w:tc>
                <w:tcPr>
                  <w:tcW w:w="1241" w:type="dxa"/>
                  <w:shd w:val="clear" w:color="auto" w:fill="auto"/>
                  <w:vAlign w:val="center"/>
                </w:tcPr>
                <w:p w14:paraId="34B16619">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1020" w:type="dxa"/>
                  <w:shd w:val="clear" w:color="auto" w:fill="auto"/>
                  <w:vAlign w:val="center"/>
                </w:tcPr>
                <w:p w14:paraId="25279B78">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1292" w:type="dxa"/>
                  <w:shd w:val="clear" w:color="auto" w:fill="auto"/>
                  <w:vAlign w:val="center"/>
                </w:tcPr>
                <w:p w14:paraId="6F4FA069">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977（无量纲）</w:t>
                  </w:r>
                </w:p>
              </w:tc>
              <w:tc>
                <w:tcPr>
                  <w:tcW w:w="1268" w:type="dxa"/>
                  <w:vMerge w:val="continue"/>
                  <w:vAlign w:val="center"/>
                </w:tcPr>
                <w:p w14:paraId="1D90C8C3">
                  <w:pPr>
                    <w:keepNext w:val="0"/>
                    <w:keepLines w:val="0"/>
                    <w:widowControl/>
                    <w:suppressLineNumbers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1125" w:type="dxa"/>
                  <w:vMerge w:val="continue"/>
                  <w:vAlign w:val="center"/>
                </w:tcPr>
                <w:p w14:paraId="620BFCFF">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c>
                <w:tcPr>
                  <w:tcW w:w="1126" w:type="dxa"/>
                  <w:vMerge w:val="continue"/>
                  <w:vAlign w:val="center"/>
                </w:tcPr>
                <w:p w14:paraId="4D3AD8A2">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r>
            <w:tr w14:paraId="52D48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1" w:type="dxa"/>
                  <w:vMerge w:val="restart"/>
                  <w:vAlign w:val="center"/>
                </w:tcPr>
                <w:p w14:paraId="1C570C25">
                  <w:pPr>
                    <w:spacing w:line="240" w:lineRule="auto"/>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合计</w:t>
                  </w:r>
                </w:p>
              </w:tc>
              <w:tc>
                <w:tcPr>
                  <w:tcW w:w="800" w:type="dxa"/>
                  <w:shd w:val="clear" w:color="auto" w:fill="auto"/>
                  <w:vAlign w:val="center"/>
                </w:tcPr>
                <w:p w14:paraId="1215B75A">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颗粒物</w:t>
                  </w:r>
                </w:p>
              </w:tc>
              <w:tc>
                <w:tcPr>
                  <w:tcW w:w="1206" w:type="dxa"/>
                  <w:vAlign w:val="center"/>
                </w:tcPr>
                <w:p w14:paraId="25972105">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1020" w:type="dxa"/>
                  <w:vAlign w:val="center"/>
                </w:tcPr>
                <w:p w14:paraId="0E83C0EA">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1292" w:type="dxa"/>
                  <w:vAlign w:val="center"/>
                </w:tcPr>
                <w:p w14:paraId="5915FE7A">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840" w:type="dxa"/>
                  <w:vMerge w:val="continue"/>
                  <w:vAlign w:val="center"/>
                </w:tcPr>
                <w:p w14:paraId="4D49548D">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p>
              </w:tc>
              <w:tc>
                <w:tcPr>
                  <w:tcW w:w="736" w:type="dxa"/>
                  <w:vAlign w:val="center"/>
                </w:tcPr>
                <w:p w14:paraId="45C95710">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736" w:type="dxa"/>
                  <w:vAlign w:val="center"/>
                </w:tcPr>
                <w:p w14:paraId="15CC5531">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1241" w:type="dxa"/>
                  <w:shd w:val="clear" w:color="auto" w:fill="auto"/>
                  <w:vAlign w:val="center"/>
                </w:tcPr>
                <w:p w14:paraId="3AB37E28">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0.0584</w:t>
                  </w:r>
                </w:p>
              </w:tc>
              <w:tc>
                <w:tcPr>
                  <w:tcW w:w="1020" w:type="dxa"/>
                  <w:shd w:val="clear" w:color="auto" w:fill="auto"/>
                  <w:vAlign w:val="center"/>
                </w:tcPr>
                <w:p w14:paraId="60E0F742">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0.012 </w:t>
                  </w:r>
                </w:p>
              </w:tc>
              <w:tc>
                <w:tcPr>
                  <w:tcW w:w="1292" w:type="dxa"/>
                  <w:shd w:val="clear" w:color="auto" w:fill="auto"/>
                  <w:vAlign w:val="center"/>
                </w:tcPr>
                <w:p w14:paraId="0C3BDBD6">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0.324 </w:t>
                  </w:r>
                </w:p>
              </w:tc>
              <w:tc>
                <w:tcPr>
                  <w:tcW w:w="1268" w:type="dxa"/>
                  <w:vMerge w:val="continue"/>
                  <w:vAlign w:val="center"/>
                </w:tcPr>
                <w:p w14:paraId="6A92DF96">
                  <w:pPr>
                    <w:keepNext w:val="0"/>
                    <w:keepLines w:val="0"/>
                    <w:widowControl/>
                    <w:suppressLineNumbers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1125" w:type="dxa"/>
                  <w:vMerge w:val="restart"/>
                  <w:vAlign w:val="center"/>
                </w:tcPr>
                <w:p w14:paraId="750ADFB5">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4800</w:t>
                  </w:r>
                  <w:r>
                    <w:rPr>
                      <w:rFonts w:hint="eastAsia" w:ascii="Times New Roman" w:hAnsi="Times New Roman" w:cs="Times New Roman"/>
                      <w:i w:val="0"/>
                      <w:iCs w:val="0"/>
                      <w:color w:val="auto"/>
                      <w:kern w:val="0"/>
                      <w:sz w:val="21"/>
                      <w:szCs w:val="21"/>
                      <w:u w:val="none"/>
                      <w:lang w:val="en-US" w:eastAsia="zh-CN" w:bidi="ar"/>
                    </w:rPr>
                    <w:t>h</w:t>
                  </w:r>
                </w:p>
              </w:tc>
              <w:tc>
                <w:tcPr>
                  <w:tcW w:w="1126" w:type="dxa"/>
                  <w:vMerge w:val="restart"/>
                  <w:vAlign w:val="center"/>
                </w:tcPr>
                <w:p w14:paraId="12AD7E57">
                  <w:pPr>
                    <w:keepNext w:val="0"/>
                    <w:keepLines w:val="0"/>
                    <w:widowControl/>
                    <w:suppressLineNumbers w:val="0"/>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37500</w:t>
                  </w:r>
                </w:p>
              </w:tc>
            </w:tr>
            <w:tr w14:paraId="79E7D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1" w:type="dxa"/>
                  <w:vMerge w:val="continue"/>
                  <w:vAlign w:val="center"/>
                </w:tcPr>
                <w:p w14:paraId="777E9CF3">
                  <w:pPr>
                    <w:spacing w:line="240" w:lineRule="auto"/>
                    <w:jc w:val="center"/>
                    <w:rPr>
                      <w:rFonts w:hint="eastAsia" w:cs="Times New Roman" w:eastAsiaTheme="minorEastAsia"/>
                      <w:color w:val="auto"/>
                      <w:sz w:val="21"/>
                      <w:szCs w:val="21"/>
                      <w:lang w:val="en-US" w:eastAsia="zh-CN"/>
                    </w:rPr>
                  </w:pPr>
                </w:p>
              </w:tc>
              <w:tc>
                <w:tcPr>
                  <w:tcW w:w="800" w:type="dxa"/>
                  <w:shd w:val="clear" w:color="auto" w:fill="auto"/>
                  <w:vAlign w:val="center"/>
                </w:tcPr>
                <w:p w14:paraId="10DF8C83">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非甲烷总烃</w:t>
                  </w:r>
                </w:p>
              </w:tc>
              <w:tc>
                <w:tcPr>
                  <w:tcW w:w="1206" w:type="dxa"/>
                  <w:vAlign w:val="center"/>
                </w:tcPr>
                <w:p w14:paraId="1B0758B8">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1020" w:type="dxa"/>
                  <w:vAlign w:val="center"/>
                </w:tcPr>
                <w:p w14:paraId="6B75C8B5">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1292" w:type="dxa"/>
                  <w:vAlign w:val="center"/>
                </w:tcPr>
                <w:p w14:paraId="32DBAE59">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840" w:type="dxa"/>
                  <w:vMerge w:val="continue"/>
                  <w:vAlign w:val="center"/>
                </w:tcPr>
                <w:p w14:paraId="79D9FE29">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p>
              </w:tc>
              <w:tc>
                <w:tcPr>
                  <w:tcW w:w="736" w:type="dxa"/>
                  <w:vAlign w:val="center"/>
                </w:tcPr>
                <w:p w14:paraId="48E7FEC5">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736" w:type="dxa"/>
                  <w:vAlign w:val="center"/>
                </w:tcPr>
                <w:p w14:paraId="48402879">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1241" w:type="dxa"/>
                  <w:shd w:val="clear" w:color="auto" w:fill="auto"/>
                  <w:vAlign w:val="center"/>
                </w:tcPr>
                <w:p w14:paraId="73A3B3D1">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0.19</w:t>
                  </w:r>
                </w:p>
              </w:tc>
              <w:tc>
                <w:tcPr>
                  <w:tcW w:w="1020" w:type="dxa"/>
                  <w:shd w:val="clear" w:color="auto" w:fill="auto"/>
                  <w:vAlign w:val="center"/>
                </w:tcPr>
                <w:p w14:paraId="7CFEC401">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0.040 </w:t>
                  </w:r>
                </w:p>
              </w:tc>
              <w:tc>
                <w:tcPr>
                  <w:tcW w:w="1292" w:type="dxa"/>
                  <w:shd w:val="clear" w:color="auto" w:fill="auto"/>
                  <w:vAlign w:val="center"/>
                </w:tcPr>
                <w:p w14:paraId="2898F2C6">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1.056 </w:t>
                  </w:r>
                </w:p>
              </w:tc>
              <w:tc>
                <w:tcPr>
                  <w:tcW w:w="1268" w:type="dxa"/>
                  <w:vMerge w:val="continue"/>
                  <w:vAlign w:val="center"/>
                </w:tcPr>
                <w:p w14:paraId="744DBEDE">
                  <w:pPr>
                    <w:keepNext w:val="0"/>
                    <w:keepLines w:val="0"/>
                    <w:widowControl/>
                    <w:suppressLineNumbers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1125" w:type="dxa"/>
                  <w:vMerge w:val="continue"/>
                  <w:vAlign w:val="center"/>
                </w:tcPr>
                <w:p w14:paraId="31C6B655">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c>
                <w:tcPr>
                  <w:tcW w:w="1126" w:type="dxa"/>
                  <w:vMerge w:val="continue"/>
                  <w:vAlign w:val="center"/>
                </w:tcPr>
                <w:p w14:paraId="4C9926C5">
                  <w:pPr>
                    <w:keepNext w:val="0"/>
                    <w:keepLines w:val="0"/>
                    <w:widowControl/>
                    <w:suppressLineNumbers w:val="0"/>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p>
              </w:tc>
            </w:tr>
            <w:tr w14:paraId="66F6A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1" w:type="dxa"/>
                  <w:vMerge w:val="continue"/>
                  <w:vAlign w:val="center"/>
                </w:tcPr>
                <w:p w14:paraId="0C161527">
                  <w:pPr>
                    <w:spacing w:line="240" w:lineRule="auto"/>
                    <w:jc w:val="center"/>
                    <w:rPr>
                      <w:rFonts w:hint="eastAsia" w:cs="Times New Roman" w:eastAsiaTheme="minorEastAsia"/>
                      <w:color w:val="auto"/>
                      <w:sz w:val="21"/>
                      <w:szCs w:val="21"/>
                      <w:lang w:val="en-US" w:eastAsia="zh-CN"/>
                    </w:rPr>
                  </w:pPr>
                </w:p>
              </w:tc>
              <w:tc>
                <w:tcPr>
                  <w:tcW w:w="800" w:type="dxa"/>
                  <w:shd w:val="clear" w:color="auto" w:fill="auto"/>
                  <w:vAlign w:val="center"/>
                </w:tcPr>
                <w:p w14:paraId="724097E1">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臭气浓度</w:t>
                  </w:r>
                </w:p>
              </w:tc>
              <w:tc>
                <w:tcPr>
                  <w:tcW w:w="1206" w:type="dxa"/>
                  <w:shd w:val="clear" w:color="auto" w:fill="auto"/>
                  <w:vAlign w:val="center"/>
                </w:tcPr>
                <w:p w14:paraId="39FCEBC1">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w:t>
                  </w:r>
                </w:p>
              </w:tc>
              <w:tc>
                <w:tcPr>
                  <w:tcW w:w="1020" w:type="dxa"/>
                  <w:shd w:val="clear" w:color="auto" w:fill="auto"/>
                  <w:vAlign w:val="center"/>
                </w:tcPr>
                <w:p w14:paraId="39979890">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w:t>
                  </w:r>
                </w:p>
              </w:tc>
              <w:tc>
                <w:tcPr>
                  <w:tcW w:w="1292" w:type="dxa"/>
                  <w:vAlign w:val="center"/>
                </w:tcPr>
                <w:p w14:paraId="00256D43">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840" w:type="dxa"/>
                  <w:vMerge w:val="continue"/>
                  <w:vAlign w:val="center"/>
                </w:tcPr>
                <w:p w14:paraId="71AEE2D4">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p>
              </w:tc>
              <w:tc>
                <w:tcPr>
                  <w:tcW w:w="736" w:type="dxa"/>
                  <w:vAlign w:val="center"/>
                </w:tcPr>
                <w:p w14:paraId="2936421C">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736" w:type="dxa"/>
                  <w:vAlign w:val="center"/>
                </w:tcPr>
                <w:p w14:paraId="47D76C82">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1241" w:type="dxa"/>
                  <w:shd w:val="clear" w:color="auto" w:fill="auto"/>
                  <w:vAlign w:val="center"/>
                </w:tcPr>
                <w:p w14:paraId="24E6365D">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w:t>
                  </w:r>
                </w:p>
              </w:tc>
              <w:tc>
                <w:tcPr>
                  <w:tcW w:w="1020" w:type="dxa"/>
                  <w:shd w:val="clear" w:color="auto" w:fill="auto"/>
                  <w:vAlign w:val="center"/>
                </w:tcPr>
                <w:p w14:paraId="354BC96C">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w:t>
                  </w:r>
                </w:p>
              </w:tc>
              <w:tc>
                <w:tcPr>
                  <w:tcW w:w="1292" w:type="dxa"/>
                  <w:shd w:val="clear" w:color="auto" w:fill="auto"/>
                  <w:vAlign w:val="center"/>
                </w:tcPr>
                <w:p w14:paraId="3BA86DA2">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977</w:t>
                  </w:r>
                  <w:r>
                    <w:rPr>
                      <w:rFonts w:hint="eastAsia" w:ascii="Times New Roman" w:hAnsi="Times New Roman" w:cs="Times New Roman" w:eastAsiaTheme="minorEastAsia"/>
                      <w:color w:val="auto"/>
                      <w:kern w:val="2"/>
                      <w:sz w:val="21"/>
                      <w:szCs w:val="21"/>
                      <w:lang w:val="en-US" w:eastAsia="zh-CN" w:bidi="ar-SA"/>
                    </w:rPr>
                    <w:t>（无量纲）</w:t>
                  </w:r>
                </w:p>
              </w:tc>
              <w:tc>
                <w:tcPr>
                  <w:tcW w:w="1268" w:type="dxa"/>
                  <w:vMerge w:val="continue"/>
                  <w:vAlign w:val="center"/>
                </w:tcPr>
                <w:p w14:paraId="36BF52AD">
                  <w:pPr>
                    <w:keepNext w:val="0"/>
                    <w:keepLines w:val="0"/>
                    <w:widowControl/>
                    <w:suppressLineNumbers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1125" w:type="dxa"/>
                  <w:vMerge w:val="continue"/>
                  <w:vAlign w:val="center"/>
                </w:tcPr>
                <w:p w14:paraId="6AF3A314">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c>
                <w:tcPr>
                  <w:tcW w:w="1126" w:type="dxa"/>
                  <w:vMerge w:val="continue"/>
                  <w:vAlign w:val="center"/>
                </w:tcPr>
                <w:p w14:paraId="57AB6120">
                  <w:pPr>
                    <w:keepNext w:val="0"/>
                    <w:keepLines w:val="0"/>
                    <w:widowControl/>
                    <w:suppressLineNumbers w:val="0"/>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p>
              </w:tc>
            </w:tr>
          </w:tbl>
          <w:p w14:paraId="53E38737">
            <w:pPr>
              <w:ind w:firstLine="480"/>
              <w:rPr>
                <w:rFonts w:hint="eastAsia" w:eastAsia="宋体"/>
                <w:b/>
                <w:bCs/>
                <w:color w:val="auto"/>
                <w:lang w:eastAsia="zh-CN"/>
              </w:rPr>
            </w:pPr>
            <w:r>
              <w:rPr>
                <w:rFonts w:hint="eastAsia"/>
                <w:b/>
                <w:bCs/>
                <w:color w:val="auto"/>
              </w:rPr>
              <w:t>（</w:t>
            </w:r>
            <w:r>
              <w:rPr>
                <w:rFonts w:hint="eastAsia"/>
                <w:b/>
                <w:bCs/>
                <w:color w:val="auto"/>
                <w:lang w:val="en-US" w:eastAsia="zh-CN"/>
              </w:rPr>
              <w:t>4</w:t>
            </w:r>
            <w:r>
              <w:rPr>
                <w:rFonts w:hint="eastAsia"/>
                <w:b/>
                <w:bCs/>
                <w:color w:val="auto"/>
              </w:rPr>
              <w:t>）</w:t>
            </w:r>
            <w:r>
              <w:rPr>
                <w:rFonts w:hint="eastAsia"/>
                <w:b/>
                <w:bCs/>
                <w:color w:val="auto"/>
                <w:lang w:val="en-US" w:eastAsia="zh-CN"/>
              </w:rPr>
              <w:t>机加工颗粒物</w:t>
            </w:r>
          </w:p>
          <w:p w14:paraId="1CBCF982">
            <w:pPr>
              <w:ind w:firstLine="480"/>
              <w:rPr>
                <w:rFonts w:hint="default" w:eastAsia="宋体"/>
                <w:color w:val="auto"/>
                <w:lang w:val="en-US" w:eastAsia="zh-CN"/>
              </w:rPr>
            </w:pPr>
            <w:r>
              <w:rPr>
                <w:rFonts w:hint="eastAsia"/>
                <w:color w:val="auto"/>
              </w:rPr>
              <w:t>项目</w:t>
            </w:r>
            <w:r>
              <w:rPr>
                <w:color w:val="auto"/>
              </w:rPr>
              <w:t>在对</w:t>
            </w:r>
            <w:r>
              <w:rPr>
                <w:rFonts w:hint="eastAsia"/>
                <w:color w:val="auto"/>
                <w:lang w:val="en-US" w:eastAsia="zh-CN"/>
              </w:rPr>
              <w:t>钢板激光切割以及喷砂</w:t>
            </w:r>
            <w:r>
              <w:rPr>
                <w:color w:val="auto"/>
              </w:rPr>
              <w:t>过程中</w:t>
            </w:r>
            <w:r>
              <w:rPr>
                <w:rFonts w:hint="eastAsia"/>
                <w:color w:val="auto"/>
                <w:lang w:val="en-US" w:eastAsia="zh-CN"/>
              </w:rPr>
              <w:t>会产生颗粒物，</w:t>
            </w:r>
            <w:r>
              <w:rPr>
                <w:rFonts w:hint="eastAsia"/>
                <w:b w:val="0"/>
                <w:bCs w:val="0"/>
                <w:color w:val="auto"/>
                <w:lang w:val="en-US" w:eastAsia="zh-CN"/>
              </w:rPr>
              <w:t>本项目机加工</w:t>
            </w:r>
            <w:r>
              <w:rPr>
                <w:rFonts w:hint="eastAsia"/>
                <w:b w:val="0"/>
                <w:bCs w:val="0"/>
                <w:color w:val="auto"/>
              </w:rPr>
              <w:t>工序年运行时间约</w:t>
            </w:r>
            <w:r>
              <w:rPr>
                <w:rFonts w:hint="eastAsia"/>
                <w:b w:val="0"/>
                <w:bCs w:val="0"/>
                <w:color w:val="auto"/>
                <w:lang w:val="en-US" w:eastAsia="zh-CN"/>
              </w:rPr>
              <w:t>480</w:t>
            </w:r>
            <w:r>
              <w:rPr>
                <w:rFonts w:hint="eastAsia"/>
                <w:b w:val="0"/>
                <w:bCs w:val="0"/>
                <w:color w:val="auto"/>
              </w:rPr>
              <w:t>0</w:t>
            </w:r>
            <w:r>
              <w:rPr>
                <w:rFonts w:hint="eastAsia"/>
                <w:b w:val="0"/>
                <w:bCs w:val="0"/>
                <w:color w:val="auto"/>
                <w:lang w:val="en-US" w:eastAsia="zh-CN"/>
              </w:rPr>
              <w:t>h</w:t>
            </w:r>
            <w:r>
              <w:rPr>
                <w:rFonts w:hint="eastAsia"/>
                <w:color w:val="auto"/>
                <w:lang w:val="en-US" w:eastAsia="zh-CN"/>
              </w:rPr>
              <w:t>。</w:t>
            </w:r>
          </w:p>
          <w:p w14:paraId="39EA0FB0">
            <w:pPr>
              <w:ind w:firstLine="480"/>
              <w:rPr>
                <w:color w:val="auto"/>
              </w:rPr>
            </w:pPr>
            <w:r>
              <w:rPr>
                <w:rFonts w:hint="eastAsia"/>
                <w:color w:val="auto"/>
              </w:rPr>
              <w:t>根据《第二次全国污染源普查产排污核算系数手册--33金属制品业》钢板</w:t>
            </w:r>
            <w:r>
              <w:rPr>
                <w:rFonts w:hint="eastAsia"/>
                <w:color w:val="auto"/>
                <w:lang w:val="en-US" w:eastAsia="zh-CN"/>
              </w:rPr>
              <w:t>激光</w:t>
            </w:r>
            <w:r>
              <w:rPr>
                <w:rFonts w:hint="eastAsia"/>
                <w:color w:val="auto"/>
              </w:rPr>
              <w:t>切割下料产污系数为1.1kg/t-原材料。</w:t>
            </w:r>
            <w:r>
              <w:rPr>
                <w:rFonts w:hint="eastAsia"/>
                <w:color w:val="auto"/>
                <w:lang w:val="en-US" w:eastAsia="zh-CN"/>
              </w:rPr>
              <w:t>项目</w:t>
            </w:r>
            <w:r>
              <w:rPr>
                <w:rFonts w:hint="eastAsia"/>
                <w:color w:val="auto"/>
              </w:rPr>
              <w:t>激光下料切割的钢板总用量为</w:t>
            </w:r>
            <w:r>
              <w:rPr>
                <w:rFonts w:hint="eastAsia"/>
                <w:color w:val="auto"/>
                <w:lang w:val="en-US" w:eastAsia="zh-CN"/>
              </w:rPr>
              <w:t>4000</w:t>
            </w:r>
            <w:r>
              <w:rPr>
                <w:rFonts w:hint="eastAsia"/>
                <w:color w:val="auto"/>
              </w:rPr>
              <w:t>t/a，经核算，该工序粉尘产生量为</w:t>
            </w:r>
            <w:r>
              <w:rPr>
                <w:rFonts w:hint="eastAsia"/>
                <w:color w:val="auto"/>
                <w:lang w:val="en-US" w:eastAsia="zh-CN"/>
              </w:rPr>
              <w:t>4.4</w:t>
            </w:r>
            <w:r>
              <w:rPr>
                <w:rFonts w:hint="eastAsia"/>
                <w:color w:val="auto"/>
              </w:rPr>
              <w:t>t/a。</w:t>
            </w:r>
            <w:r>
              <w:rPr>
                <w:rFonts w:hint="eastAsia"/>
                <w:color w:val="auto"/>
                <w:lang w:val="en-US" w:eastAsia="zh-CN"/>
              </w:rPr>
              <w:t>激光切割颗粒物通过集气罩进行收集</w:t>
            </w:r>
            <w:r>
              <w:rPr>
                <w:color w:val="auto"/>
              </w:rPr>
              <w:t>，本项目</w:t>
            </w:r>
            <w:r>
              <w:rPr>
                <w:rFonts w:hint="eastAsia"/>
                <w:color w:val="auto"/>
                <w:lang w:val="en-US" w:eastAsia="zh-CN"/>
              </w:rPr>
              <w:t>共设置4台激光切割机，单个</w:t>
            </w:r>
            <w:r>
              <w:rPr>
                <w:rFonts w:hint="eastAsia"/>
                <w:color w:val="auto"/>
              </w:rPr>
              <w:t>集气罩</w:t>
            </w:r>
            <w:r>
              <w:rPr>
                <w:rFonts w:hint="eastAsia"/>
                <w:color w:val="auto"/>
                <w:spacing w:val="-4"/>
              </w:rPr>
              <w:t>尺寸为1m</w:t>
            </w:r>
            <w:r>
              <w:rPr>
                <w:rFonts w:ascii="Arial" w:hAnsi="Arial" w:cs="Arial"/>
                <w:color w:val="auto"/>
                <w:spacing w:val="-4"/>
              </w:rPr>
              <w:t>×</w:t>
            </w:r>
            <w:r>
              <w:rPr>
                <w:rFonts w:hint="eastAsia"/>
                <w:color w:val="auto"/>
                <w:spacing w:val="-4"/>
              </w:rPr>
              <w:t>1m，</w:t>
            </w:r>
            <w:r>
              <w:rPr>
                <w:rFonts w:hint="eastAsia"/>
                <w:color w:val="auto"/>
              </w:rPr>
              <w:t>集气罩</w:t>
            </w:r>
            <w:r>
              <w:rPr>
                <w:rFonts w:hint="eastAsia"/>
                <w:color w:val="auto"/>
                <w:lang w:val="en-US" w:eastAsia="zh-CN"/>
              </w:rPr>
              <w:t>距离产尘点高度为0.3m，</w:t>
            </w:r>
            <w:r>
              <w:rPr>
                <w:rFonts w:hint="eastAsia"/>
                <w:color w:val="auto"/>
                <w:spacing w:val="-4"/>
              </w:rPr>
              <w:t>边缘风速要求不小于0.3m/s，本次评价取0.4m/s</w:t>
            </w:r>
            <w:r>
              <w:rPr>
                <w:rFonts w:hint="eastAsia"/>
                <w:color w:val="auto"/>
                <w:spacing w:val="-4"/>
                <w:lang w:eastAsia="zh-CN"/>
              </w:rPr>
              <w:t>。</w:t>
            </w:r>
            <w:r>
              <w:rPr>
                <w:rFonts w:hint="eastAsia"/>
                <w:color w:val="auto"/>
                <w:spacing w:val="-4"/>
              </w:rPr>
              <w:t>则</w:t>
            </w:r>
            <w:r>
              <w:rPr>
                <w:rFonts w:hint="eastAsia"/>
                <w:color w:val="auto"/>
              </w:rPr>
              <w:t>单个集气罩风量为1400m³/h</w:t>
            </w:r>
            <w:r>
              <w:rPr>
                <w:rFonts w:hint="eastAsia"/>
                <w:color w:val="auto"/>
                <w:kern w:val="0"/>
                <w:lang w:eastAsia="zh-CN"/>
              </w:rPr>
              <w:t>，</w:t>
            </w:r>
            <w:r>
              <w:rPr>
                <w:rFonts w:hint="eastAsia"/>
                <w:color w:val="auto"/>
                <w:lang w:val="en-US" w:eastAsia="zh-CN"/>
              </w:rPr>
              <w:t>激光切割工序风量合计为5600</w:t>
            </w:r>
            <w:r>
              <w:rPr>
                <w:rFonts w:hint="eastAsia"/>
                <w:color w:val="auto"/>
              </w:rPr>
              <w:t>m³/h</w:t>
            </w:r>
            <w:r>
              <w:rPr>
                <w:rFonts w:hint="eastAsia"/>
                <w:color w:val="auto"/>
                <w:lang w:eastAsia="zh-CN"/>
              </w:rPr>
              <w:t>。</w:t>
            </w:r>
          </w:p>
          <w:p w14:paraId="6D586E16">
            <w:pPr>
              <w:ind w:firstLine="480"/>
              <w:rPr>
                <w:color w:val="auto"/>
              </w:rPr>
            </w:pPr>
            <w:r>
              <w:rPr>
                <w:rFonts w:hint="eastAsia"/>
                <w:color w:val="auto"/>
              </w:rPr>
              <w:t>根据《第二次全国污染源普查产排污核算系数手册--33金属制品业》钢板</w:t>
            </w:r>
            <w:r>
              <w:rPr>
                <w:rFonts w:hint="eastAsia"/>
                <w:color w:val="auto"/>
                <w:lang w:val="en-US" w:eastAsia="zh-CN"/>
              </w:rPr>
              <w:t>喷砂</w:t>
            </w:r>
            <w:r>
              <w:rPr>
                <w:rFonts w:hint="eastAsia"/>
                <w:color w:val="auto"/>
              </w:rPr>
              <w:t>产污系数为</w:t>
            </w:r>
            <w:r>
              <w:rPr>
                <w:rFonts w:hint="eastAsia"/>
                <w:color w:val="auto"/>
                <w:lang w:val="en-US" w:eastAsia="zh-CN"/>
              </w:rPr>
              <w:t>2.19</w:t>
            </w:r>
            <w:r>
              <w:rPr>
                <w:rFonts w:hint="eastAsia"/>
                <w:color w:val="auto"/>
              </w:rPr>
              <w:t>kg/t-原材料。</w:t>
            </w:r>
            <w:r>
              <w:rPr>
                <w:rFonts w:hint="eastAsia"/>
                <w:color w:val="auto"/>
                <w:lang w:val="en-US" w:eastAsia="zh-CN"/>
              </w:rPr>
              <w:t>项目喷砂</w:t>
            </w:r>
            <w:r>
              <w:rPr>
                <w:rFonts w:hint="eastAsia"/>
                <w:color w:val="auto"/>
              </w:rPr>
              <w:t>的钢板总用量为</w:t>
            </w:r>
            <w:r>
              <w:rPr>
                <w:rFonts w:hint="eastAsia"/>
                <w:color w:val="auto"/>
                <w:lang w:val="en-US" w:eastAsia="zh-CN"/>
              </w:rPr>
              <w:t>26700</w:t>
            </w:r>
            <w:r>
              <w:rPr>
                <w:rFonts w:hint="eastAsia"/>
                <w:color w:val="auto"/>
              </w:rPr>
              <w:t>t/a，经核算，该工序粉尘产生量为</w:t>
            </w:r>
            <w:r>
              <w:rPr>
                <w:rFonts w:hint="eastAsia"/>
                <w:color w:val="auto"/>
                <w:lang w:val="en-US" w:eastAsia="zh-CN"/>
              </w:rPr>
              <w:t>58.473</w:t>
            </w:r>
            <w:r>
              <w:rPr>
                <w:rFonts w:hint="eastAsia"/>
                <w:color w:val="auto"/>
              </w:rPr>
              <w:t>t/a。</w:t>
            </w:r>
            <w:r>
              <w:rPr>
                <w:rFonts w:hint="eastAsia"/>
                <w:color w:val="auto"/>
                <w:lang w:val="en-US" w:eastAsia="zh-CN"/>
              </w:rPr>
              <w:t>喷砂颗粒物通过密闭设备内部集风管收集</w:t>
            </w:r>
            <w:r>
              <w:rPr>
                <w:color w:val="auto"/>
              </w:rPr>
              <w:t>，本项目</w:t>
            </w:r>
            <w:r>
              <w:rPr>
                <w:rFonts w:hint="eastAsia"/>
                <w:color w:val="auto"/>
                <w:lang w:val="en-US" w:eastAsia="zh-CN"/>
              </w:rPr>
              <w:t>共设置8台喷砂机，单台喷砂机内部集风管</w:t>
            </w:r>
            <w:r>
              <w:rPr>
                <w:rFonts w:hint="eastAsia"/>
                <w:color w:val="auto"/>
              </w:rPr>
              <w:t>风量为</w:t>
            </w:r>
            <w:r>
              <w:rPr>
                <w:rFonts w:hint="eastAsia"/>
                <w:color w:val="auto"/>
                <w:lang w:val="en-US" w:eastAsia="zh-CN"/>
              </w:rPr>
              <w:t>10</w:t>
            </w:r>
            <w:r>
              <w:rPr>
                <w:rFonts w:hint="eastAsia"/>
                <w:color w:val="auto"/>
              </w:rPr>
              <w:t>00m³/h</w:t>
            </w:r>
            <w:r>
              <w:rPr>
                <w:rFonts w:hint="eastAsia"/>
                <w:color w:val="auto"/>
                <w:kern w:val="0"/>
                <w:lang w:eastAsia="zh-CN"/>
              </w:rPr>
              <w:t>，</w:t>
            </w:r>
            <w:r>
              <w:rPr>
                <w:rFonts w:hint="eastAsia"/>
                <w:color w:val="auto"/>
                <w:lang w:val="en-US" w:eastAsia="zh-CN"/>
              </w:rPr>
              <w:t>喷砂工序风量合计为8000</w:t>
            </w:r>
            <w:r>
              <w:rPr>
                <w:rFonts w:hint="eastAsia"/>
                <w:color w:val="auto"/>
              </w:rPr>
              <w:t>m³/h</w:t>
            </w:r>
            <w:r>
              <w:rPr>
                <w:rFonts w:hint="eastAsia"/>
                <w:color w:val="auto"/>
                <w:lang w:eastAsia="zh-CN"/>
              </w:rPr>
              <w:t>。</w:t>
            </w:r>
          </w:p>
          <w:p w14:paraId="24822637">
            <w:pPr>
              <w:ind w:firstLine="480"/>
              <w:rPr>
                <w:color w:val="auto"/>
              </w:rPr>
            </w:pPr>
            <w:r>
              <w:rPr>
                <w:color w:val="auto"/>
              </w:rPr>
              <w:t>收集的</w:t>
            </w:r>
            <w:r>
              <w:rPr>
                <w:rFonts w:hint="eastAsia"/>
                <w:color w:val="auto"/>
                <w:lang w:val="en-US" w:eastAsia="zh-CN"/>
              </w:rPr>
              <w:t>颗粒物</w:t>
            </w:r>
            <w:r>
              <w:rPr>
                <w:color w:val="auto"/>
              </w:rPr>
              <w:t>经</w:t>
            </w:r>
            <w:r>
              <w:rPr>
                <w:rFonts w:hint="eastAsia"/>
                <w:color w:val="auto"/>
                <w:lang w:val="en-US" w:eastAsia="zh-CN"/>
              </w:rPr>
              <w:t>布袋除尘器</w:t>
            </w:r>
            <w:r>
              <w:rPr>
                <w:color w:val="auto"/>
              </w:rPr>
              <w:t>处理后，</w:t>
            </w:r>
            <w:r>
              <w:rPr>
                <w:rFonts w:hint="eastAsia"/>
                <w:color w:val="auto"/>
                <w:lang w:val="en-US" w:eastAsia="zh-CN"/>
              </w:rPr>
              <w:t>经过15m高排气筒（DA002）排放</w:t>
            </w:r>
            <w:r>
              <w:rPr>
                <w:color w:val="auto"/>
              </w:rPr>
              <w:t>。</w:t>
            </w:r>
            <w:r>
              <w:rPr>
                <w:rFonts w:hint="eastAsia"/>
                <w:color w:val="auto"/>
                <w:lang w:eastAsia="zh-CN"/>
              </w:rPr>
              <w:t>项目</w:t>
            </w:r>
            <w:r>
              <w:rPr>
                <w:rFonts w:hint="eastAsia"/>
                <w:color w:val="auto"/>
                <w:lang w:val="en-US" w:eastAsia="zh-CN"/>
              </w:rPr>
              <w:t>激光切割工序颗粒物</w:t>
            </w:r>
            <w:r>
              <w:rPr>
                <w:rFonts w:hint="eastAsia"/>
                <w:color w:val="auto"/>
                <w:lang w:eastAsia="zh-CN"/>
              </w:rPr>
              <w:t>收集效率以</w:t>
            </w:r>
            <w:r>
              <w:rPr>
                <w:rFonts w:hint="eastAsia"/>
                <w:color w:val="auto"/>
                <w:lang w:val="en-US" w:eastAsia="zh-CN"/>
              </w:rPr>
              <w:t>90%计，喷砂工序颗粒物</w:t>
            </w:r>
            <w:r>
              <w:rPr>
                <w:rFonts w:hint="eastAsia"/>
                <w:color w:val="auto"/>
                <w:lang w:eastAsia="zh-CN"/>
              </w:rPr>
              <w:t>收集效率以</w:t>
            </w:r>
            <w:r>
              <w:rPr>
                <w:rFonts w:hint="eastAsia"/>
                <w:color w:val="auto"/>
                <w:lang w:val="en-US" w:eastAsia="zh-CN"/>
              </w:rPr>
              <w:t>95%计，</w:t>
            </w:r>
            <w:r>
              <w:rPr>
                <w:color w:val="auto"/>
              </w:rPr>
              <w:t>处理效率以9</w:t>
            </w:r>
            <w:r>
              <w:rPr>
                <w:rFonts w:hint="eastAsia"/>
                <w:color w:val="auto"/>
                <w:lang w:val="en-US" w:eastAsia="zh-CN"/>
              </w:rPr>
              <w:t>9</w:t>
            </w:r>
            <w:r>
              <w:rPr>
                <w:color w:val="auto"/>
              </w:rPr>
              <w:t>%计；则</w:t>
            </w:r>
            <w:r>
              <w:rPr>
                <w:rFonts w:hint="eastAsia"/>
                <w:color w:val="auto"/>
                <w:lang w:eastAsia="zh-CN"/>
              </w:rPr>
              <w:t>项目</w:t>
            </w:r>
            <w:r>
              <w:rPr>
                <w:rFonts w:hint="eastAsia"/>
                <w:color w:val="auto"/>
                <w:lang w:val="en-US" w:eastAsia="zh-CN"/>
              </w:rPr>
              <w:t>机加工颗粒物有组织</w:t>
            </w:r>
            <w:r>
              <w:rPr>
                <w:rFonts w:hint="eastAsia"/>
                <w:color w:val="auto"/>
                <w:lang w:eastAsia="zh-CN"/>
              </w:rPr>
              <w:t>排放量为</w:t>
            </w:r>
            <w:r>
              <w:rPr>
                <w:rFonts w:hint="eastAsia"/>
                <w:color w:val="auto"/>
                <w:lang w:val="en-US" w:eastAsia="zh-CN"/>
              </w:rPr>
              <w:t>0.595t</w:t>
            </w:r>
            <w:r>
              <w:rPr>
                <w:color w:val="auto"/>
              </w:rPr>
              <w:t>/a</w:t>
            </w:r>
            <w:r>
              <w:rPr>
                <w:rFonts w:hint="eastAsia"/>
                <w:color w:val="auto"/>
                <w:lang w:eastAsia="zh-CN"/>
              </w:rPr>
              <w:t>、</w:t>
            </w:r>
            <w:r>
              <w:rPr>
                <w:rFonts w:hint="eastAsia"/>
                <w:color w:val="auto"/>
                <w:lang w:val="en-US" w:eastAsia="zh-CN"/>
              </w:rPr>
              <w:t>0.124kg/h、9.115mg/m³</w:t>
            </w:r>
            <w:r>
              <w:rPr>
                <w:rFonts w:hint="eastAsia"/>
                <w:color w:val="auto"/>
                <w:lang w:eastAsia="zh-CN"/>
              </w:rPr>
              <w:t>；</w:t>
            </w:r>
            <w:r>
              <w:rPr>
                <w:rFonts w:hint="eastAsia"/>
                <w:color w:val="auto"/>
                <w:lang w:val="en-US" w:eastAsia="zh-CN"/>
              </w:rPr>
              <w:t>颗粒物无组织</w:t>
            </w:r>
            <w:r>
              <w:rPr>
                <w:rFonts w:hint="eastAsia"/>
                <w:color w:val="auto"/>
                <w:lang w:eastAsia="zh-CN"/>
              </w:rPr>
              <w:t>排放量为</w:t>
            </w:r>
            <w:r>
              <w:rPr>
                <w:rFonts w:hint="eastAsia"/>
                <w:color w:val="auto"/>
                <w:lang w:val="en-US" w:eastAsia="zh-CN"/>
              </w:rPr>
              <w:t>3.364t</w:t>
            </w:r>
            <w:r>
              <w:rPr>
                <w:color w:val="auto"/>
              </w:rPr>
              <w:t>/a</w:t>
            </w:r>
            <w:r>
              <w:rPr>
                <w:rFonts w:hint="eastAsia"/>
                <w:color w:val="auto"/>
                <w:lang w:eastAsia="zh-CN"/>
              </w:rPr>
              <w:t>、</w:t>
            </w:r>
            <w:r>
              <w:rPr>
                <w:rFonts w:hint="eastAsia"/>
                <w:color w:val="auto"/>
                <w:lang w:val="en-US" w:eastAsia="zh-CN"/>
              </w:rPr>
              <w:t>0.757kg/h</w:t>
            </w:r>
            <w:r>
              <w:rPr>
                <w:color w:val="auto"/>
              </w:rPr>
              <w:t>。</w:t>
            </w:r>
          </w:p>
          <w:p w14:paraId="109A4B3F">
            <w:pPr>
              <w:bidi w:val="0"/>
              <w:jc w:val="center"/>
              <w:rPr>
                <w:rFonts w:hint="default"/>
                <w:color w:val="auto"/>
                <w:lang w:val="en-US" w:eastAsia="zh-CN"/>
              </w:rPr>
            </w:pPr>
            <w:r>
              <w:rPr>
                <w:rFonts w:hint="eastAsia"/>
                <w:b/>
                <w:bCs/>
                <w:color w:val="auto"/>
              </w:rPr>
              <w:t>表</w:t>
            </w:r>
            <w:r>
              <w:rPr>
                <w:rFonts w:hint="eastAsia"/>
                <w:b/>
                <w:bCs/>
                <w:color w:val="auto"/>
                <w:lang w:val="en-US" w:eastAsia="zh-CN"/>
              </w:rPr>
              <w:t>4-5</w:t>
            </w:r>
            <w:r>
              <w:rPr>
                <w:b/>
                <w:bCs/>
                <w:color w:val="auto"/>
              </w:rPr>
              <w:t xml:space="preserve"> </w:t>
            </w:r>
            <w:r>
              <w:rPr>
                <w:rFonts w:hint="eastAsia" w:cs="Times New Roman"/>
                <w:b/>
                <w:bCs/>
                <w:color w:val="auto"/>
                <w:sz w:val="24"/>
                <w:lang w:val="en-US" w:eastAsia="zh-CN"/>
              </w:rPr>
              <w:t>项目机加工</w:t>
            </w:r>
            <w:r>
              <w:rPr>
                <w:rFonts w:hint="eastAsia"/>
                <w:b/>
                <w:bCs/>
                <w:color w:val="auto"/>
                <w:lang w:val="en-US" w:eastAsia="zh-CN"/>
              </w:rPr>
              <w:t>颗粒物</w:t>
            </w:r>
            <w:r>
              <w:rPr>
                <w:rFonts w:hint="eastAsia"/>
                <w:b/>
                <w:bCs/>
                <w:color w:val="auto"/>
              </w:rPr>
              <w:t>产排放情况一览表</w:t>
            </w:r>
          </w:p>
          <w:tbl>
            <w:tblPr>
              <w:tblStyle w:val="23"/>
              <w:tblW w:w="5000" w:type="pct"/>
              <w:tblInd w:w="-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800"/>
              <w:gridCol w:w="1206"/>
              <w:gridCol w:w="1020"/>
              <w:gridCol w:w="1292"/>
              <w:gridCol w:w="840"/>
              <w:gridCol w:w="736"/>
              <w:gridCol w:w="736"/>
              <w:gridCol w:w="1241"/>
              <w:gridCol w:w="1020"/>
              <w:gridCol w:w="1292"/>
              <w:gridCol w:w="1268"/>
              <w:gridCol w:w="1125"/>
              <w:gridCol w:w="1126"/>
            </w:tblGrid>
            <w:tr w14:paraId="3773F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1" w:type="dxa"/>
                  <w:vMerge w:val="restart"/>
                  <w:vAlign w:val="center"/>
                </w:tcPr>
                <w:p w14:paraId="6AA06161">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污染源</w:t>
                  </w:r>
                </w:p>
              </w:tc>
              <w:tc>
                <w:tcPr>
                  <w:tcW w:w="800" w:type="dxa"/>
                  <w:vMerge w:val="restart"/>
                  <w:vAlign w:val="center"/>
                </w:tcPr>
                <w:p w14:paraId="3D1CE663">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污染物</w:t>
                  </w:r>
                </w:p>
              </w:tc>
              <w:tc>
                <w:tcPr>
                  <w:tcW w:w="3518" w:type="dxa"/>
                  <w:gridSpan w:val="3"/>
                  <w:vAlign w:val="center"/>
                </w:tcPr>
                <w:p w14:paraId="06A10C2A">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产生情况</w:t>
                  </w:r>
                </w:p>
              </w:tc>
              <w:tc>
                <w:tcPr>
                  <w:tcW w:w="840" w:type="dxa"/>
                  <w:vMerge w:val="restart"/>
                  <w:vAlign w:val="center"/>
                </w:tcPr>
                <w:p w14:paraId="3FBEC8FC">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污染防治措施</w:t>
                  </w:r>
                </w:p>
              </w:tc>
              <w:tc>
                <w:tcPr>
                  <w:tcW w:w="736" w:type="dxa"/>
                  <w:vMerge w:val="restart"/>
                  <w:vAlign w:val="center"/>
                </w:tcPr>
                <w:p w14:paraId="72FADE59">
                  <w:pPr>
                    <w:spacing w:line="240" w:lineRule="auto"/>
                    <w:jc w:val="center"/>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收集效率</w:t>
                  </w:r>
                  <w:r>
                    <w:rPr>
                      <w:rFonts w:ascii="Times New Roman" w:hAnsi="Times New Roman" w:cs="Times New Roman" w:eastAsiaTheme="minorEastAsia"/>
                      <w:b/>
                      <w:bCs/>
                      <w:color w:val="auto"/>
                      <w:sz w:val="21"/>
                      <w:szCs w:val="21"/>
                    </w:rPr>
                    <w:t>/%</w:t>
                  </w:r>
                </w:p>
              </w:tc>
              <w:tc>
                <w:tcPr>
                  <w:tcW w:w="736" w:type="dxa"/>
                  <w:vMerge w:val="restart"/>
                  <w:vAlign w:val="center"/>
                </w:tcPr>
                <w:p w14:paraId="66481CF0">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处理</w:t>
                  </w:r>
                </w:p>
                <w:p w14:paraId="37039FDE">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效率/%</w:t>
                  </w:r>
                </w:p>
              </w:tc>
              <w:tc>
                <w:tcPr>
                  <w:tcW w:w="3553" w:type="dxa"/>
                  <w:gridSpan w:val="3"/>
                  <w:vAlign w:val="center"/>
                </w:tcPr>
                <w:p w14:paraId="6E1EE318">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排放情况</w:t>
                  </w:r>
                </w:p>
              </w:tc>
              <w:tc>
                <w:tcPr>
                  <w:tcW w:w="1268" w:type="dxa"/>
                  <w:vMerge w:val="restart"/>
                  <w:vAlign w:val="center"/>
                </w:tcPr>
                <w:p w14:paraId="4996B0CF">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排气筒编号</w:t>
                  </w:r>
                </w:p>
              </w:tc>
              <w:tc>
                <w:tcPr>
                  <w:tcW w:w="1125" w:type="dxa"/>
                  <w:vMerge w:val="restart"/>
                  <w:vAlign w:val="center"/>
                </w:tcPr>
                <w:p w14:paraId="764A72B9">
                  <w:pPr>
                    <w:spacing w:line="240" w:lineRule="auto"/>
                    <w:jc w:val="center"/>
                    <w:rPr>
                      <w:rFonts w:hint="eastAsia" w:ascii="Times New Roman" w:hAnsi="Times New Roman" w:cs="Times New Roman" w:eastAsiaTheme="minorEastAsia"/>
                      <w:b/>
                      <w:bCs/>
                      <w:color w:val="auto"/>
                      <w:sz w:val="21"/>
                      <w:szCs w:val="21"/>
                      <w:lang w:eastAsia="zh-CN"/>
                    </w:rPr>
                  </w:pPr>
                  <w:r>
                    <w:rPr>
                      <w:rFonts w:hint="eastAsia" w:ascii="Times New Roman" w:hAnsi="Times New Roman" w:cs="Times New Roman" w:eastAsiaTheme="minorEastAsia"/>
                      <w:b/>
                      <w:bCs/>
                      <w:color w:val="auto"/>
                      <w:sz w:val="21"/>
                      <w:szCs w:val="21"/>
                      <w:lang w:eastAsia="zh-CN"/>
                    </w:rPr>
                    <w:t>排放时间</w:t>
                  </w:r>
                </w:p>
              </w:tc>
              <w:tc>
                <w:tcPr>
                  <w:tcW w:w="1126" w:type="dxa"/>
                  <w:vMerge w:val="restart"/>
                  <w:vAlign w:val="center"/>
                </w:tcPr>
                <w:p w14:paraId="27FECBE1">
                  <w:pPr>
                    <w:spacing w:line="240" w:lineRule="auto"/>
                    <w:jc w:val="center"/>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风量</w:t>
                  </w:r>
                  <w:r>
                    <w:rPr>
                      <w:rFonts w:ascii="Times New Roman" w:hAnsi="Times New Roman" w:cs="Times New Roman" w:eastAsiaTheme="minorEastAsia"/>
                      <w:b/>
                      <w:bCs/>
                      <w:color w:val="auto"/>
                      <w:sz w:val="21"/>
                      <w:szCs w:val="21"/>
                    </w:rPr>
                    <w:t>/m³/</w:t>
                  </w:r>
                  <w:r>
                    <w:rPr>
                      <w:rFonts w:hint="eastAsia" w:ascii="Times New Roman" w:hAnsi="Times New Roman" w:cs="Times New Roman" w:eastAsiaTheme="minorEastAsia"/>
                      <w:b/>
                      <w:bCs/>
                      <w:color w:val="auto"/>
                      <w:sz w:val="21"/>
                      <w:szCs w:val="21"/>
                      <w:lang w:val="en-US" w:eastAsia="zh-CN"/>
                    </w:rPr>
                    <w:t>h</w:t>
                  </w:r>
                </w:p>
              </w:tc>
            </w:tr>
            <w:tr w14:paraId="23FAA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1" w:type="dxa"/>
                  <w:vMerge w:val="continue"/>
                  <w:vAlign w:val="center"/>
                </w:tcPr>
                <w:p w14:paraId="4A5A9E1B">
                  <w:pPr>
                    <w:spacing w:line="240" w:lineRule="auto"/>
                    <w:jc w:val="center"/>
                    <w:rPr>
                      <w:rFonts w:ascii="Times New Roman" w:hAnsi="Times New Roman" w:cs="Times New Roman" w:eastAsiaTheme="minorEastAsia"/>
                      <w:b/>
                      <w:bCs/>
                      <w:color w:val="auto"/>
                      <w:sz w:val="21"/>
                      <w:szCs w:val="21"/>
                    </w:rPr>
                  </w:pPr>
                </w:p>
              </w:tc>
              <w:tc>
                <w:tcPr>
                  <w:tcW w:w="800" w:type="dxa"/>
                  <w:vMerge w:val="continue"/>
                  <w:vAlign w:val="center"/>
                </w:tcPr>
                <w:p w14:paraId="6ADACAEB">
                  <w:pPr>
                    <w:spacing w:line="240" w:lineRule="auto"/>
                    <w:jc w:val="center"/>
                    <w:rPr>
                      <w:rFonts w:ascii="Times New Roman" w:hAnsi="Times New Roman" w:cs="Times New Roman" w:eastAsiaTheme="minorEastAsia"/>
                      <w:b/>
                      <w:bCs/>
                      <w:color w:val="auto"/>
                      <w:sz w:val="21"/>
                      <w:szCs w:val="21"/>
                    </w:rPr>
                  </w:pPr>
                </w:p>
              </w:tc>
              <w:tc>
                <w:tcPr>
                  <w:tcW w:w="1206" w:type="dxa"/>
                  <w:vAlign w:val="center"/>
                </w:tcPr>
                <w:p w14:paraId="02965362">
                  <w:pPr>
                    <w:spacing w:line="240" w:lineRule="auto"/>
                    <w:ind w:firstLine="0" w:firstLineChars="0"/>
                    <w:jc w:val="center"/>
                    <w:rPr>
                      <w:rFonts w:ascii="Times New Roman" w:hAnsi="Times New Roman" w:cs="Times New Roman" w:eastAsiaTheme="minorEastAsia"/>
                      <w:b/>
                      <w:bCs/>
                      <w:color w:val="auto"/>
                      <w:kern w:val="2"/>
                      <w:sz w:val="21"/>
                      <w:szCs w:val="21"/>
                      <w:lang w:val="en-US" w:eastAsia="zh-CN" w:bidi="ar-SA"/>
                    </w:rPr>
                  </w:pPr>
                  <w:r>
                    <w:rPr>
                      <w:rFonts w:ascii="Times New Roman" w:hAnsi="Times New Roman" w:cs="Times New Roman" w:eastAsiaTheme="minorEastAsia"/>
                      <w:b/>
                      <w:bCs/>
                      <w:color w:val="auto"/>
                      <w:sz w:val="21"/>
                      <w:szCs w:val="21"/>
                    </w:rPr>
                    <w:t>产生量/t/a</w:t>
                  </w:r>
                </w:p>
              </w:tc>
              <w:tc>
                <w:tcPr>
                  <w:tcW w:w="1020" w:type="dxa"/>
                  <w:vAlign w:val="center"/>
                </w:tcPr>
                <w:p w14:paraId="1461D1F9">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产生</w:t>
                  </w:r>
                </w:p>
                <w:p w14:paraId="4851714A">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速率/kg/h</w:t>
                  </w:r>
                </w:p>
              </w:tc>
              <w:tc>
                <w:tcPr>
                  <w:tcW w:w="1292" w:type="dxa"/>
                  <w:vAlign w:val="center"/>
                </w:tcPr>
                <w:p w14:paraId="49106EF2">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产生</w:t>
                  </w:r>
                </w:p>
                <w:p w14:paraId="57B9C6AE">
                  <w:pPr>
                    <w:spacing w:line="240" w:lineRule="auto"/>
                    <w:ind w:firstLine="0" w:firstLineChars="0"/>
                    <w:jc w:val="center"/>
                    <w:rPr>
                      <w:rFonts w:ascii="Times New Roman" w:hAnsi="Times New Roman" w:cs="Times New Roman" w:eastAsiaTheme="minorEastAsia"/>
                      <w:b/>
                      <w:bCs/>
                      <w:color w:val="auto"/>
                      <w:kern w:val="2"/>
                      <w:sz w:val="21"/>
                      <w:szCs w:val="21"/>
                      <w:lang w:val="en-US" w:eastAsia="zh-CN" w:bidi="ar-SA"/>
                    </w:rPr>
                  </w:pPr>
                  <w:r>
                    <w:rPr>
                      <w:rFonts w:ascii="Times New Roman" w:hAnsi="Times New Roman" w:cs="Times New Roman" w:eastAsiaTheme="minorEastAsia"/>
                      <w:b/>
                      <w:bCs/>
                      <w:color w:val="auto"/>
                      <w:sz w:val="21"/>
                      <w:szCs w:val="21"/>
                    </w:rPr>
                    <w:t>浓度/mg/m³</w:t>
                  </w:r>
                </w:p>
              </w:tc>
              <w:tc>
                <w:tcPr>
                  <w:tcW w:w="840" w:type="dxa"/>
                  <w:vMerge w:val="continue"/>
                  <w:vAlign w:val="center"/>
                </w:tcPr>
                <w:p w14:paraId="37A0DBD6">
                  <w:pPr>
                    <w:spacing w:line="240" w:lineRule="auto"/>
                    <w:jc w:val="center"/>
                    <w:rPr>
                      <w:rFonts w:ascii="Times New Roman" w:hAnsi="Times New Roman" w:cs="Times New Roman" w:eastAsiaTheme="minorEastAsia"/>
                      <w:b/>
                      <w:bCs/>
                      <w:color w:val="auto"/>
                      <w:sz w:val="21"/>
                      <w:szCs w:val="21"/>
                    </w:rPr>
                  </w:pPr>
                </w:p>
              </w:tc>
              <w:tc>
                <w:tcPr>
                  <w:tcW w:w="736" w:type="dxa"/>
                  <w:vMerge w:val="continue"/>
                  <w:vAlign w:val="center"/>
                </w:tcPr>
                <w:p w14:paraId="5BF60313">
                  <w:pPr>
                    <w:spacing w:line="240" w:lineRule="auto"/>
                    <w:jc w:val="center"/>
                    <w:rPr>
                      <w:rFonts w:ascii="Times New Roman" w:hAnsi="Times New Roman" w:cs="Times New Roman" w:eastAsiaTheme="minorEastAsia"/>
                      <w:b/>
                      <w:bCs/>
                      <w:color w:val="auto"/>
                      <w:sz w:val="21"/>
                      <w:szCs w:val="21"/>
                    </w:rPr>
                  </w:pPr>
                </w:p>
              </w:tc>
              <w:tc>
                <w:tcPr>
                  <w:tcW w:w="736" w:type="dxa"/>
                  <w:vMerge w:val="continue"/>
                  <w:vAlign w:val="center"/>
                </w:tcPr>
                <w:p w14:paraId="56328965">
                  <w:pPr>
                    <w:spacing w:line="240" w:lineRule="auto"/>
                    <w:jc w:val="center"/>
                    <w:rPr>
                      <w:rFonts w:ascii="Times New Roman" w:hAnsi="Times New Roman" w:cs="Times New Roman" w:eastAsiaTheme="minorEastAsia"/>
                      <w:b/>
                      <w:bCs/>
                      <w:color w:val="auto"/>
                      <w:sz w:val="21"/>
                      <w:szCs w:val="21"/>
                    </w:rPr>
                  </w:pPr>
                </w:p>
              </w:tc>
              <w:tc>
                <w:tcPr>
                  <w:tcW w:w="1241" w:type="dxa"/>
                  <w:vAlign w:val="center"/>
                </w:tcPr>
                <w:p w14:paraId="39B6D919">
                  <w:pPr>
                    <w:spacing w:line="240" w:lineRule="auto"/>
                    <w:ind w:firstLine="0" w:firstLineChars="0"/>
                    <w:jc w:val="center"/>
                    <w:rPr>
                      <w:rFonts w:ascii="Times New Roman" w:hAnsi="Times New Roman" w:cs="Times New Roman" w:eastAsiaTheme="minorEastAsia"/>
                      <w:b/>
                      <w:bCs/>
                      <w:color w:val="auto"/>
                      <w:kern w:val="2"/>
                      <w:sz w:val="21"/>
                      <w:szCs w:val="21"/>
                      <w:lang w:val="en-US" w:eastAsia="zh-CN" w:bidi="ar-SA"/>
                    </w:rPr>
                  </w:pPr>
                  <w:r>
                    <w:rPr>
                      <w:rFonts w:ascii="Times New Roman" w:hAnsi="Times New Roman" w:cs="Times New Roman" w:eastAsiaTheme="minorEastAsia"/>
                      <w:b/>
                      <w:bCs/>
                      <w:color w:val="auto"/>
                      <w:sz w:val="21"/>
                      <w:szCs w:val="21"/>
                    </w:rPr>
                    <w:t>排放量/t/a</w:t>
                  </w:r>
                </w:p>
              </w:tc>
              <w:tc>
                <w:tcPr>
                  <w:tcW w:w="1020" w:type="dxa"/>
                  <w:vAlign w:val="center"/>
                </w:tcPr>
                <w:p w14:paraId="7E45697E">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排放速率/kg/h</w:t>
                  </w:r>
                </w:p>
              </w:tc>
              <w:tc>
                <w:tcPr>
                  <w:tcW w:w="1292" w:type="dxa"/>
                  <w:vAlign w:val="center"/>
                </w:tcPr>
                <w:p w14:paraId="6DD95DFA">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排放</w:t>
                  </w:r>
                </w:p>
                <w:p w14:paraId="5552076B">
                  <w:pPr>
                    <w:spacing w:line="240" w:lineRule="auto"/>
                    <w:ind w:firstLine="0" w:firstLineChars="0"/>
                    <w:jc w:val="center"/>
                    <w:rPr>
                      <w:rFonts w:ascii="Times New Roman" w:hAnsi="Times New Roman" w:cs="Times New Roman" w:eastAsiaTheme="minorEastAsia"/>
                      <w:b/>
                      <w:bCs/>
                      <w:color w:val="auto"/>
                      <w:kern w:val="2"/>
                      <w:sz w:val="21"/>
                      <w:szCs w:val="21"/>
                      <w:lang w:val="en-US" w:eastAsia="zh-CN" w:bidi="ar-SA"/>
                    </w:rPr>
                  </w:pPr>
                  <w:r>
                    <w:rPr>
                      <w:rFonts w:ascii="Times New Roman" w:hAnsi="Times New Roman" w:cs="Times New Roman" w:eastAsiaTheme="minorEastAsia"/>
                      <w:b/>
                      <w:bCs/>
                      <w:color w:val="auto"/>
                      <w:sz w:val="21"/>
                      <w:szCs w:val="21"/>
                    </w:rPr>
                    <w:t>浓度/mg/m³</w:t>
                  </w:r>
                </w:p>
              </w:tc>
              <w:tc>
                <w:tcPr>
                  <w:tcW w:w="1268" w:type="dxa"/>
                  <w:vMerge w:val="continue"/>
                  <w:vAlign w:val="center"/>
                </w:tcPr>
                <w:p w14:paraId="54361D4C">
                  <w:pPr>
                    <w:spacing w:line="240" w:lineRule="auto"/>
                    <w:jc w:val="center"/>
                    <w:rPr>
                      <w:rFonts w:ascii="Times New Roman" w:hAnsi="Times New Roman" w:cs="Times New Roman" w:eastAsiaTheme="minorEastAsia"/>
                      <w:color w:val="auto"/>
                      <w:sz w:val="21"/>
                      <w:szCs w:val="21"/>
                    </w:rPr>
                  </w:pPr>
                </w:p>
              </w:tc>
              <w:tc>
                <w:tcPr>
                  <w:tcW w:w="1125" w:type="dxa"/>
                  <w:vMerge w:val="continue"/>
                  <w:vAlign w:val="center"/>
                </w:tcPr>
                <w:p w14:paraId="5136A699">
                  <w:pPr>
                    <w:spacing w:line="240" w:lineRule="auto"/>
                    <w:jc w:val="center"/>
                    <w:rPr>
                      <w:rFonts w:ascii="Times New Roman" w:hAnsi="Times New Roman" w:cs="Times New Roman" w:eastAsiaTheme="minorEastAsia"/>
                      <w:color w:val="auto"/>
                      <w:sz w:val="21"/>
                      <w:szCs w:val="21"/>
                    </w:rPr>
                  </w:pPr>
                </w:p>
              </w:tc>
              <w:tc>
                <w:tcPr>
                  <w:tcW w:w="1126" w:type="dxa"/>
                  <w:vMerge w:val="continue"/>
                  <w:vAlign w:val="center"/>
                </w:tcPr>
                <w:p w14:paraId="29A566FD">
                  <w:pPr>
                    <w:spacing w:line="240" w:lineRule="auto"/>
                    <w:jc w:val="center"/>
                    <w:rPr>
                      <w:rFonts w:ascii="Times New Roman" w:hAnsi="Times New Roman" w:cs="Times New Roman" w:eastAsiaTheme="minorEastAsia"/>
                      <w:color w:val="auto"/>
                      <w:sz w:val="21"/>
                      <w:szCs w:val="21"/>
                    </w:rPr>
                  </w:pPr>
                </w:p>
              </w:tc>
            </w:tr>
            <w:tr w14:paraId="0D71B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1" w:type="dxa"/>
                  <w:vAlign w:val="center"/>
                </w:tcPr>
                <w:p w14:paraId="6A76EA54">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激光切割</w:t>
                  </w:r>
                </w:p>
              </w:tc>
              <w:tc>
                <w:tcPr>
                  <w:tcW w:w="800" w:type="dxa"/>
                  <w:vAlign w:val="center"/>
                </w:tcPr>
                <w:p w14:paraId="7542C4D6">
                  <w:pPr>
                    <w:spacing w:line="240" w:lineRule="auto"/>
                    <w:jc w:val="center"/>
                    <w:rPr>
                      <w:rFonts w:hint="default" w:ascii="Times New Roman" w:hAnsi="Times New Roman" w:cs="Times New Roman" w:eastAsiaTheme="minorEastAsia"/>
                      <w:color w:val="auto"/>
                      <w:sz w:val="21"/>
                      <w:szCs w:val="21"/>
                      <w:lang w:eastAsia="zh-CN"/>
                    </w:rPr>
                  </w:pPr>
                  <w:r>
                    <w:rPr>
                      <w:rFonts w:hint="eastAsia" w:cs="Times New Roman" w:eastAsiaTheme="minorEastAsia"/>
                      <w:color w:val="auto"/>
                      <w:sz w:val="21"/>
                      <w:szCs w:val="21"/>
                      <w:lang w:val="en-US" w:eastAsia="zh-CN"/>
                    </w:rPr>
                    <w:t>颗粒物</w:t>
                  </w:r>
                </w:p>
              </w:tc>
              <w:tc>
                <w:tcPr>
                  <w:tcW w:w="1206" w:type="dxa"/>
                  <w:vAlign w:val="center"/>
                </w:tcPr>
                <w:p w14:paraId="31AB344E">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4.4</w:t>
                  </w:r>
                </w:p>
              </w:tc>
              <w:tc>
                <w:tcPr>
                  <w:tcW w:w="1020" w:type="dxa"/>
                  <w:shd w:val="clear" w:color="auto" w:fill="auto"/>
                  <w:vAlign w:val="center"/>
                </w:tcPr>
                <w:p w14:paraId="5F9D253F">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0.917 </w:t>
                  </w:r>
                </w:p>
              </w:tc>
              <w:tc>
                <w:tcPr>
                  <w:tcW w:w="1292" w:type="dxa"/>
                  <w:shd w:val="clear" w:color="auto" w:fill="auto"/>
                  <w:vAlign w:val="center"/>
                </w:tcPr>
                <w:p w14:paraId="3813EDC9">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163.690 </w:t>
                  </w:r>
                </w:p>
              </w:tc>
              <w:tc>
                <w:tcPr>
                  <w:tcW w:w="840" w:type="dxa"/>
                  <w:vMerge w:val="restart"/>
                  <w:vAlign w:val="center"/>
                </w:tcPr>
                <w:p w14:paraId="1B4C807E">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布袋除尘器</w:t>
                  </w:r>
                </w:p>
              </w:tc>
              <w:tc>
                <w:tcPr>
                  <w:tcW w:w="736" w:type="dxa"/>
                  <w:vAlign w:val="center"/>
                </w:tcPr>
                <w:p w14:paraId="239DF449">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90</w:t>
                  </w:r>
                </w:p>
              </w:tc>
              <w:tc>
                <w:tcPr>
                  <w:tcW w:w="736" w:type="dxa"/>
                  <w:vAlign w:val="center"/>
                </w:tcPr>
                <w:p w14:paraId="52C40425">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99</w:t>
                  </w:r>
                </w:p>
              </w:tc>
              <w:tc>
                <w:tcPr>
                  <w:tcW w:w="1241" w:type="dxa"/>
                  <w:shd w:val="clear" w:color="auto" w:fill="auto"/>
                  <w:vAlign w:val="center"/>
                </w:tcPr>
                <w:p w14:paraId="3F633A6E">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0.040 </w:t>
                  </w:r>
                </w:p>
              </w:tc>
              <w:tc>
                <w:tcPr>
                  <w:tcW w:w="1020" w:type="dxa"/>
                  <w:shd w:val="clear" w:color="auto" w:fill="auto"/>
                  <w:vAlign w:val="center"/>
                </w:tcPr>
                <w:p w14:paraId="5E0A0A25">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0.008 </w:t>
                  </w:r>
                </w:p>
              </w:tc>
              <w:tc>
                <w:tcPr>
                  <w:tcW w:w="1292" w:type="dxa"/>
                  <w:shd w:val="clear" w:color="auto" w:fill="auto"/>
                  <w:vAlign w:val="center"/>
                </w:tcPr>
                <w:p w14:paraId="6DC9EA23">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1.473 </w:t>
                  </w:r>
                </w:p>
              </w:tc>
              <w:tc>
                <w:tcPr>
                  <w:tcW w:w="1268" w:type="dxa"/>
                  <w:vMerge w:val="restart"/>
                  <w:vAlign w:val="center"/>
                </w:tcPr>
                <w:p w14:paraId="1D11EB63">
                  <w:pPr>
                    <w:keepNext w:val="0"/>
                    <w:keepLines w:val="0"/>
                    <w:widowControl/>
                    <w:suppressLineNumbers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i w:val="0"/>
                      <w:iCs w:val="0"/>
                      <w:color w:val="auto"/>
                      <w:kern w:val="0"/>
                      <w:sz w:val="21"/>
                      <w:szCs w:val="21"/>
                      <w:u w:val="none"/>
                      <w:lang w:val="en-US" w:eastAsia="zh-CN" w:bidi="ar"/>
                    </w:rPr>
                    <w:t>DA00</w:t>
                  </w:r>
                  <w:r>
                    <w:rPr>
                      <w:rFonts w:hint="eastAsia" w:cs="Times New Roman"/>
                      <w:i w:val="0"/>
                      <w:iCs w:val="0"/>
                      <w:color w:val="auto"/>
                      <w:kern w:val="0"/>
                      <w:sz w:val="21"/>
                      <w:szCs w:val="21"/>
                      <w:u w:val="none"/>
                      <w:lang w:val="en-US" w:eastAsia="zh-CN" w:bidi="ar"/>
                    </w:rPr>
                    <w:t>2</w:t>
                  </w:r>
                </w:p>
              </w:tc>
              <w:tc>
                <w:tcPr>
                  <w:tcW w:w="1125" w:type="dxa"/>
                  <w:vMerge w:val="restart"/>
                  <w:vAlign w:val="center"/>
                </w:tcPr>
                <w:p w14:paraId="2D27A27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4800</w:t>
                  </w:r>
                  <w:r>
                    <w:rPr>
                      <w:rFonts w:hint="eastAsia" w:ascii="Times New Roman" w:hAnsi="Times New Roman" w:cs="Times New Roman"/>
                      <w:i w:val="0"/>
                      <w:iCs w:val="0"/>
                      <w:color w:val="auto"/>
                      <w:kern w:val="0"/>
                      <w:sz w:val="21"/>
                      <w:szCs w:val="21"/>
                      <w:u w:val="none"/>
                      <w:lang w:val="en-US" w:eastAsia="zh-CN" w:bidi="ar"/>
                    </w:rPr>
                    <w:t>h</w:t>
                  </w:r>
                </w:p>
              </w:tc>
              <w:tc>
                <w:tcPr>
                  <w:tcW w:w="1126" w:type="dxa"/>
                  <w:vAlign w:val="center"/>
                </w:tcPr>
                <w:p w14:paraId="4B3AA2C1">
                  <w:pPr>
                    <w:keepNext w:val="0"/>
                    <w:keepLines w:val="0"/>
                    <w:widowControl/>
                    <w:suppressLineNumbers w:val="0"/>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5600</w:t>
                  </w:r>
                </w:p>
              </w:tc>
            </w:tr>
            <w:tr w14:paraId="0DC37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1" w:type="dxa"/>
                  <w:vAlign w:val="center"/>
                </w:tcPr>
                <w:p w14:paraId="456A286E">
                  <w:pPr>
                    <w:spacing w:line="240" w:lineRule="auto"/>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喷砂</w:t>
                  </w:r>
                </w:p>
              </w:tc>
              <w:tc>
                <w:tcPr>
                  <w:tcW w:w="800" w:type="dxa"/>
                  <w:vAlign w:val="center"/>
                </w:tcPr>
                <w:p w14:paraId="4E926BAB">
                  <w:pPr>
                    <w:spacing w:line="240" w:lineRule="auto"/>
                    <w:jc w:val="center"/>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颗粒物</w:t>
                  </w:r>
                </w:p>
              </w:tc>
              <w:tc>
                <w:tcPr>
                  <w:tcW w:w="1206" w:type="dxa"/>
                  <w:vAlign w:val="center"/>
                </w:tcPr>
                <w:p w14:paraId="301981A3">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58.473</w:t>
                  </w:r>
                </w:p>
              </w:tc>
              <w:tc>
                <w:tcPr>
                  <w:tcW w:w="1020" w:type="dxa"/>
                  <w:shd w:val="clear" w:color="auto" w:fill="auto"/>
                  <w:vAlign w:val="center"/>
                </w:tcPr>
                <w:p w14:paraId="7E99DA5D">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12.182 </w:t>
                  </w:r>
                </w:p>
              </w:tc>
              <w:tc>
                <w:tcPr>
                  <w:tcW w:w="1292" w:type="dxa"/>
                  <w:shd w:val="clear" w:color="auto" w:fill="auto"/>
                  <w:vAlign w:val="center"/>
                </w:tcPr>
                <w:p w14:paraId="012FE80A">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1522.734 </w:t>
                  </w:r>
                </w:p>
              </w:tc>
              <w:tc>
                <w:tcPr>
                  <w:tcW w:w="840" w:type="dxa"/>
                  <w:vMerge w:val="continue"/>
                  <w:vAlign w:val="center"/>
                </w:tcPr>
                <w:p w14:paraId="3914008B">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p>
              </w:tc>
              <w:tc>
                <w:tcPr>
                  <w:tcW w:w="736" w:type="dxa"/>
                  <w:vAlign w:val="center"/>
                </w:tcPr>
                <w:p w14:paraId="5B859D54">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95</w:t>
                  </w:r>
                </w:p>
              </w:tc>
              <w:tc>
                <w:tcPr>
                  <w:tcW w:w="736" w:type="dxa"/>
                  <w:vAlign w:val="center"/>
                </w:tcPr>
                <w:p w14:paraId="0B4F64A2">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99</w:t>
                  </w:r>
                </w:p>
              </w:tc>
              <w:tc>
                <w:tcPr>
                  <w:tcW w:w="1241" w:type="dxa"/>
                  <w:shd w:val="clear" w:color="auto" w:fill="auto"/>
                  <w:vAlign w:val="center"/>
                </w:tcPr>
                <w:p w14:paraId="0F025000">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0.555 </w:t>
                  </w:r>
                </w:p>
              </w:tc>
              <w:tc>
                <w:tcPr>
                  <w:tcW w:w="1020" w:type="dxa"/>
                  <w:shd w:val="clear" w:color="auto" w:fill="auto"/>
                  <w:vAlign w:val="center"/>
                </w:tcPr>
                <w:p w14:paraId="5CD2E962">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0.116 </w:t>
                  </w:r>
                </w:p>
              </w:tc>
              <w:tc>
                <w:tcPr>
                  <w:tcW w:w="1292" w:type="dxa"/>
                  <w:shd w:val="clear" w:color="auto" w:fill="auto"/>
                  <w:vAlign w:val="center"/>
                </w:tcPr>
                <w:p w14:paraId="24D9E177">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14.466 </w:t>
                  </w:r>
                </w:p>
              </w:tc>
              <w:tc>
                <w:tcPr>
                  <w:tcW w:w="1268" w:type="dxa"/>
                  <w:vMerge w:val="continue"/>
                  <w:vAlign w:val="center"/>
                </w:tcPr>
                <w:p w14:paraId="03C30D02">
                  <w:pPr>
                    <w:keepNext w:val="0"/>
                    <w:keepLines w:val="0"/>
                    <w:widowControl/>
                    <w:suppressLineNumbers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1125" w:type="dxa"/>
                  <w:vMerge w:val="continue"/>
                  <w:vAlign w:val="center"/>
                </w:tcPr>
                <w:p w14:paraId="5FC166B6">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c>
                <w:tcPr>
                  <w:tcW w:w="1126" w:type="dxa"/>
                  <w:vAlign w:val="center"/>
                </w:tcPr>
                <w:p w14:paraId="321CE7CD">
                  <w:pPr>
                    <w:keepNext w:val="0"/>
                    <w:keepLines w:val="0"/>
                    <w:widowControl/>
                    <w:suppressLineNumbers w:val="0"/>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8000</w:t>
                  </w:r>
                </w:p>
              </w:tc>
            </w:tr>
            <w:tr w14:paraId="61617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1" w:type="dxa"/>
                  <w:vAlign w:val="center"/>
                </w:tcPr>
                <w:p w14:paraId="37A726CC">
                  <w:pPr>
                    <w:spacing w:line="240" w:lineRule="auto"/>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合计</w:t>
                  </w:r>
                </w:p>
              </w:tc>
              <w:tc>
                <w:tcPr>
                  <w:tcW w:w="800" w:type="dxa"/>
                  <w:vAlign w:val="center"/>
                </w:tcPr>
                <w:p w14:paraId="6B49B484">
                  <w:pPr>
                    <w:spacing w:line="240" w:lineRule="auto"/>
                    <w:jc w:val="center"/>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颗粒物</w:t>
                  </w:r>
                </w:p>
              </w:tc>
              <w:tc>
                <w:tcPr>
                  <w:tcW w:w="1206" w:type="dxa"/>
                  <w:vAlign w:val="center"/>
                </w:tcPr>
                <w:p w14:paraId="7C682E1C">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1020" w:type="dxa"/>
                  <w:vAlign w:val="center"/>
                </w:tcPr>
                <w:p w14:paraId="63D92754">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1292" w:type="dxa"/>
                  <w:vAlign w:val="center"/>
                </w:tcPr>
                <w:p w14:paraId="359B3423">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840" w:type="dxa"/>
                  <w:vMerge w:val="continue"/>
                  <w:vAlign w:val="center"/>
                </w:tcPr>
                <w:p w14:paraId="241EE369">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p>
              </w:tc>
              <w:tc>
                <w:tcPr>
                  <w:tcW w:w="736" w:type="dxa"/>
                  <w:vAlign w:val="center"/>
                </w:tcPr>
                <w:p w14:paraId="2A28D651">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736" w:type="dxa"/>
                  <w:vAlign w:val="center"/>
                </w:tcPr>
                <w:p w14:paraId="4A543741">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1241" w:type="dxa"/>
                  <w:shd w:val="clear" w:color="auto" w:fill="auto"/>
                  <w:vAlign w:val="center"/>
                </w:tcPr>
                <w:p w14:paraId="53F02894">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0.595</w:t>
                  </w:r>
                </w:p>
              </w:tc>
              <w:tc>
                <w:tcPr>
                  <w:tcW w:w="1020" w:type="dxa"/>
                  <w:shd w:val="clear" w:color="auto" w:fill="auto"/>
                  <w:vAlign w:val="center"/>
                </w:tcPr>
                <w:p w14:paraId="7DEAF2E8">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0.124 </w:t>
                  </w:r>
                </w:p>
              </w:tc>
              <w:tc>
                <w:tcPr>
                  <w:tcW w:w="1292" w:type="dxa"/>
                  <w:shd w:val="clear" w:color="auto" w:fill="auto"/>
                  <w:vAlign w:val="center"/>
                </w:tcPr>
                <w:p w14:paraId="10D096A4">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9.115 </w:t>
                  </w:r>
                </w:p>
              </w:tc>
              <w:tc>
                <w:tcPr>
                  <w:tcW w:w="1268" w:type="dxa"/>
                  <w:vMerge w:val="continue"/>
                  <w:vAlign w:val="center"/>
                </w:tcPr>
                <w:p w14:paraId="47615E15">
                  <w:pPr>
                    <w:keepNext w:val="0"/>
                    <w:keepLines w:val="0"/>
                    <w:widowControl/>
                    <w:suppressLineNumbers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1125" w:type="dxa"/>
                  <w:vMerge w:val="continue"/>
                  <w:vAlign w:val="center"/>
                </w:tcPr>
                <w:p w14:paraId="4CBBBCBA">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c>
                <w:tcPr>
                  <w:tcW w:w="1126" w:type="dxa"/>
                  <w:vAlign w:val="center"/>
                </w:tcPr>
                <w:p w14:paraId="50F35E2B">
                  <w:pPr>
                    <w:keepNext w:val="0"/>
                    <w:keepLines w:val="0"/>
                    <w:widowControl/>
                    <w:suppressLineNumbers w:val="0"/>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13600</w:t>
                  </w:r>
                </w:p>
              </w:tc>
            </w:tr>
          </w:tbl>
          <w:p w14:paraId="0B6614CB">
            <w:pPr>
              <w:ind w:firstLine="480" w:firstLineChars="200"/>
              <w:rPr>
                <w:rFonts w:hint="default" w:eastAsia="宋体"/>
                <w:b/>
                <w:bCs/>
                <w:color w:val="auto"/>
                <w:vertAlign w:val="baseline"/>
                <w:lang w:val="en-US" w:eastAsia="zh-CN"/>
              </w:rPr>
            </w:pPr>
            <w:r>
              <w:rPr>
                <w:rFonts w:hint="eastAsia"/>
                <w:b/>
                <w:bCs/>
                <w:color w:val="auto"/>
                <w:vertAlign w:val="baseline"/>
                <w:lang w:eastAsia="zh-CN"/>
              </w:rPr>
              <w:t>（</w:t>
            </w:r>
            <w:r>
              <w:rPr>
                <w:rFonts w:hint="eastAsia"/>
                <w:b/>
                <w:bCs/>
                <w:color w:val="auto"/>
                <w:vertAlign w:val="baseline"/>
                <w:lang w:val="en-US" w:eastAsia="zh-CN"/>
              </w:rPr>
              <w:t>5）涂胶废气</w:t>
            </w:r>
          </w:p>
          <w:p w14:paraId="7E7A61F1">
            <w:pPr>
              <w:ind w:firstLine="480" w:firstLineChars="200"/>
              <w:rPr>
                <w:color w:val="auto"/>
              </w:rPr>
            </w:pPr>
            <w:r>
              <w:rPr>
                <w:rFonts w:hint="eastAsia"/>
                <w:b w:val="0"/>
                <w:bCs w:val="0"/>
                <w:color w:val="auto"/>
                <w:lang w:val="en-US" w:eastAsia="zh-CN"/>
              </w:rPr>
              <w:t>本项目涂胶</w:t>
            </w:r>
            <w:r>
              <w:rPr>
                <w:rFonts w:hint="eastAsia"/>
                <w:b w:val="0"/>
                <w:bCs w:val="0"/>
                <w:color w:val="auto"/>
              </w:rPr>
              <w:t>工序年运行时间约</w:t>
            </w:r>
            <w:r>
              <w:rPr>
                <w:rFonts w:hint="eastAsia"/>
                <w:b w:val="0"/>
                <w:bCs w:val="0"/>
                <w:color w:val="auto"/>
                <w:lang w:val="en-US" w:eastAsia="zh-CN"/>
              </w:rPr>
              <w:t>1200h，</w:t>
            </w:r>
            <w:r>
              <w:rPr>
                <w:rFonts w:hint="eastAsia" w:ascii="Times New Roman" w:hAnsi="Times New Roman" w:eastAsia="宋体" w:cs="Times New Roman"/>
                <w:b w:val="0"/>
                <w:bCs w:val="0"/>
                <w:color w:val="auto"/>
                <w:kern w:val="2"/>
                <w:sz w:val="24"/>
                <w:szCs w:val="24"/>
                <w:lang w:val="en-US" w:eastAsia="zh-CN" w:bidi="ar-SA"/>
              </w:rPr>
              <w:t>根据建设单位提供的资料，本项目使用的胶黏剂</w:t>
            </w:r>
            <w:r>
              <w:rPr>
                <w:rFonts w:hint="eastAsia" w:cs="Times New Roman"/>
                <w:b w:val="0"/>
                <w:bCs w:val="0"/>
                <w:color w:val="auto"/>
                <w:kern w:val="2"/>
                <w:sz w:val="24"/>
                <w:szCs w:val="24"/>
                <w:lang w:val="en-US" w:eastAsia="zh-CN" w:bidi="ar-SA"/>
              </w:rPr>
              <w:t>VOCs含量为630mg/L，</w:t>
            </w:r>
            <w:r>
              <w:rPr>
                <w:rFonts w:hint="eastAsia" w:ascii="Times New Roman" w:hAnsi="Times New Roman" w:eastAsia="宋体" w:cs="Times New Roman"/>
                <w:b w:val="0"/>
                <w:bCs w:val="0"/>
                <w:color w:val="auto"/>
                <w:kern w:val="2"/>
                <w:sz w:val="24"/>
                <w:szCs w:val="24"/>
                <w:lang w:val="en-US" w:eastAsia="zh-CN" w:bidi="ar-SA"/>
              </w:rPr>
              <w:t>胶黏剂用量为</w:t>
            </w:r>
            <w:r>
              <w:rPr>
                <w:rFonts w:hint="eastAsia" w:cs="Times New Roman"/>
                <w:b w:val="0"/>
                <w:bCs w:val="0"/>
                <w:color w:val="auto"/>
                <w:kern w:val="2"/>
                <w:sz w:val="24"/>
                <w:szCs w:val="24"/>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t/a，则涂胶</w:t>
            </w:r>
            <w:r>
              <w:rPr>
                <w:rFonts w:hint="eastAsia"/>
                <w:color w:val="auto"/>
                <w:vertAlign w:val="baseline"/>
                <w:lang w:val="en-US" w:eastAsia="zh-CN"/>
              </w:rPr>
              <w:t>废气非甲烷总烃产生量为1.985</w:t>
            </w:r>
            <w:r>
              <w:rPr>
                <w:rFonts w:hint="eastAsia" w:ascii="Times New Roman" w:hAnsi="Times New Roman" w:eastAsia="宋体" w:cs="Times New Roman"/>
                <w:b w:val="0"/>
                <w:bCs w:val="0"/>
                <w:color w:val="auto"/>
                <w:kern w:val="2"/>
                <w:sz w:val="24"/>
                <w:szCs w:val="24"/>
                <w:lang w:val="en-US" w:eastAsia="zh-CN" w:bidi="ar-SA"/>
              </w:rPr>
              <w:t>t/a</w:t>
            </w:r>
            <w:r>
              <w:rPr>
                <w:rFonts w:hint="eastAsia" w:cs="Times New Roman"/>
                <w:b w:val="0"/>
                <w:bCs w:val="0"/>
                <w:color w:val="auto"/>
                <w:kern w:val="2"/>
                <w:sz w:val="24"/>
                <w:szCs w:val="24"/>
                <w:lang w:val="en-US" w:eastAsia="zh-CN" w:bidi="ar-SA"/>
              </w:rPr>
              <w:t>，其中二甲苯</w:t>
            </w:r>
            <w:r>
              <w:rPr>
                <w:rFonts w:hint="eastAsia"/>
                <w:color w:val="auto"/>
                <w:vertAlign w:val="baseline"/>
                <w:lang w:val="en-US" w:eastAsia="zh-CN"/>
              </w:rPr>
              <w:t>产生量为</w:t>
            </w:r>
            <w:r>
              <w:rPr>
                <w:rFonts w:hint="eastAsia" w:cs="Times New Roman"/>
                <w:b w:val="0"/>
                <w:bCs w:val="0"/>
                <w:color w:val="auto"/>
                <w:kern w:val="2"/>
                <w:sz w:val="24"/>
                <w:szCs w:val="24"/>
                <w:lang w:val="en-US" w:eastAsia="zh-CN" w:bidi="ar-SA"/>
              </w:rPr>
              <w:t>0.45</w:t>
            </w:r>
            <w:r>
              <w:rPr>
                <w:rFonts w:hint="eastAsia" w:ascii="Times New Roman" w:hAnsi="Times New Roman" w:eastAsia="宋体" w:cs="Times New Roman"/>
                <w:b w:val="0"/>
                <w:bCs w:val="0"/>
                <w:color w:val="auto"/>
                <w:kern w:val="2"/>
                <w:sz w:val="24"/>
                <w:szCs w:val="24"/>
                <w:lang w:val="en-US" w:eastAsia="zh-CN" w:bidi="ar-SA"/>
              </w:rPr>
              <w:t>t/a。涂胶</w:t>
            </w:r>
            <w:r>
              <w:rPr>
                <w:rFonts w:hint="eastAsia"/>
                <w:color w:val="auto"/>
                <w:vertAlign w:val="baseline"/>
                <w:lang w:val="en-US" w:eastAsia="zh-CN"/>
              </w:rPr>
              <w:t>废气</w:t>
            </w:r>
            <w:r>
              <w:rPr>
                <w:rFonts w:hint="eastAsia"/>
                <w:color w:val="auto"/>
                <w:lang w:val="en-US" w:eastAsia="zh-CN"/>
              </w:rPr>
              <w:t>通过密闭</w:t>
            </w:r>
            <w:r>
              <w:rPr>
                <w:rFonts w:hint="eastAsia" w:ascii="Times New Roman" w:hAnsi="Times New Roman" w:eastAsia="宋体" w:cs="Times New Roman"/>
                <w:b w:val="0"/>
                <w:bCs w:val="0"/>
                <w:color w:val="auto"/>
                <w:kern w:val="2"/>
                <w:sz w:val="24"/>
                <w:szCs w:val="24"/>
                <w:lang w:val="en-US" w:eastAsia="zh-CN" w:bidi="ar-SA"/>
              </w:rPr>
              <w:t>涂胶</w:t>
            </w:r>
            <w:r>
              <w:rPr>
                <w:rFonts w:hint="eastAsia"/>
                <w:color w:val="auto"/>
                <w:lang w:val="en-US" w:eastAsia="zh-CN"/>
              </w:rPr>
              <w:t>间内部集风管收集</w:t>
            </w:r>
            <w:r>
              <w:rPr>
                <w:color w:val="auto"/>
              </w:rPr>
              <w:t>，</w:t>
            </w:r>
            <w:r>
              <w:rPr>
                <w:rFonts w:hint="eastAsia" w:ascii="Times New Roman" w:hAnsi="Times New Roman" w:eastAsia="宋体" w:cs="Times New Roman"/>
                <w:b w:val="0"/>
                <w:bCs w:val="0"/>
                <w:color w:val="auto"/>
                <w:kern w:val="2"/>
                <w:sz w:val="24"/>
                <w:szCs w:val="24"/>
                <w:lang w:val="en-US" w:eastAsia="zh-CN" w:bidi="ar-SA"/>
              </w:rPr>
              <w:t>涂胶</w:t>
            </w:r>
            <w:r>
              <w:rPr>
                <w:rFonts w:hint="eastAsia"/>
                <w:color w:val="auto"/>
                <w:lang w:val="en-US" w:eastAsia="zh-CN"/>
              </w:rPr>
              <w:t>间规格为10*10*3m，换气次数为24次/h，</w:t>
            </w:r>
            <w:r>
              <w:rPr>
                <w:rFonts w:hint="eastAsia" w:ascii="Times New Roman" w:hAnsi="Times New Roman" w:eastAsia="宋体" w:cs="Times New Roman"/>
                <w:b w:val="0"/>
                <w:bCs w:val="0"/>
                <w:color w:val="auto"/>
                <w:kern w:val="2"/>
                <w:sz w:val="24"/>
                <w:szCs w:val="24"/>
                <w:lang w:val="en-US" w:eastAsia="zh-CN" w:bidi="ar-SA"/>
              </w:rPr>
              <w:t>涂胶</w:t>
            </w:r>
            <w:r>
              <w:rPr>
                <w:rFonts w:hint="eastAsia"/>
                <w:color w:val="auto"/>
                <w:lang w:val="en-US" w:eastAsia="zh-CN"/>
              </w:rPr>
              <w:t>工序风量合计为7200</w:t>
            </w:r>
            <w:r>
              <w:rPr>
                <w:rFonts w:hint="eastAsia"/>
                <w:color w:val="auto"/>
              </w:rPr>
              <w:t>m³/h</w:t>
            </w:r>
            <w:r>
              <w:rPr>
                <w:rFonts w:hint="eastAsia"/>
                <w:color w:val="auto"/>
                <w:lang w:eastAsia="zh-CN"/>
              </w:rPr>
              <w:t>。</w:t>
            </w:r>
            <w:r>
              <w:rPr>
                <w:color w:val="auto"/>
              </w:rPr>
              <w:t>收集的</w:t>
            </w:r>
            <w:r>
              <w:rPr>
                <w:rFonts w:hint="eastAsia"/>
                <w:color w:val="auto"/>
                <w:vertAlign w:val="baseline"/>
                <w:lang w:val="en-US" w:eastAsia="zh-CN"/>
              </w:rPr>
              <w:t>非甲烷总烃</w:t>
            </w:r>
            <w:r>
              <w:rPr>
                <w:color w:val="auto"/>
              </w:rPr>
              <w:t>经</w:t>
            </w:r>
            <w:r>
              <w:rPr>
                <w:rFonts w:hint="eastAsia"/>
                <w:color w:val="auto"/>
                <w:lang w:val="en-US" w:eastAsia="zh-CN"/>
              </w:rPr>
              <w:t>二级活性炭吸附装置</w:t>
            </w:r>
            <w:r>
              <w:rPr>
                <w:color w:val="auto"/>
              </w:rPr>
              <w:t>处理后，</w:t>
            </w:r>
            <w:r>
              <w:rPr>
                <w:rFonts w:hint="eastAsia"/>
                <w:color w:val="auto"/>
                <w:lang w:val="en-US" w:eastAsia="zh-CN"/>
              </w:rPr>
              <w:t>经过15m高排气筒（DA003）排放</w:t>
            </w:r>
            <w:r>
              <w:rPr>
                <w:color w:val="auto"/>
              </w:rPr>
              <w:t>。</w:t>
            </w:r>
            <w:r>
              <w:rPr>
                <w:rFonts w:hint="eastAsia"/>
                <w:color w:val="auto"/>
                <w:lang w:eastAsia="zh-CN"/>
              </w:rPr>
              <w:t>项目</w:t>
            </w:r>
            <w:r>
              <w:rPr>
                <w:rFonts w:hint="eastAsia" w:ascii="Times New Roman" w:hAnsi="Times New Roman" w:eastAsia="宋体" w:cs="Times New Roman"/>
                <w:b w:val="0"/>
                <w:bCs w:val="0"/>
                <w:color w:val="auto"/>
                <w:kern w:val="2"/>
                <w:sz w:val="24"/>
                <w:szCs w:val="24"/>
                <w:lang w:val="en-US" w:eastAsia="zh-CN" w:bidi="ar-SA"/>
              </w:rPr>
              <w:t>涂胶</w:t>
            </w:r>
            <w:r>
              <w:rPr>
                <w:rFonts w:hint="eastAsia"/>
                <w:color w:val="auto"/>
                <w:lang w:val="en-US" w:eastAsia="zh-CN"/>
              </w:rPr>
              <w:t>工序</w:t>
            </w:r>
            <w:r>
              <w:rPr>
                <w:rFonts w:hint="eastAsia"/>
                <w:color w:val="auto"/>
                <w:vertAlign w:val="baseline"/>
                <w:lang w:val="en-US" w:eastAsia="zh-CN"/>
              </w:rPr>
              <w:t>非甲烷总烃、二甲苯</w:t>
            </w:r>
            <w:r>
              <w:rPr>
                <w:rFonts w:hint="eastAsia"/>
                <w:color w:val="auto"/>
                <w:lang w:eastAsia="zh-CN"/>
              </w:rPr>
              <w:t>收集效率以</w:t>
            </w:r>
            <w:r>
              <w:rPr>
                <w:rFonts w:hint="eastAsia"/>
                <w:color w:val="auto"/>
                <w:lang w:val="en-US" w:eastAsia="zh-CN"/>
              </w:rPr>
              <w:t>95%计，</w:t>
            </w:r>
            <w:r>
              <w:rPr>
                <w:color w:val="auto"/>
              </w:rPr>
              <w:t>处理效率以</w:t>
            </w:r>
            <w:r>
              <w:rPr>
                <w:rFonts w:hint="eastAsia"/>
                <w:color w:val="auto"/>
                <w:lang w:val="en-US" w:eastAsia="zh-CN"/>
              </w:rPr>
              <w:t>90</w:t>
            </w:r>
            <w:r>
              <w:rPr>
                <w:color w:val="auto"/>
              </w:rPr>
              <w:t>%计；则</w:t>
            </w:r>
            <w:r>
              <w:rPr>
                <w:rFonts w:hint="eastAsia"/>
                <w:color w:val="auto"/>
                <w:lang w:eastAsia="zh-CN"/>
              </w:rPr>
              <w:t>项目</w:t>
            </w:r>
            <w:r>
              <w:rPr>
                <w:rFonts w:hint="eastAsia" w:ascii="Times New Roman" w:hAnsi="Times New Roman" w:eastAsia="宋体" w:cs="Times New Roman"/>
                <w:b w:val="0"/>
                <w:bCs w:val="0"/>
                <w:color w:val="auto"/>
                <w:kern w:val="2"/>
                <w:sz w:val="24"/>
                <w:szCs w:val="24"/>
                <w:lang w:val="en-US" w:eastAsia="zh-CN" w:bidi="ar-SA"/>
              </w:rPr>
              <w:t>涂胶</w:t>
            </w:r>
            <w:r>
              <w:rPr>
                <w:rFonts w:hint="eastAsia"/>
                <w:color w:val="auto"/>
                <w:vertAlign w:val="baseline"/>
                <w:lang w:val="en-US" w:eastAsia="zh-CN"/>
              </w:rPr>
              <w:t>废气非甲烷总烃、二甲苯</w:t>
            </w:r>
            <w:r>
              <w:rPr>
                <w:rFonts w:hint="eastAsia"/>
                <w:color w:val="auto"/>
                <w:lang w:val="en-US" w:eastAsia="zh-CN"/>
              </w:rPr>
              <w:t>有组织</w:t>
            </w:r>
            <w:r>
              <w:rPr>
                <w:rFonts w:hint="eastAsia"/>
                <w:color w:val="auto"/>
                <w:lang w:eastAsia="zh-CN"/>
              </w:rPr>
              <w:t>排放量为</w:t>
            </w:r>
            <w:r>
              <w:rPr>
                <w:rFonts w:hint="eastAsia"/>
                <w:color w:val="auto"/>
                <w:lang w:val="en-US" w:eastAsia="zh-CN"/>
              </w:rPr>
              <w:t>0.253t</w:t>
            </w:r>
            <w:r>
              <w:rPr>
                <w:color w:val="auto"/>
              </w:rPr>
              <w:t>/a</w:t>
            </w:r>
            <w:r>
              <w:rPr>
                <w:rFonts w:hint="eastAsia"/>
                <w:color w:val="auto"/>
                <w:lang w:eastAsia="zh-CN"/>
              </w:rPr>
              <w:t>、</w:t>
            </w:r>
            <w:r>
              <w:rPr>
                <w:rFonts w:hint="eastAsia"/>
                <w:color w:val="auto"/>
                <w:lang w:val="en-US" w:eastAsia="zh-CN"/>
              </w:rPr>
              <w:t>0.211kg/h、29.248mg/m³；0.043t</w:t>
            </w:r>
            <w:r>
              <w:rPr>
                <w:color w:val="auto"/>
              </w:rPr>
              <w:t>/a</w:t>
            </w:r>
            <w:r>
              <w:rPr>
                <w:rFonts w:hint="eastAsia"/>
                <w:color w:val="auto"/>
                <w:lang w:eastAsia="zh-CN"/>
              </w:rPr>
              <w:t>、</w:t>
            </w:r>
            <w:r>
              <w:rPr>
                <w:rFonts w:hint="eastAsia"/>
                <w:color w:val="auto"/>
                <w:lang w:val="en-US" w:eastAsia="zh-CN"/>
              </w:rPr>
              <w:t>0.036kg/h、4.95mg/m³</w:t>
            </w:r>
            <w:r>
              <w:rPr>
                <w:rFonts w:hint="eastAsia"/>
                <w:color w:val="auto"/>
                <w:lang w:eastAsia="zh-CN"/>
              </w:rPr>
              <w:t>；</w:t>
            </w:r>
            <w:r>
              <w:rPr>
                <w:rFonts w:hint="eastAsia"/>
                <w:color w:val="auto"/>
                <w:vertAlign w:val="baseline"/>
                <w:lang w:val="en-US" w:eastAsia="zh-CN"/>
              </w:rPr>
              <w:t>非甲烷总烃、二甲苯</w:t>
            </w:r>
            <w:r>
              <w:rPr>
                <w:rFonts w:hint="eastAsia"/>
                <w:color w:val="auto"/>
                <w:lang w:val="en-US" w:eastAsia="zh-CN"/>
              </w:rPr>
              <w:t>无组织</w:t>
            </w:r>
            <w:r>
              <w:rPr>
                <w:rFonts w:hint="eastAsia"/>
                <w:color w:val="auto"/>
                <w:lang w:eastAsia="zh-CN"/>
              </w:rPr>
              <w:t>排放量为</w:t>
            </w:r>
            <w:r>
              <w:rPr>
                <w:rFonts w:hint="eastAsia"/>
                <w:color w:val="auto"/>
                <w:lang w:val="en-US" w:eastAsia="zh-CN"/>
              </w:rPr>
              <w:t>0.133t</w:t>
            </w:r>
            <w:r>
              <w:rPr>
                <w:color w:val="auto"/>
              </w:rPr>
              <w:t>/a</w:t>
            </w:r>
            <w:r>
              <w:rPr>
                <w:rFonts w:hint="eastAsia"/>
                <w:color w:val="auto"/>
                <w:lang w:eastAsia="zh-CN"/>
              </w:rPr>
              <w:t>、</w:t>
            </w:r>
            <w:r>
              <w:rPr>
                <w:rFonts w:hint="eastAsia"/>
                <w:color w:val="auto"/>
                <w:lang w:val="en-US" w:eastAsia="zh-CN"/>
              </w:rPr>
              <w:t>0.11kg/h；0.022t</w:t>
            </w:r>
            <w:r>
              <w:rPr>
                <w:color w:val="auto"/>
              </w:rPr>
              <w:t>/a</w:t>
            </w:r>
            <w:r>
              <w:rPr>
                <w:rFonts w:hint="eastAsia"/>
                <w:color w:val="auto"/>
                <w:lang w:eastAsia="zh-CN"/>
              </w:rPr>
              <w:t>、</w:t>
            </w:r>
            <w:r>
              <w:rPr>
                <w:rFonts w:hint="eastAsia"/>
                <w:color w:val="auto"/>
                <w:lang w:val="en-US" w:eastAsia="zh-CN"/>
              </w:rPr>
              <w:t>0.019kg/h</w:t>
            </w:r>
            <w:r>
              <w:rPr>
                <w:color w:val="auto"/>
              </w:rPr>
              <w:t>。</w:t>
            </w:r>
          </w:p>
          <w:p w14:paraId="1C430D78">
            <w:pPr>
              <w:numPr>
                <w:ilvl w:val="0"/>
                <w:numId w:val="0"/>
              </w:numPr>
              <w:ind w:left="0" w:leftChars="0" w:firstLine="480" w:firstLineChars="0"/>
              <w:rPr>
                <w:rFonts w:hint="eastAsia"/>
                <w:b/>
                <w:bCs/>
                <w:color w:val="auto"/>
                <w:lang w:val="en-US" w:eastAsia="zh-CN"/>
              </w:rPr>
            </w:pPr>
            <w:r>
              <w:rPr>
                <w:rFonts w:hint="eastAsia" w:ascii="Times New Roman" w:hAnsi="Times New Roman" w:eastAsia="宋体" w:cs="Times New Roman"/>
                <w:b/>
                <w:bCs/>
                <w:color w:val="auto"/>
                <w:kern w:val="2"/>
                <w:sz w:val="24"/>
                <w:szCs w:val="24"/>
                <w:lang w:val="en-US" w:eastAsia="zh-CN" w:bidi="ar-SA"/>
              </w:rPr>
              <w:t>（6）</w:t>
            </w:r>
            <w:r>
              <w:rPr>
                <w:rFonts w:hint="eastAsia"/>
                <w:b/>
                <w:bCs/>
                <w:color w:val="auto"/>
                <w:lang w:val="en-US" w:eastAsia="zh-CN"/>
              </w:rPr>
              <w:t>硫化废气</w:t>
            </w:r>
          </w:p>
          <w:p w14:paraId="4686263C">
            <w:pPr>
              <w:ind w:firstLine="480"/>
              <w:rPr>
                <w:rFonts w:hint="eastAsia" w:eastAsia="宋体"/>
                <w:b w:val="0"/>
                <w:bCs w:val="0"/>
                <w:color w:val="auto"/>
                <w:lang w:eastAsia="zh-CN"/>
              </w:rPr>
            </w:pPr>
            <w:r>
              <w:rPr>
                <w:rFonts w:hint="eastAsia"/>
                <w:b w:val="0"/>
                <w:bCs w:val="0"/>
                <w:color w:val="auto"/>
                <w:lang w:val="en-US" w:eastAsia="zh-CN"/>
              </w:rPr>
              <w:t>本项目硫化</w:t>
            </w:r>
            <w:r>
              <w:rPr>
                <w:rFonts w:hint="eastAsia"/>
                <w:b w:val="0"/>
                <w:bCs w:val="0"/>
                <w:color w:val="auto"/>
              </w:rPr>
              <w:t>工序年运行时间约</w:t>
            </w:r>
            <w:r>
              <w:rPr>
                <w:rFonts w:hint="eastAsia"/>
                <w:b w:val="0"/>
                <w:bCs w:val="0"/>
                <w:color w:val="auto"/>
                <w:lang w:val="en-US" w:eastAsia="zh-CN"/>
              </w:rPr>
              <w:t>480</w:t>
            </w:r>
            <w:r>
              <w:rPr>
                <w:rFonts w:hint="eastAsia"/>
                <w:b w:val="0"/>
                <w:bCs w:val="0"/>
                <w:color w:val="auto"/>
              </w:rPr>
              <w:t>0h，非甲烷总烃的产生量参考《橡胶制品生产过程中有机废气的排放系数》</w:t>
            </w:r>
            <w:r>
              <w:rPr>
                <w:rFonts w:hint="eastAsia"/>
                <w:b w:val="0"/>
                <w:bCs w:val="0"/>
                <w:color w:val="auto"/>
                <w:lang w:eastAsia="zh-CN"/>
              </w:rPr>
              <w:t>（</w:t>
            </w:r>
            <w:r>
              <w:rPr>
                <w:rFonts w:hint="eastAsia"/>
                <w:b w:val="0"/>
                <w:bCs w:val="0"/>
                <w:color w:val="auto"/>
              </w:rPr>
              <w:t>橡胶工业2006年第53卷第11期，作者</w:t>
            </w:r>
            <w:r>
              <w:rPr>
                <w:rFonts w:hint="eastAsia"/>
                <w:b w:val="0"/>
                <w:bCs w:val="0"/>
                <w:color w:val="auto"/>
                <w:lang w:eastAsia="zh-CN"/>
              </w:rPr>
              <w:t>：</w:t>
            </w:r>
            <w:r>
              <w:rPr>
                <w:rFonts w:hint="eastAsia"/>
                <w:b w:val="0"/>
                <w:bCs w:val="0"/>
                <w:color w:val="auto"/>
              </w:rPr>
              <w:t>张芝兰</w:t>
            </w:r>
            <w:r>
              <w:rPr>
                <w:rFonts w:hint="eastAsia"/>
                <w:b w:val="0"/>
                <w:bCs w:val="0"/>
                <w:color w:val="auto"/>
                <w:lang w:eastAsia="zh-CN"/>
              </w:rPr>
              <w:t>）</w:t>
            </w:r>
            <w:r>
              <w:rPr>
                <w:rFonts w:hint="eastAsia"/>
                <w:b w:val="0"/>
                <w:bCs w:val="0"/>
                <w:color w:val="auto"/>
              </w:rPr>
              <w:t>表2中提供的最大排放系数进行核算，</w:t>
            </w:r>
            <w:r>
              <w:rPr>
                <w:rFonts w:hint="eastAsia"/>
                <w:b w:val="0"/>
                <w:bCs w:val="0"/>
                <w:color w:val="auto"/>
                <w:lang w:eastAsia="zh-CN"/>
              </w:rPr>
              <w:t>硫化</w:t>
            </w:r>
            <w:r>
              <w:rPr>
                <w:rFonts w:hint="eastAsia"/>
                <w:b w:val="0"/>
                <w:bCs w:val="0"/>
                <w:color w:val="auto"/>
              </w:rPr>
              <w:t>非甲烷总烃最大排放系数为29</w:t>
            </w:r>
            <w:r>
              <w:rPr>
                <w:rFonts w:hint="eastAsia"/>
                <w:b w:val="0"/>
                <w:bCs w:val="0"/>
                <w:color w:val="auto"/>
                <w:lang w:val="en-US" w:eastAsia="zh-CN"/>
              </w:rPr>
              <w:t>1</w:t>
            </w:r>
            <w:r>
              <w:rPr>
                <w:rFonts w:hint="eastAsia"/>
                <w:b w:val="0"/>
                <w:bCs w:val="0"/>
                <w:color w:val="auto"/>
              </w:rPr>
              <w:t>mg/kg-胶，本项目用胶量为</w:t>
            </w:r>
            <w:r>
              <w:rPr>
                <w:rFonts w:hint="eastAsia"/>
                <w:b w:val="0"/>
                <w:bCs w:val="0"/>
                <w:color w:val="auto"/>
                <w:lang w:val="en-US" w:eastAsia="zh-CN"/>
              </w:rPr>
              <w:t>4660</w:t>
            </w:r>
            <w:r>
              <w:rPr>
                <w:rFonts w:hint="eastAsia"/>
                <w:b w:val="0"/>
                <w:bCs w:val="0"/>
                <w:color w:val="auto"/>
              </w:rPr>
              <w:t>t/a，因此非甲烷总烃产生量为</w:t>
            </w:r>
            <w:r>
              <w:rPr>
                <w:rFonts w:hint="eastAsia"/>
                <w:b w:val="0"/>
                <w:bCs w:val="0"/>
                <w:color w:val="auto"/>
                <w:lang w:val="en-US" w:eastAsia="zh-CN"/>
              </w:rPr>
              <w:t>1.356</w:t>
            </w:r>
            <w:r>
              <w:rPr>
                <w:rFonts w:hint="eastAsia"/>
                <w:b w:val="0"/>
                <w:bCs w:val="0"/>
                <w:color w:val="auto"/>
              </w:rPr>
              <w:t>t/a。</w:t>
            </w:r>
            <w:r>
              <w:rPr>
                <w:rFonts w:hint="eastAsia"/>
                <w:b w:val="0"/>
                <w:bCs w:val="0"/>
                <w:color w:val="auto"/>
                <w:lang w:val="en-US" w:eastAsia="zh-CN"/>
              </w:rPr>
              <w:t>硫化氢的产生量</w:t>
            </w:r>
            <w:r>
              <w:rPr>
                <w:rFonts w:hint="eastAsia"/>
                <w:b w:val="0"/>
                <w:bCs w:val="0"/>
                <w:color w:val="auto"/>
              </w:rPr>
              <w:t>参考《橡胶制品生产过程中有机废气的排放系数》</w:t>
            </w:r>
            <w:r>
              <w:rPr>
                <w:rFonts w:hint="eastAsia"/>
                <w:b w:val="0"/>
                <w:bCs w:val="0"/>
                <w:color w:val="auto"/>
                <w:lang w:eastAsia="zh-CN"/>
              </w:rPr>
              <w:t>（</w:t>
            </w:r>
            <w:r>
              <w:rPr>
                <w:rFonts w:hint="eastAsia"/>
                <w:b w:val="0"/>
                <w:bCs w:val="0"/>
                <w:color w:val="auto"/>
              </w:rPr>
              <w:t>橡胶工业2006年第53卷第11期，作者</w:t>
            </w:r>
            <w:r>
              <w:rPr>
                <w:rFonts w:hint="eastAsia"/>
                <w:b w:val="0"/>
                <w:bCs w:val="0"/>
                <w:color w:val="auto"/>
                <w:lang w:eastAsia="zh-CN"/>
              </w:rPr>
              <w:t>：</w:t>
            </w:r>
            <w:r>
              <w:rPr>
                <w:rFonts w:hint="eastAsia"/>
                <w:b w:val="0"/>
                <w:bCs w:val="0"/>
                <w:color w:val="auto"/>
              </w:rPr>
              <w:t>张芝兰</w:t>
            </w:r>
            <w:r>
              <w:rPr>
                <w:rFonts w:hint="eastAsia"/>
                <w:b w:val="0"/>
                <w:bCs w:val="0"/>
                <w:color w:val="auto"/>
                <w:lang w:eastAsia="zh-CN"/>
              </w:rPr>
              <w:t>）</w:t>
            </w:r>
            <w:r>
              <w:rPr>
                <w:rFonts w:hint="eastAsia"/>
                <w:b w:val="0"/>
                <w:bCs w:val="0"/>
                <w:color w:val="auto"/>
              </w:rPr>
              <w:t>表2中提供的最大排放系数进行核算，</w:t>
            </w:r>
            <w:r>
              <w:rPr>
                <w:rFonts w:hint="eastAsia"/>
                <w:b w:val="0"/>
                <w:bCs w:val="0"/>
                <w:color w:val="auto"/>
                <w:lang w:eastAsia="zh-CN"/>
              </w:rPr>
              <w:t>硫化</w:t>
            </w:r>
            <w:r>
              <w:rPr>
                <w:rFonts w:hint="eastAsia"/>
                <w:b w:val="0"/>
                <w:bCs w:val="0"/>
                <w:color w:val="auto"/>
                <w:lang w:val="en-US" w:eastAsia="zh-CN"/>
              </w:rPr>
              <w:t>硫化氢</w:t>
            </w:r>
            <w:r>
              <w:rPr>
                <w:rFonts w:hint="eastAsia"/>
                <w:b w:val="0"/>
                <w:bCs w:val="0"/>
                <w:color w:val="auto"/>
              </w:rPr>
              <w:t>最大排放系数为</w:t>
            </w:r>
            <w:r>
              <w:rPr>
                <w:rFonts w:hint="eastAsia"/>
                <w:b w:val="0"/>
                <w:bCs w:val="0"/>
                <w:color w:val="auto"/>
                <w:lang w:val="en-US" w:eastAsia="zh-CN"/>
              </w:rPr>
              <w:t>0.4</w:t>
            </w:r>
            <w:r>
              <w:rPr>
                <w:rFonts w:hint="eastAsia"/>
                <w:b w:val="0"/>
                <w:bCs w:val="0"/>
                <w:color w:val="auto"/>
              </w:rPr>
              <w:t>kg/</w:t>
            </w:r>
            <w:r>
              <w:rPr>
                <w:rFonts w:hint="eastAsia"/>
                <w:b w:val="0"/>
                <w:bCs w:val="0"/>
                <w:color w:val="auto"/>
                <w:lang w:val="en-US" w:eastAsia="zh-CN"/>
              </w:rPr>
              <w:t>t</w:t>
            </w:r>
            <w:r>
              <w:rPr>
                <w:rFonts w:hint="eastAsia"/>
                <w:b w:val="0"/>
                <w:bCs w:val="0"/>
                <w:color w:val="auto"/>
              </w:rPr>
              <w:t>胶，本项目用胶量为</w:t>
            </w:r>
            <w:r>
              <w:rPr>
                <w:rFonts w:hint="eastAsia"/>
                <w:b w:val="0"/>
                <w:bCs w:val="0"/>
                <w:color w:val="auto"/>
                <w:lang w:val="en-US" w:eastAsia="zh-CN"/>
              </w:rPr>
              <w:t>4660</w:t>
            </w:r>
            <w:r>
              <w:rPr>
                <w:rFonts w:hint="eastAsia"/>
                <w:b w:val="0"/>
                <w:bCs w:val="0"/>
                <w:color w:val="auto"/>
              </w:rPr>
              <w:t>t/a，因此</w:t>
            </w:r>
            <w:r>
              <w:rPr>
                <w:rFonts w:hint="eastAsia"/>
                <w:b w:val="0"/>
                <w:bCs w:val="0"/>
                <w:color w:val="auto"/>
                <w:lang w:val="en-US" w:eastAsia="zh-CN"/>
              </w:rPr>
              <w:t>硫化氢</w:t>
            </w:r>
            <w:r>
              <w:rPr>
                <w:rFonts w:hint="eastAsia"/>
                <w:b w:val="0"/>
                <w:bCs w:val="0"/>
                <w:color w:val="auto"/>
              </w:rPr>
              <w:t>产生量为</w:t>
            </w:r>
            <w:r>
              <w:rPr>
                <w:rFonts w:hint="eastAsia"/>
                <w:b w:val="0"/>
                <w:bCs w:val="0"/>
                <w:color w:val="auto"/>
                <w:lang w:val="en-US" w:eastAsia="zh-CN"/>
              </w:rPr>
              <w:t>1.864</w:t>
            </w:r>
            <w:r>
              <w:rPr>
                <w:rFonts w:hint="eastAsia"/>
                <w:b w:val="0"/>
                <w:bCs w:val="0"/>
                <w:color w:val="auto"/>
              </w:rPr>
              <w:t>t/a。环保设施针对臭气浓度去除效率6</w:t>
            </w:r>
            <w:r>
              <w:rPr>
                <w:rFonts w:hint="eastAsia"/>
                <w:b w:val="0"/>
                <w:bCs w:val="0"/>
                <w:color w:val="auto"/>
                <w:lang w:val="en-US" w:eastAsia="zh-CN"/>
              </w:rPr>
              <w:t>0</w:t>
            </w:r>
            <w:r>
              <w:rPr>
                <w:rFonts w:hint="eastAsia"/>
                <w:b w:val="0"/>
                <w:bCs w:val="0"/>
                <w:color w:val="auto"/>
              </w:rPr>
              <w:t>%</w:t>
            </w:r>
            <w:r>
              <w:rPr>
                <w:rFonts w:hint="eastAsia"/>
                <w:b w:val="0"/>
                <w:bCs w:val="0"/>
                <w:color w:val="auto"/>
                <w:lang w:eastAsia="zh-CN"/>
              </w:rPr>
              <w:t>，</w:t>
            </w:r>
            <w:r>
              <w:rPr>
                <w:rFonts w:hint="eastAsia"/>
                <w:b w:val="0"/>
                <w:bCs w:val="0"/>
                <w:color w:val="auto"/>
              </w:rPr>
              <w:t>类比同类型企业，由《河北祥桓橡塑制品有限公司检验报告》可知经处理后臭气浓度排放浓度为977</w:t>
            </w:r>
            <w:r>
              <w:rPr>
                <w:rFonts w:hint="eastAsia"/>
                <w:b w:val="0"/>
                <w:bCs w:val="0"/>
                <w:color w:val="auto"/>
                <w:lang w:eastAsia="zh-CN"/>
              </w:rPr>
              <w:t>（</w:t>
            </w:r>
            <w:r>
              <w:rPr>
                <w:rFonts w:hint="eastAsia"/>
                <w:b w:val="0"/>
                <w:bCs w:val="0"/>
                <w:color w:val="auto"/>
              </w:rPr>
              <w:t>无量纲</w:t>
            </w:r>
            <w:r>
              <w:rPr>
                <w:rFonts w:hint="eastAsia"/>
                <w:b w:val="0"/>
                <w:bCs w:val="0"/>
                <w:color w:val="auto"/>
                <w:lang w:eastAsia="zh-CN"/>
              </w:rPr>
              <w:t>），</w:t>
            </w:r>
            <w:r>
              <w:rPr>
                <w:rFonts w:hint="eastAsia"/>
                <w:b w:val="0"/>
                <w:bCs w:val="0"/>
                <w:color w:val="auto"/>
              </w:rPr>
              <w:t>则</w:t>
            </w:r>
            <w:r>
              <w:rPr>
                <w:rFonts w:hint="eastAsia"/>
                <w:b w:val="0"/>
                <w:bCs w:val="0"/>
                <w:color w:val="auto"/>
                <w:lang w:eastAsia="zh-CN"/>
              </w:rPr>
              <w:t>硫化</w:t>
            </w:r>
            <w:r>
              <w:rPr>
                <w:rFonts w:hint="eastAsia"/>
                <w:b w:val="0"/>
                <w:bCs w:val="0"/>
                <w:color w:val="auto"/>
              </w:rPr>
              <w:t>工序臭气浓度为</w:t>
            </w:r>
            <w:r>
              <w:rPr>
                <w:rFonts w:hint="eastAsia"/>
                <w:b w:val="0"/>
                <w:bCs w:val="0"/>
                <w:color w:val="auto"/>
                <w:lang w:val="en-US" w:eastAsia="zh-CN"/>
              </w:rPr>
              <w:t>2442.5</w:t>
            </w:r>
            <w:r>
              <w:rPr>
                <w:rFonts w:hint="eastAsia"/>
                <w:b w:val="0"/>
                <w:bCs w:val="0"/>
                <w:color w:val="auto"/>
                <w:lang w:eastAsia="zh-CN"/>
              </w:rPr>
              <w:t>（</w:t>
            </w:r>
            <w:r>
              <w:rPr>
                <w:rFonts w:hint="eastAsia"/>
                <w:b w:val="0"/>
                <w:bCs w:val="0"/>
                <w:color w:val="auto"/>
              </w:rPr>
              <w:t>无量纲</w:t>
            </w:r>
            <w:r>
              <w:rPr>
                <w:rFonts w:hint="eastAsia"/>
                <w:b w:val="0"/>
                <w:bCs w:val="0"/>
                <w:color w:val="auto"/>
                <w:lang w:eastAsia="zh-CN"/>
              </w:rPr>
              <w:t>）。</w:t>
            </w:r>
          </w:p>
          <w:p w14:paraId="6B6AC6F9">
            <w:pPr>
              <w:ind w:firstLine="480"/>
              <w:rPr>
                <w:rFonts w:hint="eastAsia"/>
                <w:b w:val="0"/>
                <w:bCs w:val="0"/>
                <w:color w:val="auto"/>
              </w:rPr>
            </w:pPr>
            <w:r>
              <w:rPr>
                <w:rFonts w:hint="eastAsia"/>
                <w:b w:val="0"/>
                <w:bCs w:val="0"/>
                <w:color w:val="auto"/>
                <w:lang w:val="en-US" w:eastAsia="zh-CN"/>
              </w:rPr>
              <w:t>硫化废气</w:t>
            </w:r>
            <w:r>
              <w:rPr>
                <w:rFonts w:hint="eastAsia"/>
                <w:color w:val="auto"/>
                <w:lang w:val="en-US" w:eastAsia="zh-CN"/>
              </w:rPr>
              <w:t>通过集气罩+软帘进行收集</w:t>
            </w:r>
            <w:r>
              <w:rPr>
                <w:color w:val="auto"/>
              </w:rPr>
              <w:t>，本项目</w:t>
            </w:r>
            <w:r>
              <w:rPr>
                <w:rFonts w:hint="eastAsia"/>
                <w:color w:val="auto"/>
                <w:lang w:val="en-US" w:eastAsia="zh-CN"/>
              </w:rPr>
              <w:t>共设置120台硫化机，单个集气罩+软帘</w:t>
            </w:r>
            <w:r>
              <w:rPr>
                <w:rFonts w:hint="eastAsia"/>
                <w:color w:val="auto"/>
                <w:spacing w:val="-4"/>
              </w:rPr>
              <w:t>尺寸为</w:t>
            </w:r>
            <w:r>
              <w:rPr>
                <w:rFonts w:hint="eastAsia"/>
                <w:color w:val="auto"/>
                <w:spacing w:val="-4"/>
                <w:lang w:val="en-US" w:eastAsia="zh-CN"/>
              </w:rPr>
              <w:t>0.8</w:t>
            </w:r>
            <w:r>
              <w:rPr>
                <w:rFonts w:hint="eastAsia"/>
                <w:color w:val="auto"/>
                <w:spacing w:val="-4"/>
              </w:rPr>
              <w:t>m</w:t>
            </w:r>
            <w:r>
              <w:rPr>
                <w:rFonts w:ascii="Arial" w:hAnsi="Arial" w:cs="Arial"/>
                <w:color w:val="auto"/>
                <w:spacing w:val="-4"/>
              </w:rPr>
              <w:t>×</w:t>
            </w:r>
            <w:r>
              <w:rPr>
                <w:rFonts w:hint="eastAsia"/>
                <w:color w:val="auto"/>
                <w:spacing w:val="-4"/>
                <w:lang w:val="en-US" w:eastAsia="zh-CN"/>
              </w:rPr>
              <w:t>0.8</w:t>
            </w:r>
            <w:r>
              <w:rPr>
                <w:rFonts w:hint="eastAsia"/>
                <w:color w:val="auto"/>
                <w:spacing w:val="-4"/>
              </w:rPr>
              <w:t>m，</w:t>
            </w:r>
            <w:r>
              <w:rPr>
                <w:rFonts w:hint="eastAsia"/>
                <w:color w:val="auto"/>
              </w:rPr>
              <w:t>集气罩</w:t>
            </w:r>
            <w:r>
              <w:rPr>
                <w:rFonts w:hint="eastAsia"/>
                <w:color w:val="auto"/>
                <w:lang w:val="en-US" w:eastAsia="zh-CN"/>
              </w:rPr>
              <w:t>距离产生点高度为0.3m，</w:t>
            </w:r>
            <w:r>
              <w:rPr>
                <w:rFonts w:hint="eastAsia"/>
                <w:color w:val="auto"/>
                <w:spacing w:val="-4"/>
              </w:rPr>
              <w:t>边缘风速要求不小于0.3m/s，本次评价取0.4m/s</w:t>
            </w:r>
            <w:r>
              <w:rPr>
                <w:rFonts w:hint="eastAsia"/>
                <w:color w:val="auto"/>
                <w:spacing w:val="-4"/>
                <w:lang w:eastAsia="zh-CN"/>
              </w:rPr>
              <w:t>。</w:t>
            </w:r>
            <w:r>
              <w:rPr>
                <w:rFonts w:hint="eastAsia"/>
                <w:color w:val="auto"/>
                <w:spacing w:val="-4"/>
              </w:rPr>
              <w:t>则</w:t>
            </w:r>
            <w:r>
              <w:rPr>
                <w:rFonts w:hint="eastAsia"/>
                <w:color w:val="auto"/>
              </w:rPr>
              <w:t>单个集气罩</w:t>
            </w:r>
            <w:r>
              <w:rPr>
                <w:rFonts w:hint="eastAsia"/>
                <w:color w:val="auto"/>
                <w:lang w:val="en-US" w:eastAsia="zh-CN"/>
              </w:rPr>
              <w:t>+软帘</w:t>
            </w:r>
            <w:r>
              <w:rPr>
                <w:rFonts w:hint="eastAsia"/>
                <w:color w:val="auto"/>
              </w:rPr>
              <w:t>风量为</w:t>
            </w:r>
            <w:r>
              <w:rPr>
                <w:rFonts w:hint="eastAsia"/>
                <w:color w:val="auto"/>
                <w:lang w:val="en-US" w:eastAsia="zh-CN"/>
              </w:rPr>
              <w:t>10</w:t>
            </w:r>
            <w:r>
              <w:rPr>
                <w:rFonts w:hint="eastAsia"/>
                <w:color w:val="auto"/>
              </w:rPr>
              <w:t>00m³/h</w:t>
            </w:r>
            <w:r>
              <w:rPr>
                <w:rFonts w:hint="eastAsia"/>
                <w:color w:val="auto"/>
                <w:kern w:val="0"/>
                <w:lang w:eastAsia="zh-CN"/>
              </w:rPr>
              <w:t>，</w:t>
            </w:r>
            <w:r>
              <w:rPr>
                <w:rFonts w:hint="eastAsia"/>
                <w:color w:val="auto"/>
                <w:lang w:val="en-US" w:eastAsia="zh-CN"/>
              </w:rPr>
              <w:t>硫化工序风量合计为120000</w:t>
            </w:r>
            <w:r>
              <w:rPr>
                <w:rFonts w:hint="eastAsia"/>
                <w:color w:val="auto"/>
              </w:rPr>
              <w:t>m³/h</w:t>
            </w:r>
            <w:r>
              <w:rPr>
                <w:rFonts w:hint="eastAsia"/>
                <w:color w:val="auto"/>
                <w:lang w:eastAsia="zh-CN"/>
              </w:rPr>
              <w:t>。</w:t>
            </w:r>
          </w:p>
          <w:p w14:paraId="3E64FBE9">
            <w:pPr>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textAlignment w:val="auto"/>
              <w:rPr>
                <w:color w:val="auto"/>
              </w:rPr>
            </w:pPr>
            <w:r>
              <w:rPr>
                <w:color w:val="auto"/>
              </w:rPr>
              <w:t>收集的</w:t>
            </w:r>
            <w:r>
              <w:rPr>
                <w:rFonts w:hint="eastAsia"/>
                <w:b w:val="0"/>
                <w:bCs w:val="0"/>
                <w:color w:val="auto"/>
                <w:lang w:val="en-US" w:eastAsia="zh-CN"/>
              </w:rPr>
              <w:t>硫化氢</w:t>
            </w:r>
            <w:r>
              <w:rPr>
                <w:rFonts w:hint="eastAsia"/>
                <w:color w:val="auto"/>
                <w:lang w:val="en-US" w:eastAsia="zh-CN"/>
              </w:rPr>
              <w:t>、</w:t>
            </w:r>
            <w:r>
              <w:rPr>
                <w:rFonts w:hint="eastAsia"/>
                <w:b w:val="0"/>
                <w:bCs w:val="0"/>
                <w:color w:val="auto"/>
              </w:rPr>
              <w:t>非甲烷总烃</w:t>
            </w:r>
            <w:r>
              <w:rPr>
                <w:color w:val="auto"/>
              </w:rPr>
              <w:t>经</w:t>
            </w:r>
            <w:r>
              <w:rPr>
                <w:rFonts w:hint="eastAsia"/>
                <w:color w:val="auto"/>
                <w:lang w:val="en-US" w:eastAsia="zh-CN"/>
              </w:rPr>
              <w:t>布袋除尘器+二级活性炭吸附装置</w:t>
            </w:r>
            <w:r>
              <w:rPr>
                <w:color w:val="auto"/>
              </w:rPr>
              <w:t>处理后，</w:t>
            </w:r>
            <w:r>
              <w:rPr>
                <w:rFonts w:hint="eastAsia"/>
                <w:color w:val="auto"/>
                <w:lang w:val="en-US" w:eastAsia="zh-CN"/>
              </w:rPr>
              <w:t>经过15m高排气筒（DA003）排放</w:t>
            </w:r>
            <w:r>
              <w:rPr>
                <w:color w:val="auto"/>
              </w:rPr>
              <w:t>。</w:t>
            </w:r>
            <w:r>
              <w:rPr>
                <w:rFonts w:hint="eastAsia"/>
                <w:color w:val="auto"/>
                <w:lang w:eastAsia="zh-CN"/>
              </w:rPr>
              <w:t>项目</w:t>
            </w:r>
            <w:r>
              <w:rPr>
                <w:rFonts w:hint="eastAsia"/>
                <w:color w:val="auto"/>
                <w:lang w:val="en-US" w:eastAsia="zh-CN"/>
              </w:rPr>
              <w:t>硫化工序</w:t>
            </w:r>
            <w:r>
              <w:rPr>
                <w:rFonts w:hint="eastAsia"/>
                <w:b w:val="0"/>
                <w:bCs w:val="0"/>
                <w:color w:val="auto"/>
                <w:lang w:val="en-US" w:eastAsia="zh-CN"/>
              </w:rPr>
              <w:t>硫化氢</w:t>
            </w:r>
            <w:r>
              <w:rPr>
                <w:rFonts w:hint="eastAsia"/>
                <w:color w:val="auto"/>
                <w:lang w:val="en-US" w:eastAsia="zh-CN"/>
              </w:rPr>
              <w:t>、</w:t>
            </w:r>
            <w:r>
              <w:rPr>
                <w:rFonts w:hint="eastAsia"/>
                <w:b w:val="0"/>
                <w:bCs w:val="0"/>
                <w:color w:val="auto"/>
              </w:rPr>
              <w:t>非甲烷总烃</w:t>
            </w:r>
            <w:r>
              <w:rPr>
                <w:rFonts w:hint="eastAsia"/>
                <w:color w:val="auto"/>
                <w:lang w:eastAsia="zh-CN"/>
              </w:rPr>
              <w:t>收集效率以</w:t>
            </w:r>
            <w:r>
              <w:rPr>
                <w:rFonts w:hint="eastAsia"/>
                <w:color w:val="auto"/>
                <w:lang w:val="en-US" w:eastAsia="zh-CN"/>
              </w:rPr>
              <w:t>90%、90%计，</w:t>
            </w:r>
            <w:r>
              <w:rPr>
                <w:color w:val="auto"/>
              </w:rPr>
              <w:t>处理效率以9</w:t>
            </w:r>
            <w:r>
              <w:rPr>
                <w:rFonts w:hint="eastAsia"/>
                <w:color w:val="auto"/>
                <w:lang w:val="en-US" w:eastAsia="zh-CN"/>
              </w:rPr>
              <w:t>0</w:t>
            </w:r>
            <w:r>
              <w:rPr>
                <w:color w:val="auto"/>
              </w:rPr>
              <w:t>%</w:t>
            </w:r>
            <w:r>
              <w:rPr>
                <w:rFonts w:hint="eastAsia"/>
                <w:color w:val="auto"/>
                <w:lang w:val="en-US" w:eastAsia="zh-CN"/>
              </w:rPr>
              <w:t>、90%</w:t>
            </w:r>
            <w:r>
              <w:rPr>
                <w:color w:val="auto"/>
              </w:rPr>
              <w:t>计；则</w:t>
            </w:r>
            <w:r>
              <w:rPr>
                <w:rFonts w:hint="eastAsia"/>
                <w:color w:val="auto"/>
                <w:lang w:eastAsia="zh-CN"/>
              </w:rPr>
              <w:t>项目</w:t>
            </w:r>
            <w:r>
              <w:rPr>
                <w:rFonts w:hint="eastAsia"/>
                <w:color w:val="auto"/>
                <w:lang w:val="en-US" w:eastAsia="zh-CN"/>
              </w:rPr>
              <w:t>硫化</w:t>
            </w:r>
            <w:r>
              <w:rPr>
                <w:rFonts w:hint="eastAsia"/>
                <w:b w:val="0"/>
                <w:bCs w:val="0"/>
                <w:color w:val="auto"/>
                <w:lang w:val="en-US" w:eastAsia="zh-CN"/>
              </w:rPr>
              <w:t>硫化氢</w:t>
            </w:r>
            <w:r>
              <w:rPr>
                <w:rFonts w:hint="eastAsia"/>
                <w:color w:val="auto"/>
                <w:lang w:val="en-US" w:eastAsia="zh-CN"/>
              </w:rPr>
              <w:t>有组织</w:t>
            </w:r>
            <w:r>
              <w:rPr>
                <w:rFonts w:hint="eastAsia"/>
                <w:color w:val="auto"/>
                <w:lang w:eastAsia="zh-CN"/>
              </w:rPr>
              <w:t>排放量为</w:t>
            </w:r>
            <w:r>
              <w:rPr>
                <w:rFonts w:hint="eastAsia"/>
                <w:color w:val="auto"/>
                <w:lang w:val="en-US" w:eastAsia="zh-CN"/>
              </w:rPr>
              <w:t>0.168t</w:t>
            </w:r>
            <w:r>
              <w:rPr>
                <w:color w:val="auto"/>
              </w:rPr>
              <w:t>/a</w:t>
            </w:r>
            <w:r>
              <w:rPr>
                <w:rFonts w:hint="eastAsia"/>
                <w:color w:val="auto"/>
                <w:lang w:eastAsia="zh-CN"/>
              </w:rPr>
              <w:t>、</w:t>
            </w:r>
            <w:r>
              <w:rPr>
                <w:rFonts w:hint="eastAsia"/>
                <w:color w:val="auto"/>
                <w:lang w:val="en-US" w:eastAsia="zh-CN"/>
              </w:rPr>
              <w:t>0.0358kg/h、0.291mg/m³</w:t>
            </w:r>
            <w:r>
              <w:rPr>
                <w:rFonts w:hint="eastAsia"/>
                <w:color w:val="auto"/>
                <w:lang w:eastAsia="zh-CN"/>
              </w:rPr>
              <w:t>；</w:t>
            </w:r>
            <w:r>
              <w:rPr>
                <w:rFonts w:hint="eastAsia"/>
                <w:color w:val="auto"/>
                <w:lang w:val="en-US" w:eastAsia="zh-CN"/>
              </w:rPr>
              <w:t>硫化</w:t>
            </w:r>
            <w:r>
              <w:rPr>
                <w:rFonts w:hint="eastAsia"/>
                <w:b w:val="0"/>
                <w:bCs w:val="0"/>
                <w:color w:val="auto"/>
              </w:rPr>
              <w:t>非甲烷总烃</w:t>
            </w:r>
            <w:r>
              <w:rPr>
                <w:rFonts w:hint="eastAsia"/>
                <w:color w:val="auto"/>
                <w:lang w:val="en-US" w:eastAsia="zh-CN"/>
              </w:rPr>
              <w:t>有组织</w:t>
            </w:r>
            <w:r>
              <w:rPr>
                <w:rFonts w:hint="eastAsia"/>
                <w:color w:val="auto"/>
                <w:lang w:eastAsia="zh-CN"/>
              </w:rPr>
              <w:t>排放量为</w:t>
            </w:r>
            <w:r>
              <w:rPr>
                <w:rFonts w:hint="eastAsia"/>
                <w:color w:val="auto"/>
                <w:lang w:val="en-US" w:eastAsia="zh-CN"/>
              </w:rPr>
              <w:t>0.122t</w:t>
            </w:r>
            <w:r>
              <w:rPr>
                <w:color w:val="auto"/>
              </w:rPr>
              <w:t>/a</w:t>
            </w:r>
            <w:r>
              <w:rPr>
                <w:rFonts w:hint="eastAsia"/>
                <w:color w:val="auto"/>
                <w:lang w:eastAsia="zh-CN"/>
              </w:rPr>
              <w:t>、</w:t>
            </w:r>
            <w:r>
              <w:rPr>
                <w:rFonts w:hint="eastAsia"/>
                <w:color w:val="auto"/>
                <w:lang w:val="en-US" w:eastAsia="zh-CN"/>
              </w:rPr>
              <w:t>0.025kg/h、0.212mg/m³</w:t>
            </w:r>
            <w:r>
              <w:rPr>
                <w:rFonts w:hint="eastAsia"/>
                <w:color w:val="auto"/>
                <w:lang w:eastAsia="zh-CN"/>
              </w:rPr>
              <w:t>；</w:t>
            </w:r>
            <w:r>
              <w:rPr>
                <w:rFonts w:hint="eastAsia"/>
                <w:b w:val="0"/>
                <w:bCs w:val="0"/>
                <w:color w:val="auto"/>
                <w:lang w:val="en-US" w:eastAsia="zh-CN"/>
              </w:rPr>
              <w:t>硫化氢</w:t>
            </w:r>
            <w:r>
              <w:rPr>
                <w:rFonts w:hint="eastAsia"/>
                <w:color w:val="auto"/>
                <w:lang w:val="en-US" w:eastAsia="zh-CN"/>
              </w:rPr>
              <w:t>无组织</w:t>
            </w:r>
            <w:r>
              <w:rPr>
                <w:rFonts w:hint="eastAsia"/>
                <w:color w:val="auto"/>
                <w:lang w:eastAsia="zh-CN"/>
              </w:rPr>
              <w:t>排放量为</w:t>
            </w:r>
            <w:r>
              <w:rPr>
                <w:rFonts w:hint="eastAsia"/>
                <w:color w:val="auto"/>
                <w:lang w:val="en-US" w:eastAsia="zh-CN"/>
              </w:rPr>
              <w:t>0.186t</w:t>
            </w:r>
            <w:r>
              <w:rPr>
                <w:color w:val="auto"/>
              </w:rPr>
              <w:t>/a</w:t>
            </w:r>
            <w:r>
              <w:rPr>
                <w:rFonts w:hint="eastAsia"/>
                <w:color w:val="auto"/>
                <w:lang w:eastAsia="zh-CN"/>
              </w:rPr>
              <w:t>、</w:t>
            </w:r>
            <w:r>
              <w:rPr>
                <w:rFonts w:hint="eastAsia"/>
                <w:color w:val="auto"/>
                <w:lang w:val="en-US" w:eastAsia="zh-CN"/>
              </w:rPr>
              <w:t>0.039kg/h；</w:t>
            </w:r>
            <w:r>
              <w:rPr>
                <w:rFonts w:hint="eastAsia"/>
                <w:b w:val="0"/>
                <w:bCs w:val="0"/>
                <w:color w:val="auto"/>
              </w:rPr>
              <w:t>非甲烷总烃</w:t>
            </w:r>
            <w:r>
              <w:rPr>
                <w:rFonts w:hint="eastAsia"/>
                <w:color w:val="auto"/>
                <w:lang w:val="en-US" w:eastAsia="zh-CN"/>
              </w:rPr>
              <w:t>无组织</w:t>
            </w:r>
            <w:r>
              <w:rPr>
                <w:rFonts w:hint="eastAsia"/>
                <w:color w:val="auto"/>
                <w:lang w:eastAsia="zh-CN"/>
              </w:rPr>
              <w:t>排放量为</w:t>
            </w:r>
            <w:r>
              <w:rPr>
                <w:rFonts w:hint="eastAsia"/>
                <w:color w:val="auto"/>
              </w:rPr>
              <w:t>0.</w:t>
            </w:r>
            <w:r>
              <w:rPr>
                <w:rFonts w:hint="eastAsia"/>
                <w:color w:val="auto"/>
                <w:lang w:val="en-US" w:eastAsia="zh-CN"/>
              </w:rPr>
              <w:t>136t</w:t>
            </w:r>
            <w:r>
              <w:rPr>
                <w:color w:val="auto"/>
              </w:rPr>
              <w:t>/a</w:t>
            </w:r>
            <w:r>
              <w:rPr>
                <w:rFonts w:hint="eastAsia"/>
                <w:color w:val="auto"/>
                <w:lang w:eastAsia="zh-CN"/>
              </w:rPr>
              <w:t>、</w:t>
            </w:r>
            <w:r>
              <w:rPr>
                <w:rFonts w:hint="eastAsia"/>
                <w:color w:val="auto"/>
                <w:lang w:val="en-US" w:eastAsia="zh-CN"/>
              </w:rPr>
              <w:t>0.028kg/h</w:t>
            </w:r>
            <w:r>
              <w:rPr>
                <w:color w:val="auto"/>
              </w:rPr>
              <w:t>。</w:t>
            </w:r>
          </w:p>
          <w:p w14:paraId="7B2C360B">
            <w:pPr>
              <w:bidi w:val="0"/>
              <w:jc w:val="center"/>
              <w:rPr>
                <w:rFonts w:hint="default"/>
                <w:color w:val="auto"/>
                <w:lang w:val="en-US" w:eastAsia="zh-CN"/>
              </w:rPr>
            </w:pPr>
            <w:r>
              <w:rPr>
                <w:rFonts w:hint="eastAsia"/>
                <w:b/>
                <w:bCs/>
                <w:color w:val="auto"/>
              </w:rPr>
              <w:t>表</w:t>
            </w:r>
            <w:r>
              <w:rPr>
                <w:rFonts w:hint="eastAsia"/>
                <w:b/>
                <w:bCs/>
                <w:color w:val="auto"/>
                <w:lang w:val="en-US" w:eastAsia="zh-CN"/>
              </w:rPr>
              <w:t>4-6</w:t>
            </w:r>
            <w:r>
              <w:rPr>
                <w:b/>
                <w:bCs/>
                <w:color w:val="auto"/>
              </w:rPr>
              <w:t xml:space="preserve"> </w:t>
            </w:r>
            <w:r>
              <w:rPr>
                <w:rFonts w:hint="eastAsia" w:cs="Times New Roman"/>
                <w:b/>
                <w:bCs/>
                <w:color w:val="auto"/>
                <w:sz w:val="24"/>
                <w:lang w:val="en-US" w:eastAsia="zh-CN"/>
              </w:rPr>
              <w:t>项目硫化废气</w:t>
            </w:r>
            <w:r>
              <w:rPr>
                <w:rFonts w:hint="eastAsia"/>
                <w:b/>
                <w:bCs/>
                <w:color w:val="auto"/>
              </w:rPr>
              <w:t>产排放情况一览表</w:t>
            </w:r>
          </w:p>
          <w:tbl>
            <w:tblPr>
              <w:tblStyle w:val="23"/>
              <w:tblW w:w="5000" w:type="pct"/>
              <w:tblInd w:w="-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800"/>
              <w:gridCol w:w="1206"/>
              <w:gridCol w:w="1020"/>
              <w:gridCol w:w="1292"/>
              <w:gridCol w:w="840"/>
              <w:gridCol w:w="736"/>
              <w:gridCol w:w="736"/>
              <w:gridCol w:w="1241"/>
              <w:gridCol w:w="1020"/>
              <w:gridCol w:w="1292"/>
              <w:gridCol w:w="1268"/>
              <w:gridCol w:w="1125"/>
              <w:gridCol w:w="1126"/>
            </w:tblGrid>
            <w:tr w14:paraId="4F494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1" w:type="dxa"/>
                  <w:vMerge w:val="restart"/>
                  <w:vAlign w:val="center"/>
                </w:tcPr>
                <w:p w14:paraId="1EFBD527">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污染源</w:t>
                  </w:r>
                </w:p>
              </w:tc>
              <w:tc>
                <w:tcPr>
                  <w:tcW w:w="800" w:type="dxa"/>
                  <w:vMerge w:val="restart"/>
                  <w:vAlign w:val="center"/>
                </w:tcPr>
                <w:p w14:paraId="53277B11">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污染物</w:t>
                  </w:r>
                </w:p>
              </w:tc>
              <w:tc>
                <w:tcPr>
                  <w:tcW w:w="3518" w:type="dxa"/>
                  <w:gridSpan w:val="3"/>
                  <w:vAlign w:val="center"/>
                </w:tcPr>
                <w:p w14:paraId="1F3CB434">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产生情况</w:t>
                  </w:r>
                </w:p>
              </w:tc>
              <w:tc>
                <w:tcPr>
                  <w:tcW w:w="840" w:type="dxa"/>
                  <w:vMerge w:val="restart"/>
                  <w:vAlign w:val="center"/>
                </w:tcPr>
                <w:p w14:paraId="1E6E276B">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污染防治措施</w:t>
                  </w:r>
                </w:p>
              </w:tc>
              <w:tc>
                <w:tcPr>
                  <w:tcW w:w="736" w:type="dxa"/>
                  <w:vMerge w:val="restart"/>
                  <w:vAlign w:val="center"/>
                </w:tcPr>
                <w:p w14:paraId="11F629E7">
                  <w:pPr>
                    <w:spacing w:line="240" w:lineRule="auto"/>
                    <w:jc w:val="center"/>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收集效率</w:t>
                  </w:r>
                  <w:r>
                    <w:rPr>
                      <w:rFonts w:ascii="Times New Roman" w:hAnsi="Times New Roman" w:cs="Times New Roman" w:eastAsiaTheme="minorEastAsia"/>
                      <w:b/>
                      <w:bCs/>
                      <w:color w:val="auto"/>
                      <w:sz w:val="21"/>
                      <w:szCs w:val="21"/>
                    </w:rPr>
                    <w:t>/%</w:t>
                  </w:r>
                </w:p>
              </w:tc>
              <w:tc>
                <w:tcPr>
                  <w:tcW w:w="736" w:type="dxa"/>
                  <w:vMerge w:val="restart"/>
                  <w:vAlign w:val="center"/>
                </w:tcPr>
                <w:p w14:paraId="5D7A3CE3">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处理</w:t>
                  </w:r>
                </w:p>
                <w:p w14:paraId="7BAB98CD">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效率/%</w:t>
                  </w:r>
                </w:p>
              </w:tc>
              <w:tc>
                <w:tcPr>
                  <w:tcW w:w="3553" w:type="dxa"/>
                  <w:gridSpan w:val="3"/>
                  <w:vAlign w:val="center"/>
                </w:tcPr>
                <w:p w14:paraId="7206DDE6">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排放情况</w:t>
                  </w:r>
                </w:p>
              </w:tc>
              <w:tc>
                <w:tcPr>
                  <w:tcW w:w="1268" w:type="dxa"/>
                  <w:vMerge w:val="restart"/>
                  <w:vAlign w:val="center"/>
                </w:tcPr>
                <w:p w14:paraId="79DA0282">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排气筒编号</w:t>
                  </w:r>
                </w:p>
              </w:tc>
              <w:tc>
                <w:tcPr>
                  <w:tcW w:w="1125" w:type="dxa"/>
                  <w:vMerge w:val="restart"/>
                  <w:vAlign w:val="center"/>
                </w:tcPr>
                <w:p w14:paraId="1971E753">
                  <w:pPr>
                    <w:spacing w:line="240" w:lineRule="auto"/>
                    <w:jc w:val="center"/>
                    <w:rPr>
                      <w:rFonts w:hint="eastAsia" w:ascii="Times New Roman" w:hAnsi="Times New Roman" w:cs="Times New Roman" w:eastAsiaTheme="minorEastAsia"/>
                      <w:b/>
                      <w:bCs/>
                      <w:color w:val="auto"/>
                      <w:sz w:val="21"/>
                      <w:szCs w:val="21"/>
                      <w:lang w:eastAsia="zh-CN"/>
                    </w:rPr>
                  </w:pPr>
                  <w:r>
                    <w:rPr>
                      <w:rFonts w:hint="eastAsia" w:ascii="Times New Roman" w:hAnsi="Times New Roman" w:cs="Times New Roman" w:eastAsiaTheme="minorEastAsia"/>
                      <w:b/>
                      <w:bCs/>
                      <w:color w:val="auto"/>
                      <w:sz w:val="21"/>
                      <w:szCs w:val="21"/>
                      <w:lang w:eastAsia="zh-CN"/>
                    </w:rPr>
                    <w:t>排放时间</w:t>
                  </w:r>
                </w:p>
              </w:tc>
              <w:tc>
                <w:tcPr>
                  <w:tcW w:w="1126" w:type="dxa"/>
                  <w:vMerge w:val="restart"/>
                  <w:vAlign w:val="center"/>
                </w:tcPr>
                <w:p w14:paraId="44264B4D">
                  <w:pPr>
                    <w:spacing w:line="240" w:lineRule="auto"/>
                    <w:jc w:val="center"/>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风量</w:t>
                  </w:r>
                  <w:r>
                    <w:rPr>
                      <w:rFonts w:ascii="Times New Roman" w:hAnsi="Times New Roman" w:cs="Times New Roman" w:eastAsiaTheme="minorEastAsia"/>
                      <w:b/>
                      <w:bCs/>
                      <w:color w:val="auto"/>
                      <w:sz w:val="21"/>
                      <w:szCs w:val="21"/>
                    </w:rPr>
                    <w:t>/m³/</w:t>
                  </w:r>
                  <w:r>
                    <w:rPr>
                      <w:rFonts w:hint="eastAsia" w:ascii="Times New Roman" w:hAnsi="Times New Roman" w:cs="Times New Roman" w:eastAsiaTheme="minorEastAsia"/>
                      <w:b/>
                      <w:bCs/>
                      <w:color w:val="auto"/>
                      <w:sz w:val="21"/>
                      <w:szCs w:val="21"/>
                      <w:lang w:val="en-US" w:eastAsia="zh-CN"/>
                    </w:rPr>
                    <w:t>h</w:t>
                  </w:r>
                </w:p>
              </w:tc>
            </w:tr>
            <w:tr w14:paraId="65AD0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1" w:type="dxa"/>
                  <w:vMerge w:val="continue"/>
                  <w:vAlign w:val="center"/>
                </w:tcPr>
                <w:p w14:paraId="17F283DC">
                  <w:pPr>
                    <w:spacing w:line="240" w:lineRule="auto"/>
                    <w:jc w:val="center"/>
                    <w:rPr>
                      <w:rFonts w:ascii="Times New Roman" w:hAnsi="Times New Roman" w:cs="Times New Roman" w:eastAsiaTheme="minorEastAsia"/>
                      <w:b/>
                      <w:bCs/>
                      <w:color w:val="auto"/>
                      <w:sz w:val="21"/>
                      <w:szCs w:val="21"/>
                    </w:rPr>
                  </w:pPr>
                </w:p>
              </w:tc>
              <w:tc>
                <w:tcPr>
                  <w:tcW w:w="800" w:type="dxa"/>
                  <w:vMerge w:val="continue"/>
                  <w:vAlign w:val="center"/>
                </w:tcPr>
                <w:p w14:paraId="76F6A1C7">
                  <w:pPr>
                    <w:spacing w:line="240" w:lineRule="auto"/>
                    <w:jc w:val="center"/>
                    <w:rPr>
                      <w:rFonts w:ascii="Times New Roman" w:hAnsi="Times New Roman" w:cs="Times New Roman" w:eastAsiaTheme="minorEastAsia"/>
                      <w:b/>
                      <w:bCs/>
                      <w:color w:val="auto"/>
                      <w:sz w:val="21"/>
                      <w:szCs w:val="21"/>
                    </w:rPr>
                  </w:pPr>
                </w:p>
              </w:tc>
              <w:tc>
                <w:tcPr>
                  <w:tcW w:w="1206" w:type="dxa"/>
                  <w:vAlign w:val="center"/>
                </w:tcPr>
                <w:p w14:paraId="5145663B">
                  <w:pPr>
                    <w:spacing w:line="240" w:lineRule="auto"/>
                    <w:ind w:firstLine="0" w:firstLineChars="0"/>
                    <w:jc w:val="center"/>
                    <w:rPr>
                      <w:rFonts w:ascii="Times New Roman" w:hAnsi="Times New Roman" w:cs="Times New Roman" w:eastAsiaTheme="minorEastAsia"/>
                      <w:b/>
                      <w:bCs/>
                      <w:color w:val="auto"/>
                      <w:kern w:val="2"/>
                      <w:sz w:val="21"/>
                      <w:szCs w:val="21"/>
                      <w:lang w:val="en-US" w:eastAsia="zh-CN" w:bidi="ar-SA"/>
                    </w:rPr>
                  </w:pPr>
                  <w:r>
                    <w:rPr>
                      <w:rFonts w:ascii="Times New Roman" w:hAnsi="Times New Roman" w:cs="Times New Roman" w:eastAsiaTheme="minorEastAsia"/>
                      <w:b/>
                      <w:bCs/>
                      <w:color w:val="auto"/>
                      <w:sz w:val="21"/>
                      <w:szCs w:val="21"/>
                    </w:rPr>
                    <w:t>产生量/t/a</w:t>
                  </w:r>
                </w:p>
              </w:tc>
              <w:tc>
                <w:tcPr>
                  <w:tcW w:w="1020" w:type="dxa"/>
                  <w:vAlign w:val="center"/>
                </w:tcPr>
                <w:p w14:paraId="6870AB31">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产生</w:t>
                  </w:r>
                </w:p>
                <w:p w14:paraId="68A52447">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速率/kg/h</w:t>
                  </w:r>
                </w:p>
              </w:tc>
              <w:tc>
                <w:tcPr>
                  <w:tcW w:w="1292" w:type="dxa"/>
                  <w:vAlign w:val="center"/>
                </w:tcPr>
                <w:p w14:paraId="08C06978">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产生</w:t>
                  </w:r>
                </w:p>
                <w:p w14:paraId="4F2FF462">
                  <w:pPr>
                    <w:spacing w:line="240" w:lineRule="auto"/>
                    <w:ind w:firstLine="0" w:firstLineChars="0"/>
                    <w:jc w:val="center"/>
                    <w:rPr>
                      <w:rFonts w:ascii="Times New Roman" w:hAnsi="Times New Roman" w:cs="Times New Roman" w:eastAsiaTheme="minorEastAsia"/>
                      <w:b/>
                      <w:bCs/>
                      <w:color w:val="auto"/>
                      <w:kern w:val="2"/>
                      <w:sz w:val="21"/>
                      <w:szCs w:val="21"/>
                      <w:lang w:val="en-US" w:eastAsia="zh-CN" w:bidi="ar-SA"/>
                    </w:rPr>
                  </w:pPr>
                  <w:r>
                    <w:rPr>
                      <w:rFonts w:ascii="Times New Roman" w:hAnsi="Times New Roman" w:cs="Times New Roman" w:eastAsiaTheme="minorEastAsia"/>
                      <w:b/>
                      <w:bCs/>
                      <w:color w:val="auto"/>
                      <w:sz w:val="21"/>
                      <w:szCs w:val="21"/>
                    </w:rPr>
                    <w:t>浓度/mg/m³</w:t>
                  </w:r>
                </w:p>
              </w:tc>
              <w:tc>
                <w:tcPr>
                  <w:tcW w:w="840" w:type="dxa"/>
                  <w:vMerge w:val="continue"/>
                  <w:vAlign w:val="center"/>
                </w:tcPr>
                <w:p w14:paraId="1C940B9A">
                  <w:pPr>
                    <w:spacing w:line="240" w:lineRule="auto"/>
                    <w:jc w:val="center"/>
                    <w:rPr>
                      <w:rFonts w:ascii="Times New Roman" w:hAnsi="Times New Roman" w:cs="Times New Roman" w:eastAsiaTheme="minorEastAsia"/>
                      <w:b/>
                      <w:bCs/>
                      <w:color w:val="auto"/>
                      <w:sz w:val="21"/>
                      <w:szCs w:val="21"/>
                    </w:rPr>
                  </w:pPr>
                </w:p>
              </w:tc>
              <w:tc>
                <w:tcPr>
                  <w:tcW w:w="736" w:type="dxa"/>
                  <w:vMerge w:val="continue"/>
                  <w:vAlign w:val="center"/>
                </w:tcPr>
                <w:p w14:paraId="1CD66B8B">
                  <w:pPr>
                    <w:spacing w:line="240" w:lineRule="auto"/>
                    <w:jc w:val="center"/>
                    <w:rPr>
                      <w:rFonts w:ascii="Times New Roman" w:hAnsi="Times New Roman" w:cs="Times New Roman" w:eastAsiaTheme="minorEastAsia"/>
                      <w:b/>
                      <w:bCs/>
                      <w:color w:val="auto"/>
                      <w:sz w:val="21"/>
                      <w:szCs w:val="21"/>
                    </w:rPr>
                  </w:pPr>
                </w:p>
              </w:tc>
              <w:tc>
                <w:tcPr>
                  <w:tcW w:w="736" w:type="dxa"/>
                  <w:vMerge w:val="continue"/>
                  <w:vAlign w:val="center"/>
                </w:tcPr>
                <w:p w14:paraId="6F1F92F0">
                  <w:pPr>
                    <w:spacing w:line="240" w:lineRule="auto"/>
                    <w:jc w:val="center"/>
                    <w:rPr>
                      <w:rFonts w:ascii="Times New Roman" w:hAnsi="Times New Roman" w:cs="Times New Roman" w:eastAsiaTheme="minorEastAsia"/>
                      <w:b/>
                      <w:bCs/>
                      <w:color w:val="auto"/>
                      <w:sz w:val="21"/>
                      <w:szCs w:val="21"/>
                    </w:rPr>
                  </w:pPr>
                </w:p>
              </w:tc>
              <w:tc>
                <w:tcPr>
                  <w:tcW w:w="1241" w:type="dxa"/>
                  <w:vAlign w:val="center"/>
                </w:tcPr>
                <w:p w14:paraId="689EEBAF">
                  <w:pPr>
                    <w:spacing w:line="240" w:lineRule="auto"/>
                    <w:ind w:firstLine="0" w:firstLineChars="0"/>
                    <w:jc w:val="center"/>
                    <w:rPr>
                      <w:rFonts w:ascii="Times New Roman" w:hAnsi="Times New Roman" w:cs="Times New Roman" w:eastAsiaTheme="minorEastAsia"/>
                      <w:b/>
                      <w:bCs/>
                      <w:color w:val="auto"/>
                      <w:kern w:val="2"/>
                      <w:sz w:val="21"/>
                      <w:szCs w:val="21"/>
                      <w:lang w:val="en-US" w:eastAsia="zh-CN" w:bidi="ar-SA"/>
                    </w:rPr>
                  </w:pPr>
                  <w:r>
                    <w:rPr>
                      <w:rFonts w:ascii="Times New Roman" w:hAnsi="Times New Roman" w:cs="Times New Roman" w:eastAsiaTheme="minorEastAsia"/>
                      <w:b/>
                      <w:bCs/>
                      <w:color w:val="auto"/>
                      <w:sz w:val="21"/>
                      <w:szCs w:val="21"/>
                    </w:rPr>
                    <w:t>排放量/t/a</w:t>
                  </w:r>
                </w:p>
              </w:tc>
              <w:tc>
                <w:tcPr>
                  <w:tcW w:w="1020" w:type="dxa"/>
                  <w:vAlign w:val="center"/>
                </w:tcPr>
                <w:p w14:paraId="3A1DDB66">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排放速率/kg/h</w:t>
                  </w:r>
                </w:p>
              </w:tc>
              <w:tc>
                <w:tcPr>
                  <w:tcW w:w="1292" w:type="dxa"/>
                  <w:vAlign w:val="center"/>
                </w:tcPr>
                <w:p w14:paraId="4D467928">
                  <w:pPr>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排放</w:t>
                  </w:r>
                </w:p>
                <w:p w14:paraId="35E8043D">
                  <w:pPr>
                    <w:spacing w:line="240" w:lineRule="auto"/>
                    <w:ind w:firstLine="0" w:firstLineChars="0"/>
                    <w:jc w:val="center"/>
                    <w:rPr>
                      <w:rFonts w:ascii="Times New Roman" w:hAnsi="Times New Roman" w:cs="Times New Roman" w:eastAsiaTheme="minorEastAsia"/>
                      <w:b/>
                      <w:bCs/>
                      <w:color w:val="auto"/>
                      <w:kern w:val="2"/>
                      <w:sz w:val="21"/>
                      <w:szCs w:val="21"/>
                      <w:lang w:val="en-US" w:eastAsia="zh-CN" w:bidi="ar-SA"/>
                    </w:rPr>
                  </w:pPr>
                  <w:r>
                    <w:rPr>
                      <w:rFonts w:ascii="Times New Roman" w:hAnsi="Times New Roman" w:cs="Times New Roman" w:eastAsiaTheme="minorEastAsia"/>
                      <w:b/>
                      <w:bCs/>
                      <w:color w:val="auto"/>
                      <w:sz w:val="21"/>
                      <w:szCs w:val="21"/>
                    </w:rPr>
                    <w:t>浓度/mg/m³</w:t>
                  </w:r>
                </w:p>
              </w:tc>
              <w:tc>
                <w:tcPr>
                  <w:tcW w:w="1268" w:type="dxa"/>
                  <w:vMerge w:val="continue"/>
                  <w:vAlign w:val="center"/>
                </w:tcPr>
                <w:p w14:paraId="790F4A2B">
                  <w:pPr>
                    <w:spacing w:line="240" w:lineRule="auto"/>
                    <w:jc w:val="center"/>
                    <w:rPr>
                      <w:rFonts w:ascii="Times New Roman" w:hAnsi="Times New Roman" w:cs="Times New Roman" w:eastAsiaTheme="minorEastAsia"/>
                      <w:color w:val="auto"/>
                      <w:sz w:val="21"/>
                      <w:szCs w:val="21"/>
                    </w:rPr>
                  </w:pPr>
                </w:p>
              </w:tc>
              <w:tc>
                <w:tcPr>
                  <w:tcW w:w="1125" w:type="dxa"/>
                  <w:vMerge w:val="continue"/>
                  <w:vAlign w:val="center"/>
                </w:tcPr>
                <w:p w14:paraId="43BECF78">
                  <w:pPr>
                    <w:spacing w:line="240" w:lineRule="auto"/>
                    <w:jc w:val="center"/>
                    <w:rPr>
                      <w:rFonts w:ascii="Times New Roman" w:hAnsi="Times New Roman" w:cs="Times New Roman" w:eastAsiaTheme="minorEastAsia"/>
                      <w:color w:val="auto"/>
                      <w:sz w:val="21"/>
                      <w:szCs w:val="21"/>
                    </w:rPr>
                  </w:pPr>
                </w:p>
              </w:tc>
              <w:tc>
                <w:tcPr>
                  <w:tcW w:w="1126" w:type="dxa"/>
                  <w:vMerge w:val="continue"/>
                  <w:vAlign w:val="center"/>
                </w:tcPr>
                <w:p w14:paraId="1035F4AA">
                  <w:pPr>
                    <w:spacing w:line="240" w:lineRule="auto"/>
                    <w:jc w:val="center"/>
                    <w:rPr>
                      <w:rFonts w:ascii="Times New Roman" w:hAnsi="Times New Roman" w:cs="Times New Roman" w:eastAsiaTheme="minorEastAsia"/>
                      <w:color w:val="auto"/>
                      <w:sz w:val="21"/>
                      <w:szCs w:val="21"/>
                    </w:rPr>
                  </w:pPr>
                </w:p>
              </w:tc>
            </w:tr>
            <w:tr w14:paraId="4BFF8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1" w:type="dxa"/>
                  <w:vMerge w:val="restart"/>
                  <w:vAlign w:val="center"/>
                </w:tcPr>
                <w:p w14:paraId="7D82E509">
                  <w:pPr>
                    <w:spacing w:line="240" w:lineRule="auto"/>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涂胶</w:t>
                  </w:r>
                </w:p>
              </w:tc>
              <w:tc>
                <w:tcPr>
                  <w:tcW w:w="800" w:type="dxa"/>
                  <w:vAlign w:val="center"/>
                </w:tcPr>
                <w:p w14:paraId="77469284">
                  <w:pPr>
                    <w:spacing w:line="240" w:lineRule="auto"/>
                    <w:jc w:val="center"/>
                    <w:rPr>
                      <w:rFonts w:ascii="Times New Roman" w:hAnsi="Times New Roman" w:cs="Times New Roman" w:eastAsiaTheme="minorEastAsia"/>
                      <w:b w:val="0"/>
                      <w:bCs w:val="0"/>
                      <w:color w:val="auto"/>
                      <w:sz w:val="21"/>
                      <w:szCs w:val="21"/>
                    </w:rPr>
                  </w:pPr>
                  <w:r>
                    <w:rPr>
                      <w:rFonts w:hint="eastAsia" w:cs="Times New Roman" w:eastAsiaTheme="minorEastAsia"/>
                      <w:color w:val="auto"/>
                      <w:sz w:val="21"/>
                      <w:szCs w:val="21"/>
                      <w:lang w:val="en-US" w:eastAsia="zh-CN"/>
                    </w:rPr>
                    <w:t>非甲烷总烃</w:t>
                  </w:r>
                </w:p>
              </w:tc>
              <w:tc>
                <w:tcPr>
                  <w:tcW w:w="1206" w:type="dxa"/>
                  <w:vAlign w:val="center"/>
                </w:tcPr>
                <w:p w14:paraId="1D0EF5E0">
                  <w:pPr>
                    <w:spacing w:line="240" w:lineRule="auto"/>
                    <w:ind w:firstLine="0" w:firstLineChars="0"/>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2.66</w:t>
                  </w:r>
                </w:p>
              </w:tc>
              <w:tc>
                <w:tcPr>
                  <w:tcW w:w="1020" w:type="dxa"/>
                  <w:shd w:val="clear" w:color="auto" w:fill="auto"/>
                  <w:vAlign w:val="center"/>
                </w:tcPr>
                <w:p w14:paraId="06C70D6D">
                  <w:pPr>
                    <w:spacing w:line="240" w:lineRule="auto"/>
                    <w:ind w:firstLine="0" w:firstLineChars="0"/>
                    <w:jc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 xml:space="preserve">2.217 </w:t>
                  </w:r>
                </w:p>
              </w:tc>
              <w:tc>
                <w:tcPr>
                  <w:tcW w:w="1292" w:type="dxa"/>
                  <w:shd w:val="clear" w:color="auto" w:fill="auto"/>
                  <w:vAlign w:val="center"/>
                </w:tcPr>
                <w:p w14:paraId="7ADBF411">
                  <w:pPr>
                    <w:spacing w:line="240" w:lineRule="auto"/>
                    <w:ind w:firstLine="0" w:firstLineChars="0"/>
                    <w:jc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 xml:space="preserve">307.870 </w:t>
                  </w:r>
                </w:p>
              </w:tc>
              <w:tc>
                <w:tcPr>
                  <w:tcW w:w="840" w:type="dxa"/>
                  <w:vMerge w:val="restart"/>
                  <w:vAlign w:val="center"/>
                </w:tcPr>
                <w:p w14:paraId="1AACAAC5">
                  <w:pPr>
                    <w:spacing w:line="240" w:lineRule="auto"/>
                    <w:ind w:firstLine="0" w:firstLineChars="0"/>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二级活性炭吸附装置</w:t>
                  </w:r>
                </w:p>
              </w:tc>
              <w:tc>
                <w:tcPr>
                  <w:tcW w:w="736" w:type="dxa"/>
                  <w:vMerge w:val="restart"/>
                  <w:vAlign w:val="center"/>
                </w:tcPr>
                <w:p w14:paraId="13C470D7">
                  <w:pPr>
                    <w:spacing w:line="240" w:lineRule="auto"/>
                    <w:ind w:firstLine="0" w:firstLineChars="0"/>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95</w:t>
                  </w:r>
                </w:p>
              </w:tc>
              <w:tc>
                <w:tcPr>
                  <w:tcW w:w="736" w:type="dxa"/>
                  <w:vMerge w:val="restart"/>
                  <w:vAlign w:val="center"/>
                </w:tcPr>
                <w:p w14:paraId="0BAB3F19">
                  <w:pPr>
                    <w:spacing w:line="240" w:lineRule="auto"/>
                    <w:ind w:firstLine="0" w:firstLineChars="0"/>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90</w:t>
                  </w:r>
                </w:p>
              </w:tc>
              <w:tc>
                <w:tcPr>
                  <w:tcW w:w="1241" w:type="dxa"/>
                  <w:shd w:val="clear" w:color="auto" w:fill="auto"/>
                  <w:vAlign w:val="center"/>
                </w:tcPr>
                <w:p w14:paraId="68E37D00">
                  <w:pPr>
                    <w:spacing w:line="240" w:lineRule="auto"/>
                    <w:ind w:firstLine="0" w:firstLineChars="0"/>
                    <w:jc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 xml:space="preserve">0.253 </w:t>
                  </w:r>
                </w:p>
              </w:tc>
              <w:tc>
                <w:tcPr>
                  <w:tcW w:w="1020" w:type="dxa"/>
                  <w:shd w:val="clear" w:color="auto" w:fill="auto"/>
                  <w:vAlign w:val="center"/>
                </w:tcPr>
                <w:p w14:paraId="469AAA93">
                  <w:pPr>
                    <w:spacing w:line="240" w:lineRule="auto"/>
                    <w:ind w:firstLine="0" w:firstLineChars="0"/>
                    <w:jc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 xml:space="preserve">0.211 </w:t>
                  </w:r>
                </w:p>
              </w:tc>
              <w:tc>
                <w:tcPr>
                  <w:tcW w:w="1292" w:type="dxa"/>
                  <w:shd w:val="clear" w:color="auto" w:fill="auto"/>
                  <w:vAlign w:val="center"/>
                </w:tcPr>
                <w:p w14:paraId="77A36D7E">
                  <w:pPr>
                    <w:spacing w:line="240" w:lineRule="auto"/>
                    <w:ind w:firstLine="0" w:firstLineChars="0"/>
                    <w:jc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 xml:space="preserve">29.248 </w:t>
                  </w:r>
                </w:p>
              </w:tc>
              <w:tc>
                <w:tcPr>
                  <w:tcW w:w="1268" w:type="dxa"/>
                  <w:vMerge w:val="restart"/>
                  <w:vAlign w:val="center"/>
                </w:tcPr>
                <w:p w14:paraId="4816363A">
                  <w:pPr>
                    <w:keepNext w:val="0"/>
                    <w:keepLines w:val="0"/>
                    <w:widowControl/>
                    <w:suppressLineNumbers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i w:val="0"/>
                      <w:iCs w:val="0"/>
                      <w:color w:val="auto"/>
                      <w:kern w:val="0"/>
                      <w:sz w:val="21"/>
                      <w:szCs w:val="21"/>
                      <w:u w:val="none"/>
                      <w:lang w:val="en-US" w:eastAsia="zh-CN" w:bidi="ar"/>
                    </w:rPr>
                    <w:t>DA00</w:t>
                  </w:r>
                  <w:r>
                    <w:rPr>
                      <w:rFonts w:hint="eastAsia" w:cs="Times New Roman"/>
                      <w:i w:val="0"/>
                      <w:iCs w:val="0"/>
                      <w:color w:val="auto"/>
                      <w:kern w:val="0"/>
                      <w:sz w:val="21"/>
                      <w:szCs w:val="21"/>
                      <w:u w:val="none"/>
                      <w:lang w:val="en-US" w:eastAsia="zh-CN" w:bidi="ar"/>
                    </w:rPr>
                    <w:t>3</w:t>
                  </w:r>
                </w:p>
              </w:tc>
              <w:tc>
                <w:tcPr>
                  <w:tcW w:w="1125" w:type="dxa"/>
                  <w:vMerge w:val="restart"/>
                  <w:vAlign w:val="center"/>
                </w:tcPr>
                <w:p w14:paraId="3D42157C">
                  <w:pPr>
                    <w:spacing w:line="240" w:lineRule="auto"/>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1200</w:t>
                  </w:r>
                  <w:r>
                    <w:rPr>
                      <w:rFonts w:hint="eastAsia" w:ascii="Times New Roman" w:hAnsi="Times New Roman" w:cs="Times New Roman"/>
                      <w:i w:val="0"/>
                      <w:iCs w:val="0"/>
                      <w:color w:val="auto"/>
                      <w:kern w:val="0"/>
                      <w:sz w:val="21"/>
                      <w:szCs w:val="21"/>
                      <w:u w:val="none"/>
                      <w:lang w:val="en-US" w:eastAsia="zh-CN" w:bidi="ar"/>
                    </w:rPr>
                    <w:t>h</w:t>
                  </w:r>
                </w:p>
              </w:tc>
              <w:tc>
                <w:tcPr>
                  <w:tcW w:w="1126" w:type="dxa"/>
                  <w:vMerge w:val="restart"/>
                  <w:vAlign w:val="center"/>
                </w:tcPr>
                <w:p w14:paraId="5749619A">
                  <w:pPr>
                    <w:spacing w:line="240" w:lineRule="auto"/>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7200</w:t>
                  </w:r>
                </w:p>
              </w:tc>
            </w:tr>
            <w:tr w14:paraId="62547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1" w:type="dxa"/>
                  <w:vMerge w:val="continue"/>
                  <w:tcBorders/>
                  <w:vAlign w:val="center"/>
                </w:tcPr>
                <w:p w14:paraId="5DBB478D">
                  <w:pPr>
                    <w:spacing w:line="240" w:lineRule="auto"/>
                    <w:jc w:val="center"/>
                    <w:rPr>
                      <w:rFonts w:hint="eastAsia" w:ascii="Times New Roman" w:hAnsi="Times New Roman" w:cs="Times New Roman" w:eastAsiaTheme="minorEastAsia"/>
                      <w:b w:val="0"/>
                      <w:bCs w:val="0"/>
                      <w:color w:val="auto"/>
                      <w:sz w:val="21"/>
                      <w:szCs w:val="21"/>
                      <w:lang w:val="en-US" w:eastAsia="zh-CN"/>
                    </w:rPr>
                  </w:pPr>
                </w:p>
              </w:tc>
              <w:tc>
                <w:tcPr>
                  <w:tcW w:w="800" w:type="dxa"/>
                  <w:vAlign w:val="center"/>
                </w:tcPr>
                <w:p w14:paraId="13A74A26">
                  <w:pPr>
                    <w:spacing w:line="240" w:lineRule="auto"/>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二甲苯</w:t>
                  </w:r>
                </w:p>
              </w:tc>
              <w:tc>
                <w:tcPr>
                  <w:tcW w:w="1206" w:type="dxa"/>
                  <w:vAlign w:val="center"/>
                </w:tcPr>
                <w:p w14:paraId="7D6FB598">
                  <w:pPr>
                    <w:spacing w:line="240" w:lineRule="auto"/>
                    <w:ind w:firstLine="0" w:firstLineChars="0"/>
                    <w:jc w:val="center"/>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0.45</w:t>
                  </w:r>
                </w:p>
              </w:tc>
              <w:tc>
                <w:tcPr>
                  <w:tcW w:w="1020" w:type="dxa"/>
                  <w:shd w:val="clear" w:color="auto" w:fill="auto"/>
                  <w:vAlign w:val="center"/>
                </w:tcPr>
                <w:p w14:paraId="45BF7039">
                  <w:pPr>
                    <w:spacing w:line="240" w:lineRule="auto"/>
                    <w:ind w:firstLine="0" w:firstLineChars="0"/>
                    <w:jc w:val="center"/>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0.375</w:t>
                  </w:r>
                </w:p>
              </w:tc>
              <w:tc>
                <w:tcPr>
                  <w:tcW w:w="1292" w:type="dxa"/>
                  <w:shd w:val="clear" w:color="auto" w:fill="auto"/>
                  <w:vAlign w:val="center"/>
                </w:tcPr>
                <w:p w14:paraId="2D972E3A">
                  <w:pPr>
                    <w:spacing w:line="240" w:lineRule="auto"/>
                    <w:ind w:firstLine="0" w:firstLineChars="0"/>
                    <w:jc w:val="center"/>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52.08</w:t>
                  </w:r>
                </w:p>
              </w:tc>
              <w:tc>
                <w:tcPr>
                  <w:tcW w:w="840" w:type="dxa"/>
                  <w:vMerge w:val="continue"/>
                  <w:vAlign w:val="center"/>
                </w:tcPr>
                <w:p w14:paraId="0FC4288B">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p>
              </w:tc>
              <w:tc>
                <w:tcPr>
                  <w:tcW w:w="736" w:type="dxa"/>
                  <w:vMerge w:val="continue"/>
                  <w:tcBorders/>
                  <w:vAlign w:val="center"/>
                </w:tcPr>
                <w:p w14:paraId="3BA53311">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p>
              </w:tc>
              <w:tc>
                <w:tcPr>
                  <w:tcW w:w="736" w:type="dxa"/>
                  <w:vMerge w:val="continue"/>
                  <w:tcBorders/>
                  <w:vAlign w:val="center"/>
                </w:tcPr>
                <w:p w14:paraId="0563E4BF">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p>
              </w:tc>
              <w:tc>
                <w:tcPr>
                  <w:tcW w:w="1241" w:type="dxa"/>
                  <w:shd w:val="clear" w:color="auto" w:fill="auto"/>
                  <w:vAlign w:val="center"/>
                </w:tcPr>
                <w:p w14:paraId="6E21CBF6">
                  <w:pPr>
                    <w:spacing w:line="240" w:lineRule="auto"/>
                    <w:ind w:firstLine="0" w:firstLineChars="0"/>
                    <w:jc w:val="center"/>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0.043</w:t>
                  </w:r>
                </w:p>
              </w:tc>
              <w:tc>
                <w:tcPr>
                  <w:tcW w:w="1020" w:type="dxa"/>
                  <w:shd w:val="clear" w:color="auto" w:fill="auto"/>
                  <w:vAlign w:val="center"/>
                </w:tcPr>
                <w:p w14:paraId="4136B5D3">
                  <w:pPr>
                    <w:spacing w:line="240" w:lineRule="auto"/>
                    <w:ind w:firstLine="0" w:firstLineChars="0"/>
                    <w:jc w:val="center"/>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0.036</w:t>
                  </w:r>
                </w:p>
              </w:tc>
              <w:tc>
                <w:tcPr>
                  <w:tcW w:w="1292" w:type="dxa"/>
                  <w:shd w:val="clear" w:color="auto" w:fill="auto"/>
                  <w:vAlign w:val="center"/>
                </w:tcPr>
                <w:p w14:paraId="669341EC">
                  <w:pPr>
                    <w:spacing w:line="240" w:lineRule="auto"/>
                    <w:ind w:firstLine="0" w:firstLineChars="0"/>
                    <w:jc w:val="center"/>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4.95</w:t>
                  </w:r>
                </w:p>
              </w:tc>
              <w:tc>
                <w:tcPr>
                  <w:tcW w:w="1268" w:type="dxa"/>
                  <w:vMerge w:val="continue"/>
                  <w:vAlign w:val="center"/>
                </w:tcPr>
                <w:p w14:paraId="07071DFC">
                  <w:pPr>
                    <w:keepNext w:val="0"/>
                    <w:keepLines w:val="0"/>
                    <w:widowControl/>
                    <w:suppressLineNumbers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1125" w:type="dxa"/>
                  <w:vMerge w:val="continue"/>
                  <w:tcBorders/>
                  <w:vAlign w:val="center"/>
                </w:tcPr>
                <w:p w14:paraId="3A9A2B84">
                  <w:pPr>
                    <w:spacing w:line="240" w:lineRule="auto"/>
                    <w:jc w:val="center"/>
                    <w:rPr>
                      <w:rFonts w:hint="eastAsia" w:ascii="Times New Roman" w:hAnsi="Times New Roman" w:cs="Times New Roman" w:eastAsiaTheme="minorEastAsia"/>
                      <w:b w:val="0"/>
                      <w:bCs w:val="0"/>
                      <w:color w:val="auto"/>
                      <w:sz w:val="21"/>
                      <w:szCs w:val="21"/>
                      <w:lang w:val="en-US" w:eastAsia="zh-CN"/>
                    </w:rPr>
                  </w:pPr>
                </w:p>
              </w:tc>
              <w:tc>
                <w:tcPr>
                  <w:tcW w:w="1126" w:type="dxa"/>
                  <w:vMerge w:val="continue"/>
                  <w:tcBorders/>
                  <w:vAlign w:val="center"/>
                </w:tcPr>
                <w:p w14:paraId="0B155AE2">
                  <w:pPr>
                    <w:spacing w:line="240" w:lineRule="auto"/>
                    <w:jc w:val="center"/>
                    <w:rPr>
                      <w:rFonts w:hint="eastAsia" w:ascii="Times New Roman" w:hAnsi="Times New Roman" w:cs="Times New Roman" w:eastAsiaTheme="minorEastAsia"/>
                      <w:b w:val="0"/>
                      <w:bCs w:val="0"/>
                      <w:color w:val="auto"/>
                      <w:sz w:val="21"/>
                      <w:szCs w:val="21"/>
                      <w:lang w:val="en-US" w:eastAsia="zh-CN"/>
                    </w:rPr>
                  </w:pPr>
                </w:p>
              </w:tc>
            </w:tr>
            <w:tr w14:paraId="0D3E2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1" w:type="dxa"/>
                  <w:vMerge w:val="restart"/>
                  <w:vAlign w:val="center"/>
                </w:tcPr>
                <w:p w14:paraId="18CA5024">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硫化</w:t>
                  </w:r>
                </w:p>
              </w:tc>
              <w:tc>
                <w:tcPr>
                  <w:tcW w:w="800" w:type="dxa"/>
                  <w:vAlign w:val="center"/>
                </w:tcPr>
                <w:p w14:paraId="607C8B19">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非甲烷总烃</w:t>
                  </w:r>
                </w:p>
              </w:tc>
              <w:tc>
                <w:tcPr>
                  <w:tcW w:w="1206" w:type="dxa"/>
                  <w:vAlign w:val="center"/>
                </w:tcPr>
                <w:p w14:paraId="51224432">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1.356</w:t>
                  </w:r>
                </w:p>
              </w:tc>
              <w:tc>
                <w:tcPr>
                  <w:tcW w:w="1020" w:type="dxa"/>
                  <w:shd w:val="clear" w:color="auto" w:fill="auto"/>
                  <w:vAlign w:val="center"/>
                </w:tcPr>
                <w:p w14:paraId="52BC5AB7">
                  <w:pPr>
                    <w:spacing w:line="240" w:lineRule="auto"/>
                    <w:ind w:firstLine="0" w:firstLineChars="0"/>
                    <w:jc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 xml:space="preserve">0.283 </w:t>
                  </w:r>
                </w:p>
              </w:tc>
              <w:tc>
                <w:tcPr>
                  <w:tcW w:w="1292" w:type="dxa"/>
                  <w:shd w:val="clear" w:color="auto" w:fill="auto"/>
                  <w:vAlign w:val="center"/>
                </w:tcPr>
                <w:p w14:paraId="51512687">
                  <w:pPr>
                    <w:spacing w:line="240" w:lineRule="auto"/>
                    <w:ind w:firstLine="0" w:firstLineChars="0"/>
                    <w:jc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 xml:space="preserve">2.354 </w:t>
                  </w:r>
                </w:p>
              </w:tc>
              <w:tc>
                <w:tcPr>
                  <w:tcW w:w="840" w:type="dxa"/>
                  <w:vMerge w:val="continue"/>
                  <w:vAlign w:val="center"/>
                </w:tcPr>
                <w:p w14:paraId="105E72F1">
                  <w:pPr>
                    <w:spacing w:line="240" w:lineRule="auto"/>
                    <w:ind w:firstLine="0" w:firstLineChars="0"/>
                    <w:jc w:val="center"/>
                    <w:rPr>
                      <w:rFonts w:hint="default" w:ascii="Times New Roman" w:hAnsi="Times New Roman" w:cs="Times New Roman" w:eastAsiaTheme="minorEastAsia"/>
                      <w:b w:val="0"/>
                      <w:bCs w:val="0"/>
                      <w:color w:val="auto"/>
                      <w:sz w:val="21"/>
                      <w:szCs w:val="21"/>
                      <w:lang w:val="en-US" w:eastAsia="zh-CN"/>
                    </w:rPr>
                  </w:pPr>
                </w:p>
              </w:tc>
              <w:tc>
                <w:tcPr>
                  <w:tcW w:w="736" w:type="dxa"/>
                  <w:vAlign w:val="center"/>
                </w:tcPr>
                <w:p w14:paraId="571D731E">
                  <w:pPr>
                    <w:spacing w:line="240" w:lineRule="auto"/>
                    <w:ind w:firstLine="0" w:firstLineChars="0"/>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90</w:t>
                  </w:r>
                </w:p>
              </w:tc>
              <w:tc>
                <w:tcPr>
                  <w:tcW w:w="736" w:type="dxa"/>
                  <w:vAlign w:val="center"/>
                </w:tcPr>
                <w:p w14:paraId="063D14C4">
                  <w:pPr>
                    <w:spacing w:line="240" w:lineRule="auto"/>
                    <w:ind w:firstLine="0" w:firstLineChars="0"/>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90</w:t>
                  </w:r>
                </w:p>
              </w:tc>
              <w:tc>
                <w:tcPr>
                  <w:tcW w:w="1241" w:type="dxa"/>
                  <w:shd w:val="clear" w:color="auto" w:fill="auto"/>
                  <w:vAlign w:val="center"/>
                </w:tcPr>
                <w:p w14:paraId="366D6A73">
                  <w:pPr>
                    <w:spacing w:line="240" w:lineRule="auto"/>
                    <w:ind w:firstLine="0" w:firstLineChars="0"/>
                    <w:jc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 xml:space="preserve">0.122 </w:t>
                  </w:r>
                </w:p>
              </w:tc>
              <w:tc>
                <w:tcPr>
                  <w:tcW w:w="1020" w:type="dxa"/>
                  <w:shd w:val="clear" w:color="auto" w:fill="auto"/>
                  <w:vAlign w:val="center"/>
                </w:tcPr>
                <w:p w14:paraId="5230E161">
                  <w:pPr>
                    <w:spacing w:line="240" w:lineRule="auto"/>
                    <w:ind w:firstLine="0" w:firstLineChars="0"/>
                    <w:jc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 xml:space="preserve">0.025 </w:t>
                  </w:r>
                </w:p>
              </w:tc>
              <w:tc>
                <w:tcPr>
                  <w:tcW w:w="1292" w:type="dxa"/>
                  <w:shd w:val="clear" w:color="auto" w:fill="auto"/>
                  <w:vAlign w:val="center"/>
                </w:tcPr>
                <w:p w14:paraId="18E5D49A">
                  <w:pPr>
                    <w:spacing w:line="240" w:lineRule="auto"/>
                    <w:ind w:firstLine="0" w:firstLineChars="0"/>
                    <w:jc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 xml:space="preserve">0.212 </w:t>
                  </w:r>
                </w:p>
              </w:tc>
              <w:tc>
                <w:tcPr>
                  <w:tcW w:w="1268" w:type="dxa"/>
                  <w:vMerge w:val="continue"/>
                  <w:vAlign w:val="center"/>
                </w:tcPr>
                <w:p w14:paraId="582337F8">
                  <w:pPr>
                    <w:keepNext w:val="0"/>
                    <w:keepLines w:val="0"/>
                    <w:widowControl/>
                    <w:suppressLineNumbers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1125" w:type="dxa"/>
                  <w:vMerge w:val="restart"/>
                  <w:vAlign w:val="center"/>
                </w:tcPr>
                <w:p w14:paraId="16B4EFE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4800</w:t>
                  </w:r>
                  <w:r>
                    <w:rPr>
                      <w:rFonts w:hint="eastAsia" w:ascii="Times New Roman" w:hAnsi="Times New Roman" w:cs="Times New Roman"/>
                      <w:i w:val="0"/>
                      <w:iCs w:val="0"/>
                      <w:color w:val="auto"/>
                      <w:kern w:val="0"/>
                      <w:sz w:val="21"/>
                      <w:szCs w:val="21"/>
                      <w:u w:val="none"/>
                      <w:lang w:val="en-US" w:eastAsia="zh-CN" w:bidi="ar"/>
                    </w:rPr>
                    <w:t>h</w:t>
                  </w:r>
                </w:p>
              </w:tc>
              <w:tc>
                <w:tcPr>
                  <w:tcW w:w="1126" w:type="dxa"/>
                  <w:vMerge w:val="restart"/>
                  <w:vAlign w:val="center"/>
                </w:tcPr>
                <w:p w14:paraId="616543BF">
                  <w:pPr>
                    <w:keepNext w:val="0"/>
                    <w:keepLines w:val="0"/>
                    <w:widowControl/>
                    <w:suppressLineNumbers w:val="0"/>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120000</w:t>
                  </w:r>
                </w:p>
              </w:tc>
            </w:tr>
            <w:tr w14:paraId="2D33F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1" w:type="dxa"/>
                  <w:vMerge w:val="continue"/>
                  <w:vAlign w:val="center"/>
                </w:tcPr>
                <w:p w14:paraId="6C0A913C">
                  <w:pPr>
                    <w:spacing w:line="240" w:lineRule="auto"/>
                    <w:jc w:val="center"/>
                    <w:rPr>
                      <w:rFonts w:hint="default" w:cs="Times New Roman" w:eastAsiaTheme="minorEastAsia"/>
                      <w:color w:val="auto"/>
                      <w:sz w:val="21"/>
                      <w:szCs w:val="21"/>
                      <w:lang w:val="en-US" w:eastAsia="zh-CN"/>
                    </w:rPr>
                  </w:pPr>
                </w:p>
              </w:tc>
              <w:tc>
                <w:tcPr>
                  <w:tcW w:w="800" w:type="dxa"/>
                  <w:vAlign w:val="center"/>
                </w:tcPr>
                <w:p w14:paraId="07E62CD6">
                  <w:pPr>
                    <w:spacing w:line="240" w:lineRule="auto"/>
                    <w:jc w:val="center"/>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硫化氢</w:t>
                  </w:r>
                </w:p>
              </w:tc>
              <w:tc>
                <w:tcPr>
                  <w:tcW w:w="1206" w:type="dxa"/>
                  <w:vAlign w:val="center"/>
                </w:tcPr>
                <w:p w14:paraId="1D1F0D43">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1.864</w:t>
                  </w:r>
                </w:p>
              </w:tc>
              <w:tc>
                <w:tcPr>
                  <w:tcW w:w="1020" w:type="dxa"/>
                  <w:shd w:val="clear" w:color="auto" w:fill="auto"/>
                  <w:vAlign w:val="center"/>
                </w:tcPr>
                <w:p w14:paraId="6D4D9410">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 xml:space="preserve">0.388 </w:t>
                  </w:r>
                </w:p>
              </w:tc>
              <w:tc>
                <w:tcPr>
                  <w:tcW w:w="1292" w:type="dxa"/>
                  <w:shd w:val="clear" w:color="auto" w:fill="auto"/>
                  <w:vAlign w:val="center"/>
                </w:tcPr>
                <w:p w14:paraId="7113F204">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 xml:space="preserve">3.236 </w:t>
                  </w:r>
                </w:p>
              </w:tc>
              <w:tc>
                <w:tcPr>
                  <w:tcW w:w="840" w:type="dxa"/>
                  <w:vMerge w:val="continue"/>
                  <w:vAlign w:val="center"/>
                </w:tcPr>
                <w:p w14:paraId="73FFC2CD">
                  <w:pPr>
                    <w:spacing w:line="240" w:lineRule="auto"/>
                    <w:ind w:firstLine="0" w:firstLineChars="0"/>
                    <w:jc w:val="center"/>
                    <w:rPr>
                      <w:rFonts w:hint="default" w:ascii="Times New Roman" w:hAnsi="Times New Roman" w:cs="Times New Roman" w:eastAsiaTheme="minorEastAsia"/>
                      <w:b w:val="0"/>
                      <w:bCs w:val="0"/>
                      <w:color w:val="auto"/>
                      <w:sz w:val="21"/>
                      <w:szCs w:val="21"/>
                      <w:lang w:val="en-US" w:eastAsia="zh-CN"/>
                    </w:rPr>
                  </w:pPr>
                </w:p>
              </w:tc>
              <w:tc>
                <w:tcPr>
                  <w:tcW w:w="736" w:type="dxa"/>
                  <w:shd w:val="clear" w:color="auto" w:fill="auto"/>
                  <w:vAlign w:val="center"/>
                </w:tcPr>
                <w:p w14:paraId="768C49E1">
                  <w:pPr>
                    <w:spacing w:line="240" w:lineRule="auto"/>
                    <w:ind w:firstLine="0" w:firstLineChars="0"/>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90</w:t>
                  </w:r>
                </w:p>
              </w:tc>
              <w:tc>
                <w:tcPr>
                  <w:tcW w:w="736" w:type="dxa"/>
                  <w:shd w:val="clear" w:color="auto" w:fill="auto"/>
                  <w:vAlign w:val="center"/>
                </w:tcPr>
                <w:p w14:paraId="508F86A5">
                  <w:pPr>
                    <w:spacing w:line="240" w:lineRule="auto"/>
                    <w:ind w:firstLine="0" w:firstLineChars="0"/>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90</w:t>
                  </w:r>
                </w:p>
              </w:tc>
              <w:tc>
                <w:tcPr>
                  <w:tcW w:w="1241" w:type="dxa"/>
                  <w:shd w:val="clear" w:color="auto" w:fill="auto"/>
                  <w:vAlign w:val="center"/>
                </w:tcPr>
                <w:p w14:paraId="49FB41C8">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 xml:space="preserve">0.168 </w:t>
                  </w:r>
                </w:p>
              </w:tc>
              <w:tc>
                <w:tcPr>
                  <w:tcW w:w="1020" w:type="dxa"/>
                  <w:shd w:val="clear" w:color="auto" w:fill="auto"/>
                  <w:vAlign w:val="center"/>
                </w:tcPr>
                <w:p w14:paraId="3165B269">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 xml:space="preserve">0.035 </w:t>
                  </w:r>
                </w:p>
              </w:tc>
              <w:tc>
                <w:tcPr>
                  <w:tcW w:w="1292" w:type="dxa"/>
                  <w:shd w:val="clear" w:color="auto" w:fill="auto"/>
                  <w:vAlign w:val="center"/>
                </w:tcPr>
                <w:p w14:paraId="1038AFB1">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 xml:space="preserve">0.291 </w:t>
                  </w:r>
                </w:p>
              </w:tc>
              <w:tc>
                <w:tcPr>
                  <w:tcW w:w="1268" w:type="dxa"/>
                  <w:vMerge w:val="continue"/>
                  <w:vAlign w:val="center"/>
                </w:tcPr>
                <w:p w14:paraId="56884995">
                  <w:pPr>
                    <w:keepNext w:val="0"/>
                    <w:keepLines w:val="0"/>
                    <w:widowControl/>
                    <w:suppressLineNumbers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1125" w:type="dxa"/>
                  <w:vMerge w:val="continue"/>
                  <w:vAlign w:val="center"/>
                </w:tcPr>
                <w:p w14:paraId="78B493C4">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c>
                <w:tcPr>
                  <w:tcW w:w="1126" w:type="dxa"/>
                  <w:vMerge w:val="continue"/>
                  <w:vAlign w:val="center"/>
                </w:tcPr>
                <w:p w14:paraId="3FAE4D40">
                  <w:pPr>
                    <w:keepNext w:val="0"/>
                    <w:keepLines w:val="0"/>
                    <w:widowControl/>
                    <w:suppressLineNumbers w:val="0"/>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p>
              </w:tc>
            </w:tr>
            <w:tr w14:paraId="6BBD6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1" w:type="dxa"/>
                  <w:vMerge w:val="continue"/>
                  <w:vAlign w:val="center"/>
                </w:tcPr>
                <w:p w14:paraId="56703368">
                  <w:pPr>
                    <w:spacing w:line="240" w:lineRule="auto"/>
                    <w:jc w:val="center"/>
                    <w:rPr>
                      <w:rFonts w:hint="default" w:cs="Times New Roman" w:eastAsiaTheme="minorEastAsia"/>
                      <w:color w:val="auto"/>
                      <w:sz w:val="21"/>
                      <w:szCs w:val="21"/>
                      <w:lang w:val="en-US" w:eastAsia="zh-CN"/>
                    </w:rPr>
                  </w:pPr>
                </w:p>
              </w:tc>
              <w:tc>
                <w:tcPr>
                  <w:tcW w:w="800" w:type="dxa"/>
                  <w:vAlign w:val="center"/>
                </w:tcPr>
                <w:p w14:paraId="6D0864AF">
                  <w:pPr>
                    <w:spacing w:line="240" w:lineRule="auto"/>
                    <w:jc w:val="center"/>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臭气浓度</w:t>
                  </w:r>
                </w:p>
              </w:tc>
              <w:tc>
                <w:tcPr>
                  <w:tcW w:w="1206" w:type="dxa"/>
                  <w:shd w:val="clear" w:color="auto" w:fill="auto"/>
                  <w:vAlign w:val="center"/>
                </w:tcPr>
                <w:p w14:paraId="14AA7151">
                  <w:pPr>
                    <w:spacing w:line="240"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w:t>
                  </w:r>
                </w:p>
              </w:tc>
              <w:tc>
                <w:tcPr>
                  <w:tcW w:w="1020" w:type="dxa"/>
                  <w:shd w:val="clear" w:color="auto" w:fill="auto"/>
                  <w:vAlign w:val="center"/>
                </w:tcPr>
                <w:p w14:paraId="40F7F925">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w:t>
                  </w:r>
                </w:p>
              </w:tc>
              <w:tc>
                <w:tcPr>
                  <w:tcW w:w="1292" w:type="dxa"/>
                  <w:shd w:val="clear" w:color="auto" w:fill="auto"/>
                  <w:vAlign w:val="center"/>
                </w:tcPr>
                <w:p w14:paraId="28449801">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2442.5（无量纲）</w:t>
                  </w:r>
                </w:p>
              </w:tc>
              <w:tc>
                <w:tcPr>
                  <w:tcW w:w="840" w:type="dxa"/>
                  <w:vMerge w:val="continue"/>
                  <w:vAlign w:val="center"/>
                </w:tcPr>
                <w:p w14:paraId="523CE223">
                  <w:pPr>
                    <w:spacing w:line="240" w:lineRule="auto"/>
                    <w:ind w:firstLine="0" w:firstLineChars="0"/>
                    <w:jc w:val="center"/>
                    <w:rPr>
                      <w:rFonts w:hint="default" w:ascii="Times New Roman" w:hAnsi="Times New Roman" w:cs="Times New Roman" w:eastAsiaTheme="minorEastAsia"/>
                      <w:b w:val="0"/>
                      <w:bCs w:val="0"/>
                      <w:color w:val="auto"/>
                      <w:sz w:val="21"/>
                      <w:szCs w:val="21"/>
                      <w:lang w:val="en-US" w:eastAsia="zh-CN"/>
                    </w:rPr>
                  </w:pPr>
                </w:p>
              </w:tc>
              <w:tc>
                <w:tcPr>
                  <w:tcW w:w="736" w:type="dxa"/>
                  <w:vAlign w:val="center"/>
                </w:tcPr>
                <w:p w14:paraId="2EF1ABED">
                  <w:pPr>
                    <w:spacing w:line="240" w:lineRule="auto"/>
                    <w:ind w:firstLine="0" w:firstLineChars="0"/>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w:t>
                  </w:r>
                </w:p>
              </w:tc>
              <w:tc>
                <w:tcPr>
                  <w:tcW w:w="736" w:type="dxa"/>
                  <w:vAlign w:val="center"/>
                </w:tcPr>
                <w:p w14:paraId="6B9C0C0C">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w:t>
                  </w:r>
                </w:p>
              </w:tc>
              <w:tc>
                <w:tcPr>
                  <w:tcW w:w="1241" w:type="dxa"/>
                  <w:shd w:val="clear" w:color="auto" w:fill="auto"/>
                  <w:vAlign w:val="center"/>
                </w:tcPr>
                <w:p w14:paraId="10A3045A">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w:t>
                  </w:r>
                </w:p>
              </w:tc>
              <w:tc>
                <w:tcPr>
                  <w:tcW w:w="1020" w:type="dxa"/>
                  <w:shd w:val="clear" w:color="auto" w:fill="auto"/>
                  <w:vAlign w:val="center"/>
                </w:tcPr>
                <w:p w14:paraId="3732B095">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w:t>
                  </w:r>
                </w:p>
              </w:tc>
              <w:tc>
                <w:tcPr>
                  <w:tcW w:w="1292" w:type="dxa"/>
                  <w:shd w:val="clear" w:color="auto" w:fill="auto"/>
                  <w:vAlign w:val="center"/>
                </w:tcPr>
                <w:p w14:paraId="69562159">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977（无量纲）</w:t>
                  </w:r>
                </w:p>
              </w:tc>
              <w:tc>
                <w:tcPr>
                  <w:tcW w:w="1268" w:type="dxa"/>
                  <w:vMerge w:val="continue"/>
                  <w:vAlign w:val="center"/>
                </w:tcPr>
                <w:p w14:paraId="50340767">
                  <w:pPr>
                    <w:keepNext w:val="0"/>
                    <w:keepLines w:val="0"/>
                    <w:widowControl/>
                    <w:suppressLineNumbers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1125" w:type="dxa"/>
                  <w:vMerge w:val="continue"/>
                  <w:vAlign w:val="center"/>
                </w:tcPr>
                <w:p w14:paraId="295580C7">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c>
                <w:tcPr>
                  <w:tcW w:w="1126" w:type="dxa"/>
                  <w:vMerge w:val="continue"/>
                  <w:vAlign w:val="center"/>
                </w:tcPr>
                <w:p w14:paraId="35447072">
                  <w:pPr>
                    <w:keepNext w:val="0"/>
                    <w:keepLines w:val="0"/>
                    <w:widowControl/>
                    <w:suppressLineNumbers w:val="0"/>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p>
              </w:tc>
            </w:tr>
            <w:tr w14:paraId="0DF79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1" w:type="dxa"/>
                  <w:vMerge w:val="restart"/>
                  <w:vAlign w:val="center"/>
                </w:tcPr>
                <w:p w14:paraId="138C0092">
                  <w:pPr>
                    <w:spacing w:line="240" w:lineRule="auto"/>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合计</w:t>
                  </w:r>
                </w:p>
              </w:tc>
              <w:tc>
                <w:tcPr>
                  <w:tcW w:w="800" w:type="dxa"/>
                  <w:shd w:val="clear" w:color="auto" w:fill="auto"/>
                  <w:vAlign w:val="center"/>
                </w:tcPr>
                <w:p w14:paraId="54C55B38">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非甲烷总烃</w:t>
                  </w:r>
                </w:p>
              </w:tc>
              <w:tc>
                <w:tcPr>
                  <w:tcW w:w="1206" w:type="dxa"/>
                  <w:vAlign w:val="center"/>
                </w:tcPr>
                <w:p w14:paraId="5A9ADC11">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1020" w:type="dxa"/>
                  <w:vAlign w:val="center"/>
                </w:tcPr>
                <w:p w14:paraId="691778F4">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w:t>
                  </w:r>
                </w:p>
              </w:tc>
              <w:tc>
                <w:tcPr>
                  <w:tcW w:w="1292" w:type="dxa"/>
                  <w:vAlign w:val="center"/>
                </w:tcPr>
                <w:p w14:paraId="6B952BEC">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w:t>
                  </w:r>
                </w:p>
              </w:tc>
              <w:tc>
                <w:tcPr>
                  <w:tcW w:w="840" w:type="dxa"/>
                  <w:vMerge w:val="continue"/>
                  <w:vAlign w:val="center"/>
                </w:tcPr>
                <w:p w14:paraId="3A4A16D3">
                  <w:pPr>
                    <w:spacing w:line="240" w:lineRule="auto"/>
                    <w:ind w:firstLine="0" w:firstLineChars="0"/>
                    <w:jc w:val="center"/>
                    <w:rPr>
                      <w:rFonts w:hint="default" w:ascii="Times New Roman" w:hAnsi="Times New Roman" w:cs="Times New Roman" w:eastAsiaTheme="minorEastAsia"/>
                      <w:b w:val="0"/>
                      <w:bCs w:val="0"/>
                      <w:color w:val="auto"/>
                      <w:sz w:val="21"/>
                      <w:szCs w:val="21"/>
                      <w:lang w:val="en-US" w:eastAsia="zh-CN"/>
                    </w:rPr>
                  </w:pPr>
                </w:p>
              </w:tc>
              <w:tc>
                <w:tcPr>
                  <w:tcW w:w="736" w:type="dxa"/>
                  <w:vAlign w:val="center"/>
                </w:tcPr>
                <w:p w14:paraId="51FE5053">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w:t>
                  </w:r>
                </w:p>
              </w:tc>
              <w:tc>
                <w:tcPr>
                  <w:tcW w:w="736" w:type="dxa"/>
                  <w:vAlign w:val="center"/>
                </w:tcPr>
                <w:p w14:paraId="52BE1133">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w:t>
                  </w:r>
                </w:p>
              </w:tc>
              <w:tc>
                <w:tcPr>
                  <w:tcW w:w="1241" w:type="dxa"/>
                  <w:shd w:val="clear" w:color="auto" w:fill="auto"/>
                  <w:vAlign w:val="center"/>
                </w:tcPr>
                <w:p w14:paraId="23B5DA19">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0.375</w:t>
                  </w:r>
                </w:p>
              </w:tc>
              <w:tc>
                <w:tcPr>
                  <w:tcW w:w="1020" w:type="dxa"/>
                  <w:shd w:val="clear" w:color="auto" w:fill="auto"/>
                  <w:vAlign w:val="center"/>
                </w:tcPr>
                <w:p w14:paraId="3EB706EE">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 xml:space="preserve">0.078 </w:t>
                  </w:r>
                </w:p>
              </w:tc>
              <w:tc>
                <w:tcPr>
                  <w:tcW w:w="1292" w:type="dxa"/>
                  <w:shd w:val="clear" w:color="auto" w:fill="auto"/>
                  <w:vAlign w:val="center"/>
                </w:tcPr>
                <w:p w14:paraId="7EDF18DB">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 xml:space="preserve">0.614 </w:t>
                  </w:r>
                </w:p>
              </w:tc>
              <w:tc>
                <w:tcPr>
                  <w:tcW w:w="1268" w:type="dxa"/>
                  <w:vMerge w:val="continue"/>
                  <w:vAlign w:val="center"/>
                </w:tcPr>
                <w:p w14:paraId="2A9FD314">
                  <w:pPr>
                    <w:keepNext w:val="0"/>
                    <w:keepLines w:val="0"/>
                    <w:widowControl/>
                    <w:suppressLineNumbers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1125" w:type="dxa"/>
                  <w:vMerge w:val="restart"/>
                  <w:vAlign w:val="center"/>
                </w:tcPr>
                <w:p w14:paraId="3629A4BE">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4800</w:t>
                  </w:r>
                  <w:r>
                    <w:rPr>
                      <w:rFonts w:hint="eastAsia" w:ascii="Times New Roman" w:hAnsi="Times New Roman" w:cs="Times New Roman"/>
                      <w:i w:val="0"/>
                      <w:iCs w:val="0"/>
                      <w:color w:val="auto"/>
                      <w:kern w:val="0"/>
                      <w:sz w:val="21"/>
                      <w:szCs w:val="21"/>
                      <w:u w:val="none"/>
                      <w:lang w:val="en-US" w:eastAsia="zh-CN" w:bidi="ar"/>
                    </w:rPr>
                    <w:t>h</w:t>
                  </w:r>
                </w:p>
              </w:tc>
              <w:tc>
                <w:tcPr>
                  <w:tcW w:w="1126" w:type="dxa"/>
                  <w:vMerge w:val="restart"/>
                  <w:vAlign w:val="center"/>
                </w:tcPr>
                <w:p w14:paraId="1284EA6D">
                  <w:pPr>
                    <w:keepNext w:val="0"/>
                    <w:keepLines w:val="0"/>
                    <w:widowControl/>
                    <w:suppressLineNumbers w:val="0"/>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127200</w:t>
                  </w:r>
                </w:p>
              </w:tc>
            </w:tr>
            <w:tr w14:paraId="0A37A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1" w:type="dxa"/>
                  <w:vMerge w:val="continue"/>
                  <w:vAlign w:val="center"/>
                </w:tcPr>
                <w:p w14:paraId="401320D5">
                  <w:pPr>
                    <w:spacing w:line="240" w:lineRule="auto"/>
                    <w:jc w:val="center"/>
                    <w:rPr>
                      <w:rFonts w:hint="eastAsia" w:cs="Times New Roman" w:eastAsiaTheme="minorEastAsia"/>
                      <w:color w:val="auto"/>
                      <w:sz w:val="21"/>
                      <w:szCs w:val="21"/>
                      <w:lang w:val="en-US" w:eastAsia="zh-CN"/>
                    </w:rPr>
                  </w:pPr>
                </w:p>
              </w:tc>
              <w:tc>
                <w:tcPr>
                  <w:tcW w:w="800" w:type="dxa"/>
                  <w:shd w:val="clear" w:color="auto" w:fill="auto"/>
                  <w:vAlign w:val="center"/>
                </w:tcPr>
                <w:p w14:paraId="0174B301">
                  <w:pPr>
                    <w:spacing w:line="240" w:lineRule="auto"/>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二甲苯</w:t>
                  </w:r>
                </w:p>
              </w:tc>
              <w:tc>
                <w:tcPr>
                  <w:tcW w:w="1206" w:type="dxa"/>
                  <w:vAlign w:val="center"/>
                </w:tcPr>
                <w:p w14:paraId="4CAD449F">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1020" w:type="dxa"/>
                  <w:vAlign w:val="center"/>
                </w:tcPr>
                <w:p w14:paraId="6F9A9090">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1292" w:type="dxa"/>
                  <w:vAlign w:val="center"/>
                </w:tcPr>
                <w:p w14:paraId="3B71A597">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840" w:type="dxa"/>
                  <w:vMerge w:val="continue"/>
                  <w:vAlign w:val="center"/>
                </w:tcPr>
                <w:p w14:paraId="2FA289FA">
                  <w:pPr>
                    <w:spacing w:line="240" w:lineRule="auto"/>
                    <w:ind w:firstLine="0" w:firstLineChars="0"/>
                    <w:jc w:val="center"/>
                    <w:rPr>
                      <w:rFonts w:hint="default" w:ascii="Times New Roman" w:hAnsi="Times New Roman" w:cs="Times New Roman" w:eastAsiaTheme="minorEastAsia"/>
                      <w:b w:val="0"/>
                      <w:bCs w:val="0"/>
                      <w:color w:val="auto"/>
                      <w:sz w:val="21"/>
                      <w:szCs w:val="21"/>
                      <w:lang w:val="en-US" w:eastAsia="zh-CN"/>
                    </w:rPr>
                  </w:pPr>
                </w:p>
              </w:tc>
              <w:tc>
                <w:tcPr>
                  <w:tcW w:w="736" w:type="dxa"/>
                  <w:vAlign w:val="center"/>
                </w:tcPr>
                <w:p w14:paraId="4939EEF1">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w:t>
                  </w:r>
                </w:p>
              </w:tc>
              <w:tc>
                <w:tcPr>
                  <w:tcW w:w="736" w:type="dxa"/>
                  <w:vAlign w:val="center"/>
                </w:tcPr>
                <w:p w14:paraId="5C1D8859">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w:t>
                  </w:r>
                </w:p>
              </w:tc>
              <w:tc>
                <w:tcPr>
                  <w:tcW w:w="1241" w:type="dxa"/>
                  <w:shd w:val="clear" w:color="auto" w:fill="auto"/>
                  <w:vAlign w:val="center"/>
                </w:tcPr>
                <w:p w14:paraId="1829CA5F">
                  <w:pPr>
                    <w:spacing w:line="240" w:lineRule="auto"/>
                    <w:ind w:firstLine="0" w:firstLineChars="0"/>
                    <w:jc w:val="center"/>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0.043</w:t>
                  </w:r>
                </w:p>
              </w:tc>
              <w:tc>
                <w:tcPr>
                  <w:tcW w:w="1020" w:type="dxa"/>
                  <w:shd w:val="clear" w:color="auto" w:fill="auto"/>
                  <w:vAlign w:val="center"/>
                </w:tcPr>
                <w:p w14:paraId="2F4D6A22">
                  <w:pPr>
                    <w:spacing w:line="240" w:lineRule="auto"/>
                    <w:ind w:firstLine="0" w:firstLineChars="0"/>
                    <w:jc w:val="center"/>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0.009</w:t>
                  </w:r>
                </w:p>
              </w:tc>
              <w:tc>
                <w:tcPr>
                  <w:tcW w:w="1292" w:type="dxa"/>
                  <w:shd w:val="clear" w:color="auto" w:fill="auto"/>
                  <w:vAlign w:val="center"/>
                </w:tcPr>
                <w:p w14:paraId="663F6BDC">
                  <w:pPr>
                    <w:spacing w:line="240" w:lineRule="auto"/>
                    <w:ind w:firstLine="0" w:firstLineChars="0"/>
                    <w:jc w:val="center"/>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0.07</w:t>
                  </w:r>
                </w:p>
              </w:tc>
              <w:tc>
                <w:tcPr>
                  <w:tcW w:w="1268" w:type="dxa"/>
                  <w:vMerge w:val="continue"/>
                  <w:vAlign w:val="center"/>
                </w:tcPr>
                <w:p w14:paraId="5F8DE07F">
                  <w:pPr>
                    <w:keepNext w:val="0"/>
                    <w:keepLines w:val="0"/>
                    <w:widowControl/>
                    <w:suppressLineNumbers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1125" w:type="dxa"/>
                  <w:vMerge w:val="continue"/>
                  <w:vAlign w:val="center"/>
                </w:tcPr>
                <w:p w14:paraId="1456377D">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c>
                <w:tcPr>
                  <w:tcW w:w="1126" w:type="dxa"/>
                  <w:vMerge w:val="continue"/>
                  <w:vAlign w:val="center"/>
                </w:tcPr>
                <w:p w14:paraId="2EB1C194">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r>
            <w:tr w14:paraId="6B03A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1" w:type="dxa"/>
                  <w:vMerge w:val="continue"/>
                  <w:vAlign w:val="center"/>
                </w:tcPr>
                <w:p w14:paraId="2014469B">
                  <w:pPr>
                    <w:spacing w:line="240" w:lineRule="auto"/>
                    <w:jc w:val="center"/>
                    <w:rPr>
                      <w:rFonts w:hint="default" w:cs="Times New Roman" w:eastAsiaTheme="minorEastAsia"/>
                      <w:color w:val="auto"/>
                      <w:sz w:val="21"/>
                      <w:szCs w:val="21"/>
                      <w:lang w:val="en-US" w:eastAsia="zh-CN"/>
                    </w:rPr>
                  </w:pPr>
                </w:p>
              </w:tc>
              <w:tc>
                <w:tcPr>
                  <w:tcW w:w="800" w:type="dxa"/>
                  <w:shd w:val="clear" w:color="auto" w:fill="auto"/>
                  <w:vAlign w:val="center"/>
                </w:tcPr>
                <w:p w14:paraId="6D5297CA">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硫化氢</w:t>
                  </w:r>
                </w:p>
              </w:tc>
              <w:tc>
                <w:tcPr>
                  <w:tcW w:w="1206" w:type="dxa"/>
                  <w:vAlign w:val="center"/>
                </w:tcPr>
                <w:p w14:paraId="79A94309">
                  <w:pPr>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1020" w:type="dxa"/>
                  <w:vAlign w:val="center"/>
                </w:tcPr>
                <w:p w14:paraId="199DB5C7">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w:t>
                  </w:r>
                </w:p>
              </w:tc>
              <w:tc>
                <w:tcPr>
                  <w:tcW w:w="1292" w:type="dxa"/>
                  <w:vAlign w:val="center"/>
                </w:tcPr>
                <w:p w14:paraId="325003DE">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w:t>
                  </w:r>
                </w:p>
              </w:tc>
              <w:tc>
                <w:tcPr>
                  <w:tcW w:w="840" w:type="dxa"/>
                  <w:vMerge w:val="continue"/>
                  <w:vAlign w:val="center"/>
                </w:tcPr>
                <w:p w14:paraId="5FF81A60">
                  <w:pPr>
                    <w:spacing w:line="240" w:lineRule="auto"/>
                    <w:ind w:firstLine="0" w:firstLineChars="0"/>
                    <w:jc w:val="center"/>
                    <w:rPr>
                      <w:rFonts w:hint="default" w:ascii="Times New Roman" w:hAnsi="Times New Roman" w:cs="Times New Roman" w:eastAsiaTheme="minorEastAsia"/>
                      <w:b w:val="0"/>
                      <w:bCs w:val="0"/>
                      <w:color w:val="auto"/>
                      <w:sz w:val="21"/>
                      <w:szCs w:val="21"/>
                      <w:lang w:val="en-US" w:eastAsia="zh-CN"/>
                    </w:rPr>
                  </w:pPr>
                </w:p>
              </w:tc>
              <w:tc>
                <w:tcPr>
                  <w:tcW w:w="736" w:type="dxa"/>
                  <w:vAlign w:val="center"/>
                </w:tcPr>
                <w:p w14:paraId="748ABDD2">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w:t>
                  </w:r>
                </w:p>
              </w:tc>
              <w:tc>
                <w:tcPr>
                  <w:tcW w:w="736" w:type="dxa"/>
                  <w:vAlign w:val="center"/>
                </w:tcPr>
                <w:p w14:paraId="1AE8B7A4">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w:t>
                  </w:r>
                </w:p>
              </w:tc>
              <w:tc>
                <w:tcPr>
                  <w:tcW w:w="1241" w:type="dxa"/>
                  <w:shd w:val="clear" w:color="auto" w:fill="auto"/>
                  <w:vAlign w:val="center"/>
                </w:tcPr>
                <w:p w14:paraId="2240FAB8">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0.168</w:t>
                  </w:r>
                </w:p>
              </w:tc>
              <w:tc>
                <w:tcPr>
                  <w:tcW w:w="1020" w:type="dxa"/>
                  <w:shd w:val="clear" w:color="auto" w:fill="auto"/>
                  <w:vAlign w:val="center"/>
                </w:tcPr>
                <w:p w14:paraId="762CDD40">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 xml:space="preserve">0.035 </w:t>
                  </w:r>
                </w:p>
              </w:tc>
              <w:tc>
                <w:tcPr>
                  <w:tcW w:w="1292" w:type="dxa"/>
                  <w:shd w:val="clear" w:color="auto" w:fill="auto"/>
                  <w:vAlign w:val="center"/>
                </w:tcPr>
                <w:p w14:paraId="536DE829">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 xml:space="preserve">0.275 </w:t>
                  </w:r>
                </w:p>
              </w:tc>
              <w:tc>
                <w:tcPr>
                  <w:tcW w:w="1268" w:type="dxa"/>
                  <w:vMerge w:val="continue"/>
                  <w:vAlign w:val="center"/>
                </w:tcPr>
                <w:p w14:paraId="1B921FA3">
                  <w:pPr>
                    <w:keepNext w:val="0"/>
                    <w:keepLines w:val="0"/>
                    <w:widowControl/>
                    <w:suppressLineNumbers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1125" w:type="dxa"/>
                  <w:vMerge w:val="continue"/>
                  <w:vAlign w:val="center"/>
                </w:tcPr>
                <w:p w14:paraId="09F01093">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c>
                <w:tcPr>
                  <w:tcW w:w="1126" w:type="dxa"/>
                  <w:vMerge w:val="continue"/>
                  <w:vAlign w:val="center"/>
                </w:tcPr>
                <w:p w14:paraId="3429C8E4">
                  <w:pPr>
                    <w:keepNext w:val="0"/>
                    <w:keepLines w:val="0"/>
                    <w:widowControl/>
                    <w:suppressLineNumbers w:val="0"/>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p>
              </w:tc>
            </w:tr>
            <w:tr w14:paraId="7466D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1" w:type="dxa"/>
                  <w:vMerge w:val="continue"/>
                  <w:vAlign w:val="center"/>
                </w:tcPr>
                <w:p w14:paraId="1F8BA7F2">
                  <w:pPr>
                    <w:spacing w:line="240" w:lineRule="auto"/>
                    <w:jc w:val="center"/>
                    <w:rPr>
                      <w:rFonts w:hint="default" w:cs="Times New Roman" w:eastAsiaTheme="minorEastAsia"/>
                      <w:color w:val="auto"/>
                      <w:sz w:val="21"/>
                      <w:szCs w:val="21"/>
                      <w:lang w:val="en-US" w:eastAsia="zh-CN"/>
                    </w:rPr>
                  </w:pPr>
                </w:p>
              </w:tc>
              <w:tc>
                <w:tcPr>
                  <w:tcW w:w="800" w:type="dxa"/>
                  <w:shd w:val="clear" w:color="auto" w:fill="auto"/>
                  <w:vAlign w:val="center"/>
                </w:tcPr>
                <w:p w14:paraId="38CB611D">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臭气浓度</w:t>
                  </w:r>
                </w:p>
              </w:tc>
              <w:tc>
                <w:tcPr>
                  <w:tcW w:w="1206" w:type="dxa"/>
                  <w:shd w:val="clear" w:color="auto" w:fill="auto"/>
                  <w:vAlign w:val="center"/>
                </w:tcPr>
                <w:p w14:paraId="56A7BE97">
                  <w:pPr>
                    <w:spacing w:line="240" w:lineRule="auto"/>
                    <w:ind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w:t>
                  </w:r>
                </w:p>
              </w:tc>
              <w:tc>
                <w:tcPr>
                  <w:tcW w:w="1020" w:type="dxa"/>
                  <w:shd w:val="clear" w:color="auto" w:fill="auto"/>
                  <w:vAlign w:val="center"/>
                </w:tcPr>
                <w:p w14:paraId="4A7770BA">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w:t>
                  </w:r>
                </w:p>
              </w:tc>
              <w:tc>
                <w:tcPr>
                  <w:tcW w:w="1292" w:type="dxa"/>
                  <w:shd w:val="clear" w:color="auto" w:fill="auto"/>
                  <w:vAlign w:val="center"/>
                </w:tcPr>
                <w:p w14:paraId="6FE2E69C">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2442.5（无量纲）</w:t>
                  </w:r>
                </w:p>
              </w:tc>
              <w:tc>
                <w:tcPr>
                  <w:tcW w:w="840" w:type="dxa"/>
                  <w:vMerge w:val="continue"/>
                  <w:vAlign w:val="center"/>
                </w:tcPr>
                <w:p w14:paraId="419958F9">
                  <w:pPr>
                    <w:spacing w:line="240" w:lineRule="auto"/>
                    <w:ind w:firstLine="0" w:firstLineChars="0"/>
                    <w:jc w:val="center"/>
                    <w:rPr>
                      <w:rFonts w:hint="default" w:ascii="Times New Roman" w:hAnsi="Times New Roman" w:cs="Times New Roman" w:eastAsiaTheme="minorEastAsia"/>
                      <w:b w:val="0"/>
                      <w:bCs w:val="0"/>
                      <w:color w:val="auto"/>
                      <w:sz w:val="21"/>
                      <w:szCs w:val="21"/>
                      <w:lang w:val="en-US" w:eastAsia="zh-CN"/>
                    </w:rPr>
                  </w:pPr>
                </w:p>
              </w:tc>
              <w:tc>
                <w:tcPr>
                  <w:tcW w:w="736" w:type="dxa"/>
                  <w:vAlign w:val="center"/>
                </w:tcPr>
                <w:p w14:paraId="4DA4B706">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w:t>
                  </w:r>
                </w:p>
              </w:tc>
              <w:tc>
                <w:tcPr>
                  <w:tcW w:w="736" w:type="dxa"/>
                  <w:vAlign w:val="center"/>
                </w:tcPr>
                <w:p w14:paraId="54B03481">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w:t>
                  </w:r>
                </w:p>
              </w:tc>
              <w:tc>
                <w:tcPr>
                  <w:tcW w:w="1241" w:type="dxa"/>
                  <w:shd w:val="clear" w:color="auto" w:fill="auto"/>
                  <w:vAlign w:val="center"/>
                </w:tcPr>
                <w:p w14:paraId="3F18504C">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w:t>
                  </w:r>
                </w:p>
              </w:tc>
              <w:tc>
                <w:tcPr>
                  <w:tcW w:w="1020" w:type="dxa"/>
                  <w:shd w:val="clear" w:color="auto" w:fill="auto"/>
                  <w:vAlign w:val="center"/>
                </w:tcPr>
                <w:p w14:paraId="08BBF0EC">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w:t>
                  </w:r>
                </w:p>
              </w:tc>
              <w:tc>
                <w:tcPr>
                  <w:tcW w:w="1292" w:type="dxa"/>
                  <w:shd w:val="clear" w:color="auto" w:fill="auto"/>
                  <w:vAlign w:val="center"/>
                </w:tcPr>
                <w:p w14:paraId="76CF6CFD">
                  <w:pPr>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977（无量纲）</w:t>
                  </w:r>
                </w:p>
              </w:tc>
              <w:tc>
                <w:tcPr>
                  <w:tcW w:w="1268" w:type="dxa"/>
                  <w:vMerge w:val="continue"/>
                  <w:vAlign w:val="center"/>
                </w:tcPr>
                <w:p w14:paraId="02AA7B35">
                  <w:pPr>
                    <w:keepNext w:val="0"/>
                    <w:keepLines w:val="0"/>
                    <w:widowControl/>
                    <w:suppressLineNumbers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1125" w:type="dxa"/>
                  <w:vMerge w:val="continue"/>
                  <w:vAlign w:val="center"/>
                </w:tcPr>
                <w:p w14:paraId="18BB278C">
                  <w:pPr>
                    <w:keepNext w:val="0"/>
                    <w:keepLines w:val="0"/>
                    <w:widowControl/>
                    <w:suppressLineNumbers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c>
                <w:tcPr>
                  <w:tcW w:w="1126" w:type="dxa"/>
                  <w:vMerge w:val="continue"/>
                  <w:vAlign w:val="center"/>
                </w:tcPr>
                <w:p w14:paraId="0EF476C2">
                  <w:pPr>
                    <w:keepNext w:val="0"/>
                    <w:keepLines w:val="0"/>
                    <w:widowControl/>
                    <w:suppressLineNumbers w:val="0"/>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p>
              </w:tc>
            </w:tr>
          </w:tbl>
          <w:p w14:paraId="185427F0">
            <w:pPr>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textAlignment w:val="auto"/>
              <w:rPr>
                <w:rFonts w:hint="default"/>
                <w:color w:val="auto"/>
                <w:lang w:val="en-US" w:eastAsia="zh-CN"/>
              </w:rPr>
            </w:pPr>
          </w:p>
        </w:tc>
      </w:tr>
    </w:tbl>
    <w:p w14:paraId="5D05957D">
      <w:pPr>
        <w:ind w:firstLine="0" w:firstLineChars="0"/>
        <w:rPr>
          <w:rFonts w:hint="eastAsia"/>
          <w:color w:val="auto"/>
        </w:rPr>
        <w:sectPr>
          <w:pgSz w:w="16838" w:h="11905" w:orient="landscape"/>
          <w:pgMar w:top="1531" w:right="850" w:bottom="1531" w:left="850" w:header="851" w:footer="850" w:gutter="0"/>
          <w:pgNumType w:fmt="decimal"/>
          <w:cols w:space="720" w:num="1"/>
          <w:docGrid w:type="linesAndChars" w:linePitch="312" w:charSpace="0"/>
        </w:sect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8404"/>
      </w:tblGrid>
      <w:tr w14:paraId="39697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noWrap w:val="0"/>
            <w:vAlign w:val="top"/>
          </w:tcPr>
          <w:p w14:paraId="435031DC">
            <w:pPr>
              <w:ind w:firstLine="0" w:firstLineChars="0"/>
              <w:rPr>
                <w:rFonts w:hint="eastAsia"/>
                <w:color w:val="auto"/>
              </w:rPr>
            </w:pPr>
          </w:p>
        </w:tc>
        <w:tc>
          <w:tcPr>
            <w:tcW w:w="8404" w:type="dxa"/>
            <w:noWrap w:val="0"/>
            <w:vAlign w:val="top"/>
          </w:tcPr>
          <w:p w14:paraId="7F0D2C2D">
            <w:pPr>
              <w:ind w:firstLine="482"/>
              <w:jc w:val="left"/>
              <w:rPr>
                <w:rFonts w:hint="eastAsia"/>
                <w:color w:val="auto"/>
              </w:rPr>
            </w:pPr>
            <w:r>
              <w:rPr>
                <w:rFonts w:hint="eastAsia"/>
                <w:b/>
                <w:bCs/>
                <w:color w:val="auto"/>
              </w:rPr>
              <w:t>②技术可行性分析</w:t>
            </w:r>
          </w:p>
          <w:p w14:paraId="4B81EDBF">
            <w:pPr>
              <w:ind w:firstLine="480"/>
              <w:jc w:val="left"/>
              <w:rPr>
                <w:rFonts w:hint="eastAsia"/>
                <w:color w:val="auto"/>
              </w:rPr>
            </w:pPr>
            <w:r>
              <w:rPr>
                <w:rFonts w:hint="eastAsia"/>
                <w:color w:val="auto"/>
              </w:rPr>
              <w:t>本项目</w:t>
            </w:r>
            <w:r>
              <w:rPr>
                <w:rFonts w:hint="eastAsia"/>
                <w:color w:val="auto"/>
                <w:lang w:val="en-US" w:eastAsia="zh-CN"/>
              </w:rPr>
              <w:t>配料粉尘经密闭配料室集风管收集、投料粉尘经投料口上方集气罩收集，布袋除尘器+二级活性炭吸附装置处理后经15m高排气筒（DA001）排放；密炼、开炼废气</w:t>
            </w:r>
            <w:r>
              <w:rPr>
                <w:rFonts w:hint="eastAsia"/>
                <w:color w:val="auto"/>
                <w:lang w:eastAsia="zh-CN"/>
              </w:rPr>
              <w:t>经</w:t>
            </w:r>
            <w:r>
              <w:rPr>
                <w:rFonts w:hint="eastAsia"/>
                <w:color w:val="auto"/>
                <w:lang w:val="en-US" w:eastAsia="zh-CN"/>
              </w:rPr>
              <w:t>设备上方集气罩+软帘收集，布袋除尘器+二级活性炭吸附装置处理后经15m高排气筒（DA001）排放；剪切粉尘经设备上方集气罩收集、喷砂粉尘经密闭设备内部集风管收集，布袋除尘器处理后经15m高排气筒（DA002）排放；涂胶废气经密闭涂胶间集风管收集、硫化废气经设备上方集气罩+软帘收集，二级活性炭吸附装置处理后经15m高排气筒（DA003）排放</w:t>
            </w:r>
            <w:r>
              <w:rPr>
                <w:rFonts w:hint="eastAsia"/>
                <w:color w:val="auto"/>
              </w:rPr>
              <w:t>。</w:t>
            </w:r>
          </w:p>
          <w:p w14:paraId="33FB4E69">
            <w:pPr>
              <w:ind w:firstLine="480"/>
              <w:jc w:val="left"/>
              <w:rPr>
                <w:rFonts w:hint="eastAsia"/>
                <w:color w:val="auto"/>
              </w:rPr>
            </w:pPr>
            <w:r>
              <w:rPr>
                <w:rFonts w:hint="eastAsia"/>
                <w:color w:val="auto"/>
              </w:rPr>
              <w:t>本项目</w:t>
            </w:r>
            <w:r>
              <w:rPr>
                <w:rFonts w:hint="eastAsia"/>
                <w:color w:val="auto"/>
                <w:lang w:val="en-US" w:eastAsia="zh-CN"/>
              </w:rPr>
              <w:t>机加工、</w:t>
            </w:r>
            <w:r>
              <w:rPr>
                <w:rFonts w:hint="eastAsia"/>
                <w:color w:val="auto"/>
              </w:rPr>
              <w:t>配料</w:t>
            </w:r>
            <w:r>
              <w:rPr>
                <w:rFonts w:hint="eastAsia"/>
                <w:color w:val="auto"/>
                <w:lang w:eastAsia="zh-CN"/>
              </w:rPr>
              <w:t>、</w:t>
            </w:r>
            <w:r>
              <w:rPr>
                <w:rFonts w:hint="eastAsia"/>
                <w:color w:val="auto"/>
                <w:lang w:val="en-US" w:eastAsia="zh-CN"/>
              </w:rPr>
              <w:t>投料</w:t>
            </w:r>
            <w:r>
              <w:rPr>
                <w:rFonts w:hint="eastAsia"/>
                <w:color w:val="auto"/>
              </w:rPr>
              <w:t>和</w:t>
            </w:r>
            <w:r>
              <w:rPr>
                <w:rFonts w:hint="eastAsia"/>
                <w:color w:val="auto"/>
                <w:lang w:val="en-US" w:eastAsia="zh-CN"/>
              </w:rPr>
              <w:t>密炼</w:t>
            </w:r>
            <w:r>
              <w:rPr>
                <w:rFonts w:hint="eastAsia"/>
                <w:color w:val="auto"/>
              </w:rPr>
              <w:t>废气中颗粒物采用布袋除尘器进行处理，袋式除尘具有设计合理、净化效率高、占地面积小、空气压力损失较小、能耗低、处理风量大、安装维修方便、技术性能可靠等特点，在目前国内的许多行业、企业的生产中大都采用这种除尘系统，回收运行的稳定度、效率得到广泛的认可。</w:t>
            </w:r>
          </w:p>
          <w:p w14:paraId="62FD7406">
            <w:pPr>
              <w:ind w:firstLine="480"/>
              <w:jc w:val="left"/>
              <w:rPr>
                <w:color w:val="auto"/>
              </w:rPr>
            </w:pPr>
            <w:r>
              <w:rPr>
                <w:rFonts w:hint="eastAsia"/>
                <w:color w:val="auto"/>
              </w:rPr>
              <w:t>根据环境保护部2013年第31号公告《挥发性有机物（VOCs）污染防治技术政策》要求，“对于含中等浓度VOCs的废气，可采用吸附技术回收有机溶剂， 或采用催化燃烧和热力焚烧技术净化后达标排放。对于含低浓度VOCs的废气， 有回收价值时可采用吸附技术、吸收技术对有机溶剂回收后达标排放；不宜回收时，可采用吸附浓缩燃烧技术、生物技术、吸收技术、等离子体技术或紫外光高级氧化技术等净化后达标排放”。本项目废气治理所采用的吸附法为政策中要求的可行技术。</w:t>
            </w:r>
          </w:p>
          <w:p w14:paraId="216C85F6">
            <w:pPr>
              <w:ind w:firstLine="480"/>
              <w:jc w:val="left"/>
              <w:rPr>
                <w:rFonts w:hint="eastAsia"/>
                <w:color w:val="auto"/>
              </w:rPr>
            </w:pPr>
            <w:r>
              <w:rPr>
                <w:rFonts w:hint="eastAsia"/>
                <w:color w:val="auto"/>
              </w:rPr>
              <w:t>本项目采用活性炭来处理产生的有机废气。以活性炭作为有机废气吸附剂已有许多年的应用经验。活性炭价格便宜，表面有疏水性，比表面积大，因而具有优异的吸附性能，可使有机溶剂蒸气吸附在其表面上。另外，当加热烘干吸附剂时，被吸附的气体可解析出来，其浓度较高，可进行催化燃烧处理或将其冷却成液态、达到回收溶剂的目的。其优点是投资小，运行简单，去除率高，其缺点是运行成本较大，活性炭容易失效，需定期更换。根据《大气污染治理工程技术导则》（HJ2000-2010），吸附法宜用于气体流量大、浓度低的各类挥发性有机化合物废气。符合《排污许可证申请与核发技术规范橡胶和塑料制品工业》</w:t>
            </w:r>
            <w:r>
              <w:rPr>
                <w:rFonts w:hint="eastAsia"/>
                <w:color w:val="auto"/>
                <w:lang w:eastAsia="zh-CN"/>
              </w:rPr>
              <w:t>（</w:t>
            </w:r>
            <w:r>
              <w:rPr>
                <w:rFonts w:hint="eastAsia"/>
                <w:color w:val="auto"/>
              </w:rPr>
              <w:t>HJ1122-2020</w:t>
            </w:r>
            <w:r>
              <w:rPr>
                <w:rFonts w:hint="eastAsia"/>
                <w:color w:val="auto"/>
                <w:lang w:eastAsia="zh-CN"/>
              </w:rPr>
              <w:t>）</w:t>
            </w:r>
            <w:r>
              <w:rPr>
                <w:rFonts w:hint="eastAsia"/>
                <w:color w:val="auto"/>
              </w:rPr>
              <w:t>中的可行性技术要求，属于可行性技术。</w:t>
            </w:r>
          </w:p>
          <w:p w14:paraId="64D2CB97">
            <w:pPr>
              <w:ind w:firstLine="480"/>
              <w:jc w:val="left"/>
              <w:rPr>
                <w:color w:val="auto"/>
              </w:rPr>
            </w:pPr>
            <w:r>
              <w:rPr>
                <w:rFonts w:hint="eastAsia"/>
                <w:color w:val="auto"/>
              </w:rPr>
              <w:t>综上所述，项目有机废气经二级活性炭装置处理，</w:t>
            </w:r>
            <w:r>
              <w:rPr>
                <w:rFonts w:hint="eastAsia"/>
                <w:color w:val="auto"/>
                <w:lang w:val="en-US" w:eastAsia="zh-CN"/>
              </w:rPr>
              <w:t>颗粒物</w:t>
            </w:r>
            <w:r>
              <w:rPr>
                <w:rFonts w:hint="eastAsia"/>
                <w:color w:val="auto"/>
              </w:rPr>
              <w:t>经</w:t>
            </w:r>
            <w:r>
              <w:rPr>
                <w:rFonts w:hint="eastAsia"/>
                <w:color w:val="auto"/>
                <w:lang w:val="en-US" w:eastAsia="zh-CN"/>
              </w:rPr>
              <w:t>布袋除尘器</w:t>
            </w:r>
            <w:r>
              <w:rPr>
                <w:rFonts w:hint="eastAsia"/>
                <w:color w:val="auto"/>
              </w:rPr>
              <w:t>处理，</w:t>
            </w:r>
            <w:r>
              <w:rPr>
                <w:rFonts w:hint="eastAsia"/>
                <w:bCs/>
                <w:color w:val="auto"/>
              </w:rPr>
              <w:t>根据表</w:t>
            </w:r>
            <w:r>
              <w:rPr>
                <w:rFonts w:hint="eastAsia"/>
                <w:bCs/>
                <w:color w:val="auto"/>
                <w:lang w:val="en-US" w:eastAsia="zh-CN"/>
              </w:rPr>
              <w:t>4-1</w:t>
            </w:r>
            <w:r>
              <w:rPr>
                <w:rFonts w:hint="eastAsia"/>
                <w:bCs/>
                <w:color w:val="auto"/>
              </w:rPr>
              <w:t>废气源强、废气治理措施、污染物去除效率及废气排放计算结果，本项目</w:t>
            </w:r>
            <w:r>
              <w:rPr>
                <w:color w:val="auto"/>
              </w:rPr>
              <w:t>废气污染物排放能够满足</w:t>
            </w:r>
            <w:r>
              <w:rPr>
                <w:rFonts w:hint="eastAsia"/>
                <w:color w:val="auto"/>
                <w:lang w:val="en-US" w:eastAsia="zh-CN"/>
              </w:rPr>
              <w:t>安徽省《固定源挥发性有机物综合排放标准 第6部分 其他行业》（DB34/4812.6-2024）、</w:t>
            </w:r>
            <w:r>
              <w:rPr>
                <w:rFonts w:hint="eastAsia"/>
                <w:color w:val="auto"/>
              </w:rPr>
              <w:t>《恶臭污染物排放标准》</w:t>
            </w:r>
            <w:r>
              <w:rPr>
                <w:rFonts w:hint="eastAsia"/>
                <w:color w:val="auto"/>
                <w:lang w:eastAsia="zh-CN"/>
              </w:rPr>
              <w:t>（</w:t>
            </w:r>
            <w:r>
              <w:rPr>
                <w:rFonts w:hint="eastAsia"/>
                <w:color w:val="auto"/>
              </w:rPr>
              <w:t>GB14554-93</w:t>
            </w:r>
            <w:r>
              <w:rPr>
                <w:rFonts w:hint="eastAsia"/>
                <w:color w:val="auto"/>
                <w:lang w:eastAsia="zh-CN"/>
              </w:rPr>
              <w:t>）、</w:t>
            </w:r>
            <w:r>
              <w:rPr>
                <w:rFonts w:hint="eastAsia"/>
                <w:color w:val="auto"/>
                <w:lang w:val="en-US" w:eastAsia="zh-CN"/>
              </w:rPr>
              <w:t>《大气污染物综合排放标准》（GB16297-1996）、《橡胶制品工业污染物排放标准》（GB27632-2011）</w:t>
            </w:r>
            <w:r>
              <w:rPr>
                <w:color w:val="auto"/>
              </w:rPr>
              <w:t>中排放限值要求。</w:t>
            </w:r>
          </w:p>
          <w:p w14:paraId="61F5490E">
            <w:pPr>
              <w:ind w:firstLine="482"/>
              <w:jc w:val="left"/>
              <w:rPr>
                <w:color w:val="auto"/>
              </w:rPr>
            </w:pPr>
            <w:r>
              <w:rPr>
                <w:rFonts w:hint="eastAsia" w:ascii="宋体" w:hAnsi="宋体" w:cs="宋体"/>
                <w:b/>
                <w:bCs/>
                <w:color w:val="auto"/>
              </w:rPr>
              <w:t>③</w:t>
            </w:r>
            <w:r>
              <w:rPr>
                <w:rFonts w:hint="eastAsia"/>
                <w:b/>
                <w:bCs/>
                <w:color w:val="auto"/>
              </w:rPr>
              <w:t>大气环境影响分析</w:t>
            </w:r>
          </w:p>
          <w:p w14:paraId="7500A9C8">
            <w:pPr>
              <w:ind w:firstLine="480"/>
              <w:rPr>
                <w:rFonts w:hint="eastAsia"/>
                <w:color w:val="auto"/>
              </w:rPr>
            </w:pPr>
            <w:r>
              <w:rPr>
                <w:color w:val="auto"/>
                <w:sz w:val="24"/>
              </w:rPr>
              <w:t>本项目位于</w:t>
            </w:r>
            <w:r>
              <w:rPr>
                <w:rFonts w:hint="eastAsia"/>
                <w:color w:val="auto"/>
                <w:sz w:val="24"/>
              </w:rPr>
              <w:t>淮北</w:t>
            </w:r>
            <w:r>
              <w:rPr>
                <w:color w:val="auto"/>
                <w:sz w:val="24"/>
              </w:rPr>
              <w:t>市，</w:t>
            </w:r>
            <w:r>
              <w:rPr>
                <w:rFonts w:hint="eastAsia"/>
                <w:color w:val="auto"/>
                <w:sz w:val="24"/>
                <w:lang w:val="zh-CN"/>
              </w:rPr>
              <w:t>淮北</w:t>
            </w:r>
            <w:r>
              <w:rPr>
                <w:color w:val="auto"/>
                <w:sz w:val="24"/>
                <w:lang w:val="zh-CN"/>
              </w:rPr>
              <w:t>市为</w:t>
            </w:r>
            <w:r>
              <w:rPr>
                <w:color w:val="auto"/>
                <w:sz w:val="24"/>
              </w:rPr>
              <w:t>环境</w:t>
            </w:r>
            <w:r>
              <w:rPr>
                <w:rFonts w:hint="eastAsia"/>
                <w:color w:val="auto"/>
                <w:sz w:val="24"/>
              </w:rPr>
              <w:t>空气</w:t>
            </w:r>
            <w:r>
              <w:rPr>
                <w:color w:val="auto"/>
                <w:sz w:val="24"/>
              </w:rPr>
              <w:t>质量</w:t>
            </w:r>
            <w:r>
              <w:rPr>
                <w:rFonts w:hint="eastAsia"/>
                <w:color w:val="auto"/>
                <w:sz w:val="24"/>
              </w:rPr>
              <w:t>不</w:t>
            </w:r>
            <w:r>
              <w:rPr>
                <w:color w:val="auto"/>
                <w:sz w:val="24"/>
              </w:rPr>
              <w:t>达标区，NO</w:t>
            </w:r>
            <w:r>
              <w:rPr>
                <w:color w:val="auto"/>
                <w:sz w:val="24"/>
                <w:vertAlign w:val="subscript"/>
              </w:rPr>
              <w:t>2</w:t>
            </w:r>
            <w:r>
              <w:rPr>
                <w:color w:val="auto"/>
                <w:sz w:val="24"/>
              </w:rPr>
              <w:t>、SO</w:t>
            </w:r>
            <w:r>
              <w:rPr>
                <w:color w:val="auto"/>
                <w:sz w:val="24"/>
                <w:vertAlign w:val="subscript"/>
              </w:rPr>
              <w:t>2</w:t>
            </w:r>
            <w:r>
              <w:rPr>
                <w:color w:val="auto"/>
                <w:sz w:val="24"/>
              </w:rPr>
              <w:t>、CO、PM</w:t>
            </w:r>
            <w:r>
              <w:rPr>
                <w:color w:val="auto"/>
                <w:sz w:val="24"/>
                <w:vertAlign w:val="subscript"/>
              </w:rPr>
              <w:t>10</w:t>
            </w:r>
            <w:r>
              <w:rPr>
                <w:color w:val="auto"/>
                <w:sz w:val="24"/>
              </w:rPr>
              <w:t>年平均浓度值均满足《环境空气质量标准》（GB3095-2012）中二级标准，PM</w:t>
            </w:r>
            <w:r>
              <w:rPr>
                <w:color w:val="auto"/>
                <w:sz w:val="24"/>
                <w:vertAlign w:val="subscript"/>
              </w:rPr>
              <w:t>2.5</w:t>
            </w:r>
            <w:r>
              <w:rPr>
                <w:color w:val="auto"/>
                <w:sz w:val="24"/>
              </w:rPr>
              <w:t>、O</w:t>
            </w:r>
            <w:r>
              <w:rPr>
                <w:color w:val="auto"/>
                <w:sz w:val="24"/>
                <w:vertAlign w:val="subscript"/>
              </w:rPr>
              <w:t>3</w:t>
            </w:r>
            <w:r>
              <w:rPr>
                <w:color w:val="auto"/>
                <w:sz w:val="24"/>
              </w:rPr>
              <w:t>浓度值</w:t>
            </w:r>
            <w:r>
              <w:rPr>
                <w:rFonts w:hint="eastAsia"/>
                <w:color w:val="auto"/>
                <w:sz w:val="24"/>
              </w:rPr>
              <w:t>不</w:t>
            </w:r>
            <w:r>
              <w:rPr>
                <w:color w:val="auto"/>
                <w:sz w:val="24"/>
              </w:rPr>
              <w:t>满足《环境空气质量标准》(GB3095-2012)中二级标准。根据废气污染物排放量核算结果，项目废气经处理后排放量较小，本项目对周边大气环境影响较小</w:t>
            </w:r>
            <w:r>
              <w:rPr>
                <w:rFonts w:hint="eastAsia"/>
                <w:color w:val="auto"/>
                <w:sz w:val="24"/>
                <w:lang w:eastAsia="zh-CN"/>
              </w:rPr>
              <w:t>，</w:t>
            </w:r>
            <w:r>
              <w:rPr>
                <w:color w:val="auto"/>
              </w:rPr>
              <w:t>在可接受范围内。</w:t>
            </w:r>
          </w:p>
        </w:tc>
      </w:tr>
    </w:tbl>
    <w:p w14:paraId="35D09849">
      <w:pPr>
        <w:ind w:firstLine="0" w:firstLineChars="0"/>
        <w:rPr>
          <w:rFonts w:hint="eastAsia"/>
          <w:color w:val="auto"/>
        </w:rPr>
        <w:sectPr>
          <w:pgSz w:w="11905" w:h="16838"/>
          <w:pgMar w:top="850" w:right="1531" w:bottom="850" w:left="1531" w:header="851" w:footer="850" w:gutter="0"/>
          <w:pgNumType w:fmt="decimal"/>
          <w:cols w:space="720" w:num="1"/>
          <w:docGrid w:type="linesAndChars" w:linePitch="312" w:charSpace="0"/>
        </w:sect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14774"/>
      </w:tblGrid>
      <w:tr w14:paraId="5BFB9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dxa"/>
            <w:noWrap w:val="0"/>
            <w:vAlign w:val="top"/>
          </w:tcPr>
          <w:p w14:paraId="3D4A36EA">
            <w:pPr>
              <w:ind w:firstLine="480"/>
              <w:rPr>
                <w:rFonts w:hint="eastAsia"/>
                <w:color w:val="auto"/>
              </w:rPr>
            </w:pPr>
          </w:p>
        </w:tc>
        <w:tc>
          <w:tcPr>
            <w:tcW w:w="14774" w:type="dxa"/>
            <w:noWrap w:val="0"/>
            <w:vAlign w:val="top"/>
          </w:tcPr>
          <w:p w14:paraId="257E0956">
            <w:pPr>
              <w:numPr>
                <w:ilvl w:val="0"/>
                <w:numId w:val="8"/>
              </w:numPr>
              <w:ind w:firstLine="0" w:firstLineChars="0"/>
              <w:rPr>
                <w:rFonts w:hint="eastAsia"/>
                <w:b/>
                <w:bCs/>
                <w:color w:val="auto"/>
              </w:rPr>
            </w:pPr>
            <w:r>
              <w:rPr>
                <w:rFonts w:hint="eastAsia"/>
                <w:b/>
                <w:bCs/>
                <w:color w:val="auto"/>
              </w:rPr>
              <w:t>废水</w:t>
            </w:r>
          </w:p>
          <w:p w14:paraId="74EA9356">
            <w:pPr>
              <w:ind w:firstLine="482"/>
              <w:rPr>
                <w:color w:val="auto"/>
              </w:rPr>
            </w:pPr>
            <w:r>
              <w:rPr>
                <w:rFonts w:hint="eastAsia" w:ascii="宋体" w:hAnsi="宋体" w:cs="宋体"/>
                <w:b/>
                <w:bCs/>
                <w:color w:val="auto"/>
              </w:rPr>
              <w:t>①</w:t>
            </w:r>
            <w:r>
              <w:rPr>
                <w:rFonts w:hint="eastAsia"/>
                <w:b/>
                <w:bCs/>
                <w:color w:val="auto"/>
              </w:rPr>
              <w:t>废水污染源强</w:t>
            </w:r>
          </w:p>
          <w:p w14:paraId="61E3D19A">
            <w:pPr>
              <w:ind w:firstLine="480"/>
              <w:rPr>
                <w:rFonts w:hint="eastAsia"/>
                <w:color w:val="auto"/>
              </w:rPr>
            </w:pPr>
            <w:r>
              <w:rPr>
                <w:rFonts w:hint="eastAsia"/>
                <w:color w:val="auto"/>
              </w:rPr>
              <w:t>本项目营运期废水主要包括：员工办公生活废水、保洁废水、</w:t>
            </w:r>
            <w:r>
              <w:rPr>
                <w:rFonts w:hint="eastAsia"/>
                <w:color w:val="auto"/>
                <w:lang w:val="en-US" w:eastAsia="zh-CN"/>
              </w:rPr>
              <w:t>循环冷却系统</w:t>
            </w:r>
            <w:r>
              <w:rPr>
                <w:rFonts w:hint="eastAsia"/>
                <w:color w:val="auto"/>
              </w:rPr>
              <w:t>排水等。</w:t>
            </w:r>
          </w:p>
          <w:p w14:paraId="3C2F57F0">
            <w:pPr>
              <w:ind w:firstLine="0" w:firstLineChars="0"/>
              <w:jc w:val="center"/>
              <w:rPr>
                <w:color w:val="auto"/>
              </w:rPr>
            </w:pPr>
            <w:r>
              <w:rPr>
                <w:rFonts w:hint="eastAsia"/>
                <w:b/>
                <w:bCs/>
                <w:color w:val="auto"/>
              </w:rPr>
              <w:t>表</w:t>
            </w:r>
            <w:r>
              <w:rPr>
                <w:rFonts w:hint="eastAsia"/>
                <w:b/>
                <w:bCs/>
                <w:color w:val="auto"/>
                <w:lang w:val="en-US" w:eastAsia="zh-CN"/>
              </w:rPr>
              <w:t>4-7</w:t>
            </w:r>
            <w:r>
              <w:rPr>
                <w:rFonts w:hint="eastAsia"/>
                <w:b/>
                <w:bCs/>
                <w:color w:val="auto"/>
              </w:rPr>
              <w:t xml:space="preserve"> 项目废水污染物排放情况一览表</w:t>
            </w:r>
          </w:p>
          <w:tbl>
            <w:tblPr>
              <w:tblStyle w:val="23"/>
              <w:tblW w:w="145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793"/>
              <w:gridCol w:w="1138"/>
              <w:gridCol w:w="1108"/>
              <w:gridCol w:w="1092"/>
              <w:gridCol w:w="608"/>
              <w:gridCol w:w="675"/>
              <w:gridCol w:w="756"/>
              <w:gridCol w:w="874"/>
              <w:gridCol w:w="608"/>
              <w:gridCol w:w="1108"/>
              <w:gridCol w:w="1066"/>
              <w:gridCol w:w="881"/>
              <w:gridCol w:w="604"/>
              <w:gridCol w:w="604"/>
              <w:gridCol w:w="1996"/>
            </w:tblGrid>
            <w:tr w14:paraId="68B8B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restart"/>
                  <w:noWrap w:val="0"/>
                  <w:vAlign w:val="center"/>
                </w:tcPr>
                <w:p w14:paraId="0FCAD2F0">
                  <w:pPr>
                    <w:widowControl/>
                    <w:spacing w:line="240" w:lineRule="auto"/>
                    <w:ind w:firstLine="0" w:firstLineChars="0"/>
                    <w:jc w:val="center"/>
                    <w:textAlignment w:val="center"/>
                    <w:rPr>
                      <w:b/>
                      <w:bCs/>
                      <w:color w:val="auto"/>
                      <w:sz w:val="21"/>
                      <w:szCs w:val="21"/>
                    </w:rPr>
                  </w:pPr>
                  <w:r>
                    <w:rPr>
                      <w:b/>
                      <w:bCs/>
                      <w:color w:val="auto"/>
                      <w:sz w:val="21"/>
                      <w:szCs w:val="21"/>
                    </w:rPr>
                    <w:t>产污</w:t>
                  </w:r>
                </w:p>
                <w:p w14:paraId="5D7D695F">
                  <w:pPr>
                    <w:widowControl/>
                    <w:spacing w:line="240" w:lineRule="auto"/>
                    <w:ind w:firstLine="0" w:firstLineChars="0"/>
                    <w:jc w:val="center"/>
                    <w:textAlignment w:val="center"/>
                    <w:rPr>
                      <w:b/>
                      <w:bCs/>
                      <w:color w:val="auto"/>
                      <w:sz w:val="21"/>
                      <w:szCs w:val="21"/>
                    </w:rPr>
                  </w:pPr>
                  <w:r>
                    <w:rPr>
                      <w:b/>
                      <w:bCs/>
                      <w:color w:val="auto"/>
                      <w:sz w:val="21"/>
                      <w:szCs w:val="21"/>
                    </w:rPr>
                    <w:t>环节</w:t>
                  </w:r>
                </w:p>
              </w:tc>
              <w:tc>
                <w:tcPr>
                  <w:tcW w:w="793" w:type="dxa"/>
                  <w:vMerge w:val="restart"/>
                  <w:noWrap w:val="0"/>
                  <w:vAlign w:val="center"/>
                </w:tcPr>
                <w:p w14:paraId="633F51AB">
                  <w:pPr>
                    <w:widowControl/>
                    <w:spacing w:line="240" w:lineRule="auto"/>
                    <w:ind w:firstLine="0" w:firstLineChars="0"/>
                    <w:jc w:val="center"/>
                    <w:textAlignment w:val="center"/>
                    <w:rPr>
                      <w:b/>
                      <w:bCs/>
                      <w:color w:val="auto"/>
                      <w:sz w:val="21"/>
                      <w:szCs w:val="21"/>
                    </w:rPr>
                  </w:pPr>
                  <w:r>
                    <w:rPr>
                      <w:b/>
                      <w:bCs/>
                      <w:color w:val="auto"/>
                      <w:sz w:val="21"/>
                      <w:szCs w:val="21"/>
                    </w:rPr>
                    <w:t>类别</w:t>
                  </w:r>
                </w:p>
              </w:tc>
              <w:tc>
                <w:tcPr>
                  <w:tcW w:w="1138" w:type="dxa"/>
                  <w:vMerge w:val="restart"/>
                  <w:noWrap w:val="0"/>
                  <w:vAlign w:val="center"/>
                </w:tcPr>
                <w:p w14:paraId="5E77681D">
                  <w:pPr>
                    <w:widowControl/>
                    <w:spacing w:line="240" w:lineRule="auto"/>
                    <w:ind w:firstLine="0" w:firstLineChars="0"/>
                    <w:jc w:val="center"/>
                    <w:textAlignment w:val="center"/>
                    <w:rPr>
                      <w:b/>
                      <w:bCs/>
                      <w:color w:val="auto"/>
                      <w:sz w:val="21"/>
                      <w:szCs w:val="21"/>
                    </w:rPr>
                  </w:pPr>
                  <w:r>
                    <w:rPr>
                      <w:b/>
                      <w:bCs/>
                      <w:color w:val="auto"/>
                      <w:sz w:val="21"/>
                      <w:szCs w:val="21"/>
                    </w:rPr>
                    <w:t>污染物种类</w:t>
                  </w:r>
                </w:p>
              </w:tc>
              <w:tc>
                <w:tcPr>
                  <w:tcW w:w="2200" w:type="dxa"/>
                  <w:gridSpan w:val="2"/>
                  <w:noWrap w:val="0"/>
                  <w:vAlign w:val="center"/>
                </w:tcPr>
                <w:p w14:paraId="755BCF8E">
                  <w:pPr>
                    <w:spacing w:line="240" w:lineRule="auto"/>
                    <w:ind w:firstLine="0" w:firstLineChars="0"/>
                    <w:jc w:val="center"/>
                    <w:rPr>
                      <w:b/>
                      <w:bCs/>
                      <w:color w:val="auto"/>
                      <w:sz w:val="21"/>
                      <w:szCs w:val="21"/>
                    </w:rPr>
                  </w:pPr>
                  <w:r>
                    <w:rPr>
                      <w:b/>
                      <w:bCs/>
                      <w:color w:val="auto"/>
                      <w:sz w:val="21"/>
                      <w:szCs w:val="21"/>
                    </w:rPr>
                    <w:t>产生情况</w:t>
                  </w:r>
                </w:p>
              </w:tc>
              <w:tc>
                <w:tcPr>
                  <w:tcW w:w="3521" w:type="dxa"/>
                  <w:gridSpan w:val="5"/>
                  <w:noWrap w:val="0"/>
                  <w:vAlign w:val="center"/>
                </w:tcPr>
                <w:p w14:paraId="05B3329F">
                  <w:pPr>
                    <w:spacing w:line="240" w:lineRule="auto"/>
                    <w:ind w:firstLine="0" w:firstLineChars="0"/>
                    <w:jc w:val="center"/>
                    <w:rPr>
                      <w:color w:val="auto"/>
                      <w:sz w:val="21"/>
                      <w:szCs w:val="21"/>
                    </w:rPr>
                  </w:pPr>
                  <w:r>
                    <w:rPr>
                      <w:b/>
                      <w:bCs/>
                      <w:color w:val="auto"/>
                      <w:sz w:val="21"/>
                      <w:szCs w:val="21"/>
                    </w:rPr>
                    <w:t>治理设施</w:t>
                  </w:r>
                </w:p>
              </w:tc>
              <w:tc>
                <w:tcPr>
                  <w:tcW w:w="6259" w:type="dxa"/>
                  <w:gridSpan w:val="6"/>
                  <w:noWrap w:val="0"/>
                  <w:vAlign w:val="center"/>
                </w:tcPr>
                <w:p w14:paraId="67BFFDE8">
                  <w:pPr>
                    <w:spacing w:line="240" w:lineRule="auto"/>
                    <w:ind w:firstLine="0" w:firstLineChars="0"/>
                    <w:jc w:val="center"/>
                    <w:rPr>
                      <w:color w:val="auto"/>
                      <w:sz w:val="21"/>
                      <w:szCs w:val="21"/>
                    </w:rPr>
                  </w:pPr>
                  <w:r>
                    <w:rPr>
                      <w:b/>
                      <w:bCs/>
                      <w:color w:val="auto"/>
                      <w:sz w:val="21"/>
                      <w:szCs w:val="21"/>
                    </w:rPr>
                    <w:t>排放情况</w:t>
                  </w:r>
                </w:p>
              </w:tc>
            </w:tr>
            <w:tr w14:paraId="7E109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noWrap w:val="0"/>
                  <w:vAlign w:val="center"/>
                </w:tcPr>
                <w:p w14:paraId="731DBB7D">
                  <w:pPr>
                    <w:spacing w:line="240" w:lineRule="auto"/>
                    <w:ind w:firstLine="0" w:firstLineChars="0"/>
                    <w:jc w:val="center"/>
                    <w:rPr>
                      <w:color w:val="auto"/>
                      <w:sz w:val="21"/>
                      <w:szCs w:val="21"/>
                    </w:rPr>
                  </w:pPr>
                </w:p>
              </w:tc>
              <w:tc>
                <w:tcPr>
                  <w:tcW w:w="793" w:type="dxa"/>
                  <w:vMerge w:val="continue"/>
                  <w:noWrap w:val="0"/>
                  <w:vAlign w:val="center"/>
                </w:tcPr>
                <w:p w14:paraId="7C4B4033">
                  <w:pPr>
                    <w:spacing w:line="240" w:lineRule="auto"/>
                    <w:ind w:firstLine="0" w:firstLineChars="0"/>
                    <w:jc w:val="center"/>
                    <w:rPr>
                      <w:color w:val="auto"/>
                      <w:sz w:val="21"/>
                      <w:szCs w:val="21"/>
                    </w:rPr>
                  </w:pPr>
                </w:p>
              </w:tc>
              <w:tc>
                <w:tcPr>
                  <w:tcW w:w="1138" w:type="dxa"/>
                  <w:vMerge w:val="continue"/>
                  <w:noWrap w:val="0"/>
                  <w:vAlign w:val="center"/>
                </w:tcPr>
                <w:p w14:paraId="405B7DB5">
                  <w:pPr>
                    <w:spacing w:line="240" w:lineRule="auto"/>
                    <w:ind w:firstLine="0" w:firstLineChars="0"/>
                    <w:jc w:val="center"/>
                    <w:rPr>
                      <w:color w:val="auto"/>
                      <w:sz w:val="21"/>
                      <w:szCs w:val="21"/>
                    </w:rPr>
                  </w:pPr>
                </w:p>
              </w:tc>
              <w:tc>
                <w:tcPr>
                  <w:tcW w:w="1108" w:type="dxa"/>
                  <w:noWrap w:val="0"/>
                  <w:vAlign w:val="center"/>
                </w:tcPr>
                <w:p w14:paraId="1AEABCB7">
                  <w:pPr>
                    <w:widowControl/>
                    <w:spacing w:line="240" w:lineRule="auto"/>
                    <w:ind w:firstLine="0" w:firstLineChars="0"/>
                    <w:jc w:val="center"/>
                    <w:textAlignment w:val="center"/>
                    <w:rPr>
                      <w:b/>
                      <w:bCs/>
                      <w:color w:val="auto"/>
                      <w:sz w:val="21"/>
                      <w:szCs w:val="21"/>
                    </w:rPr>
                  </w:pPr>
                  <w:r>
                    <w:rPr>
                      <w:b/>
                      <w:bCs/>
                      <w:color w:val="auto"/>
                      <w:sz w:val="21"/>
                      <w:szCs w:val="21"/>
                    </w:rPr>
                    <w:t>产生量</w:t>
                  </w:r>
                </w:p>
                <w:p w14:paraId="6A39DE39">
                  <w:pPr>
                    <w:widowControl/>
                    <w:spacing w:line="240" w:lineRule="auto"/>
                    <w:ind w:firstLine="0" w:firstLineChars="0"/>
                    <w:jc w:val="center"/>
                    <w:textAlignment w:val="center"/>
                    <w:rPr>
                      <w:b/>
                      <w:bCs/>
                      <w:color w:val="auto"/>
                      <w:sz w:val="21"/>
                      <w:szCs w:val="21"/>
                    </w:rPr>
                  </w:pPr>
                  <w:r>
                    <w:rPr>
                      <w:b/>
                      <w:bCs/>
                      <w:color w:val="auto"/>
                      <w:sz w:val="21"/>
                      <w:szCs w:val="21"/>
                    </w:rPr>
                    <w:t>(</w:t>
                  </w:r>
                  <w:r>
                    <w:rPr>
                      <w:rFonts w:hint="eastAsia"/>
                      <w:b/>
                      <w:bCs/>
                      <w:color w:val="auto"/>
                      <w:sz w:val="21"/>
                      <w:szCs w:val="21"/>
                    </w:rPr>
                    <w:t>t</w:t>
                  </w:r>
                  <w:r>
                    <w:rPr>
                      <w:b/>
                      <w:bCs/>
                      <w:color w:val="auto"/>
                      <w:sz w:val="21"/>
                      <w:szCs w:val="21"/>
                    </w:rPr>
                    <w:t>/a)</w:t>
                  </w:r>
                </w:p>
              </w:tc>
              <w:tc>
                <w:tcPr>
                  <w:tcW w:w="1092" w:type="dxa"/>
                  <w:noWrap w:val="0"/>
                  <w:vAlign w:val="center"/>
                </w:tcPr>
                <w:p w14:paraId="249DE4DB">
                  <w:pPr>
                    <w:widowControl/>
                    <w:spacing w:line="240" w:lineRule="auto"/>
                    <w:ind w:firstLine="0" w:firstLineChars="0"/>
                    <w:jc w:val="center"/>
                    <w:textAlignment w:val="center"/>
                    <w:rPr>
                      <w:b/>
                      <w:bCs/>
                      <w:color w:val="auto"/>
                      <w:sz w:val="21"/>
                      <w:szCs w:val="21"/>
                    </w:rPr>
                  </w:pPr>
                  <w:r>
                    <w:rPr>
                      <w:b/>
                      <w:bCs/>
                      <w:color w:val="auto"/>
                      <w:sz w:val="21"/>
                      <w:szCs w:val="21"/>
                    </w:rPr>
                    <w:t>浓度</w:t>
                  </w:r>
                </w:p>
                <w:p w14:paraId="52CE86B0">
                  <w:pPr>
                    <w:widowControl/>
                    <w:spacing w:line="240" w:lineRule="auto"/>
                    <w:ind w:firstLine="0" w:firstLineChars="0"/>
                    <w:jc w:val="center"/>
                    <w:textAlignment w:val="center"/>
                    <w:rPr>
                      <w:b/>
                      <w:bCs/>
                      <w:color w:val="auto"/>
                      <w:sz w:val="21"/>
                      <w:szCs w:val="21"/>
                    </w:rPr>
                  </w:pPr>
                  <w:r>
                    <w:rPr>
                      <w:b/>
                      <w:bCs/>
                      <w:color w:val="auto"/>
                      <w:sz w:val="21"/>
                      <w:szCs w:val="21"/>
                    </w:rPr>
                    <w:t>(mg/L)</w:t>
                  </w:r>
                </w:p>
              </w:tc>
              <w:tc>
                <w:tcPr>
                  <w:tcW w:w="608" w:type="dxa"/>
                  <w:noWrap w:val="0"/>
                  <w:vAlign w:val="center"/>
                </w:tcPr>
                <w:p w14:paraId="4BE09D1E">
                  <w:pPr>
                    <w:widowControl/>
                    <w:spacing w:line="240" w:lineRule="auto"/>
                    <w:ind w:firstLine="0" w:firstLineChars="0"/>
                    <w:jc w:val="center"/>
                    <w:textAlignment w:val="center"/>
                    <w:rPr>
                      <w:b/>
                      <w:bCs/>
                      <w:color w:val="auto"/>
                      <w:sz w:val="21"/>
                      <w:szCs w:val="21"/>
                    </w:rPr>
                  </w:pPr>
                  <w:r>
                    <w:rPr>
                      <w:b/>
                      <w:bCs/>
                      <w:color w:val="auto"/>
                      <w:sz w:val="21"/>
                      <w:szCs w:val="21"/>
                    </w:rPr>
                    <w:t>处理措施</w:t>
                  </w:r>
                </w:p>
              </w:tc>
              <w:tc>
                <w:tcPr>
                  <w:tcW w:w="675" w:type="dxa"/>
                  <w:noWrap w:val="0"/>
                  <w:vAlign w:val="center"/>
                </w:tcPr>
                <w:p w14:paraId="152FAF55">
                  <w:pPr>
                    <w:widowControl/>
                    <w:spacing w:line="240" w:lineRule="auto"/>
                    <w:ind w:firstLine="0" w:firstLineChars="0"/>
                    <w:jc w:val="center"/>
                    <w:textAlignment w:val="center"/>
                    <w:rPr>
                      <w:b/>
                      <w:bCs/>
                      <w:color w:val="auto"/>
                      <w:sz w:val="21"/>
                      <w:szCs w:val="21"/>
                    </w:rPr>
                  </w:pPr>
                  <w:r>
                    <w:rPr>
                      <w:b/>
                      <w:bCs/>
                      <w:color w:val="auto"/>
                      <w:sz w:val="21"/>
                      <w:szCs w:val="21"/>
                    </w:rPr>
                    <w:t>处理</w:t>
                  </w:r>
                </w:p>
                <w:p w14:paraId="3755376A">
                  <w:pPr>
                    <w:widowControl/>
                    <w:spacing w:line="240" w:lineRule="auto"/>
                    <w:ind w:firstLine="0" w:firstLineChars="0"/>
                    <w:jc w:val="center"/>
                    <w:textAlignment w:val="center"/>
                    <w:rPr>
                      <w:b/>
                      <w:bCs/>
                      <w:color w:val="auto"/>
                      <w:sz w:val="21"/>
                      <w:szCs w:val="21"/>
                    </w:rPr>
                  </w:pPr>
                  <w:r>
                    <w:rPr>
                      <w:b/>
                      <w:bCs/>
                      <w:color w:val="auto"/>
                      <w:sz w:val="21"/>
                      <w:szCs w:val="21"/>
                    </w:rPr>
                    <w:t>效率</w:t>
                  </w:r>
                </w:p>
              </w:tc>
              <w:tc>
                <w:tcPr>
                  <w:tcW w:w="756" w:type="dxa"/>
                  <w:noWrap w:val="0"/>
                  <w:vAlign w:val="center"/>
                </w:tcPr>
                <w:p w14:paraId="4769652B">
                  <w:pPr>
                    <w:widowControl/>
                    <w:spacing w:line="240" w:lineRule="auto"/>
                    <w:ind w:firstLine="0" w:firstLineChars="0"/>
                    <w:jc w:val="center"/>
                    <w:textAlignment w:val="center"/>
                    <w:rPr>
                      <w:b/>
                      <w:bCs/>
                      <w:color w:val="auto"/>
                      <w:sz w:val="21"/>
                      <w:szCs w:val="21"/>
                    </w:rPr>
                  </w:pPr>
                  <w:r>
                    <w:rPr>
                      <w:b/>
                      <w:bCs/>
                      <w:color w:val="auto"/>
                      <w:sz w:val="21"/>
                      <w:szCs w:val="21"/>
                    </w:rPr>
                    <w:t>处理</w:t>
                  </w:r>
                </w:p>
                <w:p w14:paraId="6E24F53D">
                  <w:pPr>
                    <w:widowControl/>
                    <w:spacing w:line="240" w:lineRule="auto"/>
                    <w:ind w:firstLine="0" w:firstLineChars="0"/>
                    <w:jc w:val="center"/>
                    <w:textAlignment w:val="center"/>
                    <w:rPr>
                      <w:b/>
                      <w:bCs/>
                      <w:color w:val="auto"/>
                      <w:sz w:val="21"/>
                      <w:szCs w:val="21"/>
                    </w:rPr>
                  </w:pPr>
                  <w:r>
                    <w:rPr>
                      <w:b/>
                      <w:bCs/>
                      <w:color w:val="auto"/>
                      <w:sz w:val="21"/>
                      <w:szCs w:val="21"/>
                    </w:rPr>
                    <w:t>工艺</w:t>
                  </w:r>
                </w:p>
              </w:tc>
              <w:tc>
                <w:tcPr>
                  <w:tcW w:w="874" w:type="dxa"/>
                  <w:noWrap w:val="0"/>
                  <w:vAlign w:val="center"/>
                </w:tcPr>
                <w:p w14:paraId="0E9A6628">
                  <w:pPr>
                    <w:widowControl/>
                    <w:spacing w:line="240" w:lineRule="auto"/>
                    <w:ind w:firstLine="0" w:firstLineChars="0"/>
                    <w:jc w:val="center"/>
                    <w:textAlignment w:val="center"/>
                    <w:rPr>
                      <w:b/>
                      <w:bCs/>
                      <w:color w:val="auto"/>
                      <w:sz w:val="21"/>
                      <w:szCs w:val="21"/>
                    </w:rPr>
                  </w:pPr>
                  <w:r>
                    <w:rPr>
                      <w:b/>
                      <w:bCs/>
                      <w:color w:val="auto"/>
                      <w:sz w:val="21"/>
                      <w:szCs w:val="21"/>
                    </w:rPr>
                    <w:t>处理能力</w:t>
                  </w:r>
                </w:p>
              </w:tc>
              <w:tc>
                <w:tcPr>
                  <w:tcW w:w="608" w:type="dxa"/>
                  <w:noWrap w:val="0"/>
                  <w:vAlign w:val="center"/>
                </w:tcPr>
                <w:p w14:paraId="3878C9AE">
                  <w:pPr>
                    <w:widowControl/>
                    <w:spacing w:line="240" w:lineRule="auto"/>
                    <w:ind w:firstLine="0" w:firstLineChars="0"/>
                    <w:jc w:val="center"/>
                    <w:textAlignment w:val="center"/>
                    <w:rPr>
                      <w:b/>
                      <w:bCs/>
                      <w:color w:val="auto"/>
                      <w:sz w:val="21"/>
                      <w:szCs w:val="21"/>
                    </w:rPr>
                  </w:pPr>
                  <w:r>
                    <w:rPr>
                      <w:b/>
                      <w:bCs/>
                      <w:color w:val="auto"/>
                      <w:sz w:val="21"/>
                      <w:szCs w:val="21"/>
                    </w:rPr>
                    <w:t>是否可行技术</w:t>
                  </w:r>
                </w:p>
              </w:tc>
              <w:tc>
                <w:tcPr>
                  <w:tcW w:w="1108" w:type="dxa"/>
                  <w:noWrap w:val="0"/>
                  <w:vAlign w:val="center"/>
                </w:tcPr>
                <w:p w14:paraId="12880ED1">
                  <w:pPr>
                    <w:widowControl/>
                    <w:spacing w:line="240" w:lineRule="auto"/>
                    <w:ind w:firstLine="0" w:firstLineChars="0"/>
                    <w:jc w:val="center"/>
                    <w:textAlignment w:val="center"/>
                    <w:rPr>
                      <w:b/>
                      <w:bCs/>
                      <w:color w:val="auto"/>
                      <w:sz w:val="21"/>
                      <w:szCs w:val="21"/>
                    </w:rPr>
                  </w:pPr>
                  <w:r>
                    <w:rPr>
                      <w:b/>
                      <w:bCs/>
                      <w:color w:val="auto"/>
                      <w:sz w:val="21"/>
                      <w:szCs w:val="21"/>
                    </w:rPr>
                    <w:t>排放量</w:t>
                  </w:r>
                </w:p>
                <w:p w14:paraId="3AF8BCA5">
                  <w:pPr>
                    <w:widowControl/>
                    <w:spacing w:line="240" w:lineRule="auto"/>
                    <w:ind w:firstLine="0" w:firstLineChars="0"/>
                    <w:jc w:val="center"/>
                    <w:textAlignment w:val="center"/>
                    <w:rPr>
                      <w:b/>
                      <w:bCs/>
                      <w:color w:val="auto"/>
                      <w:sz w:val="21"/>
                      <w:szCs w:val="21"/>
                    </w:rPr>
                  </w:pPr>
                  <w:r>
                    <w:rPr>
                      <w:b/>
                      <w:bCs/>
                      <w:color w:val="auto"/>
                      <w:sz w:val="21"/>
                      <w:szCs w:val="21"/>
                    </w:rPr>
                    <w:t>(t/a)</w:t>
                  </w:r>
                </w:p>
              </w:tc>
              <w:tc>
                <w:tcPr>
                  <w:tcW w:w="1066" w:type="dxa"/>
                  <w:noWrap w:val="0"/>
                  <w:vAlign w:val="center"/>
                </w:tcPr>
                <w:p w14:paraId="5A21E61C">
                  <w:pPr>
                    <w:widowControl/>
                    <w:spacing w:line="240" w:lineRule="auto"/>
                    <w:ind w:firstLine="0" w:firstLineChars="0"/>
                    <w:jc w:val="center"/>
                    <w:textAlignment w:val="center"/>
                    <w:rPr>
                      <w:b/>
                      <w:bCs/>
                      <w:color w:val="auto"/>
                      <w:sz w:val="21"/>
                      <w:szCs w:val="21"/>
                    </w:rPr>
                  </w:pPr>
                  <w:r>
                    <w:rPr>
                      <w:b/>
                      <w:bCs/>
                      <w:color w:val="auto"/>
                      <w:sz w:val="21"/>
                      <w:szCs w:val="21"/>
                    </w:rPr>
                    <w:t>浓度</w:t>
                  </w:r>
                </w:p>
                <w:p w14:paraId="4C17F29A">
                  <w:pPr>
                    <w:widowControl/>
                    <w:spacing w:line="240" w:lineRule="auto"/>
                    <w:ind w:firstLine="0" w:firstLineChars="0"/>
                    <w:jc w:val="center"/>
                    <w:textAlignment w:val="center"/>
                    <w:rPr>
                      <w:b/>
                      <w:bCs/>
                      <w:color w:val="auto"/>
                      <w:sz w:val="21"/>
                      <w:szCs w:val="21"/>
                    </w:rPr>
                  </w:pPr>
                  <w:r>
                    <w:rPr>
                      <w:b/>
                      <w:bCs/>
                      <w:color w:val="auto"/>
                      <w:sz w:val="21"/>
                      <w:szCs w:val="21"/>
                    </w:rPr>
                    <w:t>(mg/L)</w:t>
                  </w:r>
                </w:p>
              </w:tc>
              <w:tc>
                <w:tcPr>
                  <w:tcW w:w="881" w:type="dxa"/>
                  <w:noWrap w:val="0"/>
                  <w:vAlign w:val="center"/>
                </w:tcPr>
                <w:p w14:paraId="638DEE1A">
                  <w:pPr>
                    <w:widowControl/>
                    <w:spacing w:line="240" w:lineRule="auto"/>
                    <w:ind w:firstLine="0" w:firstLineChars="0"/>
                    <w:jc w:val="center"/>
                    <w:textAlignment w:val="center"/>
                    <w:rPr>
                      <w:b/>
                      <w:bCs/>
                      <w:color w:val="auto"/>
                      <w:sz w:val="21"/>
                      <w:szCs w:val="21"/>
                    </w:rPr>
                  </w:pPr>
                  <w:r>
                    <w:rPr>
                      <w:b/>
                      <w:bCs/>
                      <w:color w:val="auto"/>
                      <w:sz w:val="21"/>
                      <w:szCs w:val="21"/>
                    </w:rPr>
                    <w:t>排放口编号</w:t>
                  </w:r>
                </w:p>
              </w:tc>
              <w:tc>
                <w:tcPr>
                  <w:tcW w:w="604" w:type="dxa"/>
                  <w:noWrap w:val="0"/>
                  <w:vAlign w:val="center"/>
                </w:tcPr>
                <w:p w14:paraId="2EFA805B">
                  <w:pPr>
                    <w:widowControl/>
                    <w:spacing w:line="240" w:lineRule="auto"/>
                    <w:ind w:firstLine="0" w:firstLineChars="0"/>
                    <w:jc w:val="center"/>
                    <w:textAlignment w:val="center"/>
                    <w:rPr>
                      <w:b/>
                      <w:bCs/>
                      <w:color w:val="auto"/>
                      <w:sz w:val="21"/>
                      <w:szCs w:val="21"/>
                    </w:rPr>
                  </w:pPr>
                  <w:r>
                    <w:rPr>
                      <w:b/>
                      <w:bCs/>
                      <w:color w:val="auto"/>
                      <w:sz w:val="21"/>
                      <w:szCs w:val="21"/>
                    </w:rPr>
                    <w:t>排放</w:t>
                  </w:r>
                </w:p>
                <w:p w14:paraId="7A7D6C75">
                  <w:pPr>
                    <w:widowControl/>
                    <w:spacing w:line="240" w:lineRule="auto"/>
                    <w:ind w:firstLine="0" w:firstLineChars="0"/>
                    <w:jc w:val="center"/>
                    <w:textAlignment w:val="center"/>
                    <w:rPr>
                      <w:b/>
                      <w:bCs/>
                      <w:color w:val="auto"/>
                      <w:sz w:val="21"/>
                      <w:szCs w:val="21"/>
                    </w:rPr>
                  </w:pPr>
                  <w:r>
                    <w:rPr>
                      <w:b/>
                      <w:bCs/>
                      <w:color w:val="auto"/>
                      <w:sz w:val="21"/>
                      <w:szCs w:val="21"/>
                    </w:rPr>
                    <w:t>方式</w:t>
                  </w:r>
                </w:p>
              </w:tc>
              <w:tc>
                <w:tcPr>
                  <w:tcW w:w="604" w:type="dxa"/>
                  <w:noWrap w:val="0"/>
                  <w:vAlign w:val="center"/>
                </w:tcPr>
                <w:p w14:paraId="056B0E83">
                  <w:pPr>
                    <w:widowControl/>
                    <w:spacing w:line="240" w:lineRule="auto"/>
                    <w:ind w:firstLine="0" w:firstLineChars="0"/>
                    <w:jc w:val="center"/>
                    <w:textAlignment w:val="center"/>
                    <w:rPr>
                      <w:b/>
                      <w:bCs/>
                      <w:color w:val="auto"/>
                      <w:sz w:val="21"/>
                      <w:szCs w:val="21"/>
                    </w:rPr>
                  </w:pPr>
                  <w:r>
                    <w:rPr>
                      <w:b/>
                      <w:bCs/>
                      <w:color w:val="auto"/>
                      <w:sz w:val="21"/>
                      <w:szCs w:val="21"/>
                    </w:rPr>
                    <w:t>排放去向</w:t>
                  </w:r>
                </w:p>
              </w:tc>
              <w:tc>
                <w:tcPr>
                  <w:tcW w:w="1996" w:type="dxa"/>
                  <w:noWrap w:val="0"/>
                  <w:vAlign w:val="center"/>
                </w:tcPr>
                <w:p w14:paraId="48F3126B">
                  <w:pPr>
                    <w:widowControl/>
                    <w:spacing w:line="240" w:lineRule="auto"/>
                    <w:ind w:firstLine="0" w:firstLineChars="0"/>
                    <w:jc w:val="center"/>
                    <w:textAlignment w:val="center"/>
                    <w:rPr>
                      <w:b/>
                      <w:bCs/>
                      <w:color w:val="auto"/>
                      <w:sz w:val="21"/>
                      <w:szCs w:val="21"/>
                    </w:rPr>
                  </w:pPr>
                  <w:r>
                    <w:rPr>
                      <w:b/>
                      <w:bCs/>
                      <w:color w:val="auto"/>
                      <w:sz w:val="21"/>
                      <w:szCs w:val="21"/>
                    </w:rPr>
                    <w:t>排放规律</w:t>
                  </w:r>
                </w:p>
              </w:tc>
            </w:tr>
            <w:tr w14:paraId="428A7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36" w:type="dxa"/>
                  <w:vMerge w:val="restart"/>
                  <w:noWrap w:val="0"/>
                  <w:vAlign w:val="center"/>
                </w:tcPr>
                <w:p w14:paraId="1BCAE256">
                  <w:pPr>
                    <w:spacing w:line="240" w:lineRule="auto"/>
                    <w:ind w:firstLine="0" w:firstLineChars="0"/>
                    <w:jc w:val="center"/>
                    <w:rPr>
                      <w:rFonts w:hint="default" w:eastAsia="宋体"/>
                      <w:color w:val="auto"/>
                      <w:sz w:val="21"/>
                      <w:szCs w:val="21"/>
                      <w:lang w:val="en-US" w:eastAsia="zh-CN"/>
                    </w:rPr>
                  </w:pPr>
                  <w:r>
                    <w:rPr>
                      <w:rFonts w:hint="eastAsia"/>
                      <w:color w:val="auto"/>
                      <w:sz w:val="21"/>
                      <w:szCs w:val="21"/>
                    </w:rPr>
                    <w:t>办公</w:t>
                  </w:r>
                  <w:r>
                    <w:rPr>
                      <w:rFonts w:hint="eastAsia"/>
                      <w:color w:val="auto"/>
                      <w:sz w:val="21"/>
                      <w:szCs w:val="21"/>
                      <w:lang w:eastAsia="zh-CN"/>
                    </w:rPr>
                    <w:t>、</w:t>
                  </w:r>
                  <w:r>
                    <w:rPr>
                      <w:rFonts w:hint="eastAsia"/>
                      <w:color w:val="auto"/>
                      <w:sz w:val="21"/>
                      <w:szCs w:val="21"/>
                      <w:lang w:val="en-US" w:eastAsia="zh-CN"/>
                    </w:rPr>
                    <w:t>保洁</w:t>
                  </w:r>
                </w:p>
              </w:tc>
              <w:tc>
                <w:tcPr>
                  <w:tcW w:w="793" w:type="dxa"/>
                  <w:vMerge w:val="restart"/>
                  <w:noWrap w:val="0"/>
                  <w:vAlign w:val="center"/>
                </w:tcPr>
                <w:p w14:paraId="01151E80">
                  <w:pPr>
                    <w:spacing w:line="240" w:lineRule="auto"/>
                    <w:ind w:firstLine="0" w:firstLineChars="0"/>
                    <w:jc w:val="center"/>
                    <w:rPr>
                      <w:rFonts w:hint="eastAsia" w:eastAsia="宋体"/>
                      <w:color w:val="auto"/>
                      <w:sz w:val="21"/>
                      <w:szCs w:val="21"/>
                      <w:lang w:eastAsia="zh-CN"/>
                    </w:rPr>
                  </w:pPr>
                  <w:r>
                    <w:rPr>
                      <w:rFonts w:hint="eastAsia"/>
                      <w:color w:val="auto"/>
                      <w:sz w:val="21"/>
                      <w:szCs w:val="21"/>
                    </w:rPr>
                    <w:t>生活污水</w:t>
                  </w:r>
                  <w:r>
                    <w:rPr>
                      <w:rFonts w:hint="eastAsia"/>
                      <w:color w:val="auto"/>
                      <w:sz w:val="21"/>
                      <w:szCs w:val="21"/>
                      <w:lang w:eastAsia="zh-CN"/>
                    </w:rPr>
                    <w:t>、保洁废水</w:t>
                  </w:r>
                </w:p>
              </w:tc>
              <w:tc>
                <w:tcPr>
                  <w:tcW w:w="1138" w:type="dxa"/>
                  <w:noWrap w:val="0"/>
                  <w:vAlign w:val="center"/>
                </w:tcPr>
                <w:p w14:paraId="54CD2824">
                  <w:pPr>
                    <w:adjustRightInd w:val="0"/>
                    <w:spacing w:line="240" w:lineRule="auto"/>
                    <w:ind w:firstLine="0" w:firstLineChars="0"/>
                    <w:jc w:val="center"/>
                    <w:rPr>
                      <w:bCs/>
                      <w:color w:val="auto"/>
                      <w:kern w:val="0"/>
                      <w:sz w:val="21"/>
                      <w:szCs w:val="21"/>
                    </w:rPr>
                  </w:pPr>
                  <w:r>
                    <w:rPr>
                      <w:rFonts w:hint="eastAsia"/>
                      <w:bCs/>
                      <w:color w:val="auto"/>
                      <w:kern w:val="0"/>
                      <w:sz w:val="21"/>
                      <w:szCs w:val="21"/>
                    </w:rPr>
                    <w:t>水量</w:t>
                  </w:r>
                </w:p>
              </w:tc>
              <w:tc>
                <w:tcPr>
                  <w:tcW w:w="1108" w:type="dxa"/>
                  <w:noWrap w:val="0"/>
                  <w:vAlign w:val="center"/>
                </w:tcPr>
                <w:p w14:paraId="43B22F1B">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1722.9</w:t>
                  </w:r>
                </w:p>
              </w:tc>
              <w:tc>
                <w:tcPr>
                  <w:tcW w:w="1092" w:type="dxa"/>
                  <w:noWrap w:val="0"/>
                  <w:vAlign w:val="center"/>
                </w:tcPr>
                <w:p w14:paraId="4E2F0C4A">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rPr>
                    <w:t>/</w:t>
                  </w:r>
                </w:p>
              </w:tc>
              <w:tc>
                <w:tcPr>
                  <w:tcW w:w="608" w:type="dxa"/>
                  <w:vMerge w:val="restart"/>
                  <w:noWrap w:val="0"/>
                  <w:vAlign w:val="center"/>
                </w:tcPr>
                <w:p w14:paraId="152FD5BF">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rPr>
                    <w:t>化粪池</w:t>
                  </w:r>
                </w:p>
              </w:tc>
              <w:tc>
                <w:tcPr>
                  <w:tcW w:w="675" w:type="dxa"/>
                  <w:noWrap w:val="0"/>
                  <w:vAlign w:val="center"/>
                </w:tcPr>
                <w:p w14:paraId="52502A65">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rPr>
                    <w:t>/</w:t>
                  </w:r>
                </w:p>
              </w:tc>
              <w:tc>
                <w:tcPr>
                  <w:tcW w:w="756" w:type="dxa"/>
                  <w:vMerge w:val="restart"/>
                  <w:noWrap w:val="0"/>
                  <w:vAlign w:val="center"/>
                </w:tcPr>
                <w:p w14:paraId="2FFC5B00">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rPr>
                    <w:t>化粪池</w:t>
                  </w:r>
                </w:p>
              </w:tc>
              <w:tc>
                <w:tcPr>
                  <w:tcW w:w="874" w:type="dxa"/>
                  <w:vMerge w:val="restart"/>
                  <w:noWrap w:val="0"/>
                  <w:vAlign w:val="center"/>
                </w:tcPr>
                <w:p w14:paraId="4DC23614">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rPr>
                    <w:t>/</w:t>
                  </w:r>
                </w:p>
              </w:tc>
              <w:tc>
                <w:tcPr>
                  <w:tcW w:w="608" w:type="dxa"/>
                  <w:vMerge w:val="restart"/>
                  <w:noWrap w:val="0"/>
                  <w:vAlign w:val="center"/>
                </w:tcPr>
                <w:p w14:paraId="71856B94">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rPr>
                    <w:t>是</w:t>
                  </w:r>
                </w:p>
              </w:tc>
              <w:tc>
                <w:tcPr>
                  <w:tcW w:w="1108" w:type="dxa"/>
                  <w:noWrap w:val="0"/>
                  <w:vAlign w:val="center"/>
                </w:tcPr>
                <w:p w14:paraId="133E0DCB">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lang w:val="en-US" w:eastAsia="zh-CN"/>
                    </w:rPr>
                    <w:t>1722.9</w:t>
                  </w:r>
                </w:p>
              </w:tc>
              <w:tc>
                <w:tcPr>
                  <w:tcW w:w="1066" w:type="dxa"/>
                  <w:noWrap w:val="0"/>
                  <w:vAlign w:val="center"/>
                </w:tcPr>
                <w:p w14:paraId="308D98A9">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rPr>
                    <w:t>/</w:t>
                  </w:r>
                </w:p>
              </w:tc>
              <w:tc>
                <w:tcPr>
                  <w:tcW w:w="881" w:type="dxa"/>
                  <w:vMerge w:val="restart"/>
                  <w:noWrap w:val="0"/>
                  <w:vAlign w:val="center"/>
                </w:tcPr>
                <w:p w14:paraId="08484E35">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DW00</w:t>
                  </w:r>
                  <w:r>
                    <w:rPr>
                      <w:rFonts w:hint="eastAsia"/>
                      <w:color w:val="auto"/>
                      <w:sz w:val="21"/>
                      <w:szCs w:val="21"/>
                      <w:lang w:val="en-US" w:eastAsia="zh-CN"/>
                    </w:rPr>
                    <w:t>1</w:t>
                  </w:r>
                </w:p>
              </w:tc>
              <w:tc>
                <w:tcPr>
                  <w:tcW w:w="604" w:type="dxa"/>
                  <w:vMerge w:val="restart"/>
                  <w:noWrap w:val="0"/>
                  <w:vAlign w:val="center"/>
                </w:tcPr>
                <w:p w14:paraId="7594809D">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间接排放</w:t>
                  </w:r>
                </w:p>
              </w:tc>
              <w:tc>
                <w:tcPr>
                  <w:tcW w:w="604" w:type="dxa"/>
                  <w:vMerge w:val="restart"/>
                  <w:noWrap w:val="0"/>
                  <w:vAlign w:val="center"/>
                </w:tcPr>
                <w:p w14:paraId="172233CF">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龙湖</w:t>
                  </w:r>
                  <w:r>
                    <w:rPr>
                      <w:rFonts w:hint="eastAsia"/>
                      <w:color w:val="auto"/>
                      <w:sz w:val="21"/>
                      <w:szCs w:val="21"/>
                    </w:rPr>
                    <w:t>污水处理厂</w:t>
                  </w:r>
                </w:p>
              </w:tc>
              <w:tc>
                <w:tcPr>
                  <w:tcW w:w="1996" w:type="dxa"/>
                  <w:vMerge w:val="restart"/>
                  <w:noWrap w:val="0"/>
                  <w:vAlign w:val="center"/>
                </w:tcPr>
                <w:p w14:paraId="3963A4E1">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间断排放，排放期间流量不稳定，但有周期性规律</w:t>
                  </w:r>
                </w:p>
              </w:tc>
            </w:tr>
            <w:tr w14:paraId="01CA7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noWrap w:val="0"/>
                  <w:vAlign w:val="center"/>
                </w:tcPr>
                <w:p w14:paraId="612F8B9F">
                  <w:pPr>
                    <w:spacing w:line="240" w:lineRule="auto"/>
                    <w:ind w:firstLine="0" w:firstLineChars="0"/>
                    <w:jc w:val="center"/>
                    <w:rPr>
                      <w:color w:val="auto"/>
                      <w:sz w:val="21"/>
                      <w:szCs w:val="21"/>
                    </w:rPr>
                  </w:pPr>
                </w:p>
              </w:tc>
              <w:tc>
                <w:tcPr>
                  <w:tcW w:w="793" w:type="dxa"/>
                  <w:vMerge w:val="continue"/>
                  <w:noWrap w:val="0"/>
                  <w:vAlign w:val="center"/>
                </w:tcPr>
                <w:p w14:paraId="69029258">
                  <w:pPr>
                    <w:spacing w:line="240" w:lineRule="auto"/>
                    <w:ind w:firstLine="0" w:firstLineChars="0"/>
                    <w:jc w:val="center"/>
                    <w:rPr>
                      <w:color w:val="auto"/>
                      <w:sz w:val="21"/>
                      <w:szCs w:val="21"/>
                    </w:rPr>
                  </w:pPr>
                </w:p>
              </w:tc>
              <w:tc>
                <w:tcPr>
                  <w:tcW w:w="1138" w:type="dxa"/>
                  <w:noWrap w:val="0"/>
                  <w:vAlign w:val="center"/>
                </w:tcPr>
                <w:p w14:paraId="7041E59B">
                  <w:pPr>
                    <w:adjustRightInd w:val="0"/>
                    <w:spacing w:line="240" w:lineRule="auto"/>
                    <w:ind w:firstLine="0" w:firstLineChars="0"/>
                    <w:jc w:val="center"/>
                    <w:rPr>
                      <w:bCs/>
                      <w:color w:val="auto"/>
                      <w:kern w:val="0"/>
                      <w:sz w:val="21"/>
                      <w:szCs w:val="21"/>
                    </w:rPr>
                  </w:pPr>
                  <w:r>
                    <w:rPr>
                      <w:rFonts w:hint="eastAsia"/>
                      <w:bCs/>
                      <w:color w:val="auto"/>
                      <w:kern w:val="0"/>
                      <w:sz w:val="21"/>
                      <w:szCs w:val="21"/>
                    </w:rPr>
                    <w:t>COD</w:t>
                  </w:r>
                </w:p>
              </w:tc>
              <w:tc>
                <w:tcPr>
                  <w:tcW w:w="1108" w:type="dxa"/>
                  <w:shd w:val="clear" w:color="auto" w:fill="auto"/>
                  <w:noWrap w:val="0"/>
                  <w:vAlign w:val="center"/>
                </w:tcPr>
                <w:p w14:paraId="36A7270E">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 xml:space="preserve">0.603 </w:t>
                  </w:r>
                </w:p>
              </w:tc>
              <w:tc>
                <w:tcPr>
                  <w:tcW w:w="1092" w:type="dxa"/>
                  <w:noWrap w:val="0"/>
                  <w:vAlign w:val="center"/>
                </w:tcPr>
                <w:p w14:paraId="57B65C1E">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350</w:t>
                  </w:r>
                </w:p>
              </w:tc>
              <w:tc>
                <w:tcPr>
                  <w:tcW w:w="608" w:type="dxa"/>
                  <w:vMerge w:val="continue"/>
                  <w:noWrap w:val="0"/>
                  <w:vAlign w:val="center"/>
                </w:tcPr>
                <w:p w14:paraId="5F7E43F1">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p>
              </w:tc>
              <w:tc>
                <w:tcPr>
                  <w:tcW w:w="675" w:type="dxa"/>
                  <w:noWrap w:val="0"/>
                  <w:vAlign w:val="center"/>
                </w:tcPr>
                <w:p w14:paraId="69E3C838">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rPr>
                    <w:t>15%</w:t>
                  </w:r>
                </w:p>
              </w:tc>
              <w:tc>
                <w:tcPr>
                  <w:tcW w:w="756" w:type="dxa"/>
                  <w:vMerge w:val="continue"/>
                  <w:noWrap w:val="0"/>
                  <w:vAlign w:val="center"/>
                </w:tcPr>
                <w:p w14:paraId="2B49079D">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p>
              </w:tc>
              <w:tc>
                <w:tcPr>
                  <w:tcW w:w="874" w:type="dxa"/>
                  <w:vMerge w:val="continue"/>
                  <w:noWrap w:val="0"/>
                  <w:vAlign w:val="center"/>
                </w:tcPr>
                <w:p w14:paraId="363FDBC4">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p>
              </w:tc>
              <w:tc>
                <w:tcPr>
                  <w:tcW w:w="608" w:type="dxa"/>
                  <w:vMerge w:val="continue"/>
                  <w:noWrap w:val="0"/>
                  <w:vAlign w:val="center"/>
                </w:tcPr>
                <w:p w14:paraId="05293A6D">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p>
              </w:tc>
              <w:tc>
                <w:tcPr>
                  <w:tcW w:w="1108" w:type="dxa"/>
                  <w:shd w:val="clear" w:color="auto" w:fill="auto"/>
                  <w:noWrap w:val="0"/>
                  <w:vAlign w:val="center"/>
                </w:tcPr>
                <w:p w14:paraId="1ABCBC2F">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 xml:space="preserve">0.513 </w:t>
                  </w:r>
                </w:p>
              </w:tc>
              <w:tc>
                <w:tcPr>
                  <w:tcW w:w="1066" w:type="dxa"/>
                  <w:noWrap w:val="0"/>
                  <w:vAlign w:val="center"/>
                </w:tcPr>
                <w:p w14:paraId="2B278C23">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rPr>
                    <w:t>297.5</w:t>
                  </w:r>
                </w:p>
              </w:tc>
              <w:tc>
                <w:tcPr>
                  <w:tcW w:w="881" w:type="dxa"/>
                  <w:vMerge w:val="continue"/>
                  <w:noWrap w:val="0"/>
                  <w:vAlign w:val="center"/>
                </w:tcPr>
                <w:p w14:paraId="72A14308">
                  <w:pPr>
                    <w:spacing w:line="240" w:lineRule="auto"/>
                    <w:ind w:firstLine="0" w:firstLineChars="0"/>
                    <w:jc w:val="center"/>
                    <w:rPr>
                      <w:color w:val="auto"/>
                    </w:rPr>
                  </w:pPr>
                </w:p>
              </w:tc>
              <w:tc>
                <w:tcPr>
                  <w:tcW w:w="604" w:type="dxa"/>
                  <w:vMerge w:val="continue"/>
                  <w:noWrap w:val="0"/>
                  <w:vAlign w:val="center"/>
                </w:tcPr>
                <w:p w14:paraId="571CC214">
                  <w:pPr>
                    <w:spacing w:line="240" w:lineRule="auto"/>
                    <w:ind w:firstLine="0" w:firstLineChars="0"/>
                    <w:jc w:val="center"/>
                    <w:rPr>
                      <w:color w:val="auto"/>
                    </w:rPr>
                  </w:pPr>
                </w:p>
              </w:tc>
              <w:tc>
                <w:tcPr>
                  <w:tcW w:w="604" w:type="dxa"/>
                  <w:vMerge w:val="continue"/>
                  <w:noWrap w:val="0"/>
                  <w:vAlign w:val="center"/>
                </w:tcPr>
                <w:p w14:paraId="172214B8">
                  <w:pPr>
                    <w:spacing w:line="240" w:lineRule="auto"/>
                    <w:ind w:firstLine="0" w:firstLineChars="0"/>
                    <w:jc w:val="center"/>
                    <w:rPr>
                      <w:color w:val="auto"/>
                    </w:rPr>
                  </w:pPr>
                </w:p>
              </w:tc>
              <w:tc>
                <w:tcPr>
                  <w:tcW w:w="1996" w:type="dxa"/>
                  <w:vMerge w:val="continue"/>
                  <w:noWrap w:val="0"/>
                  <w:vAlign w:val="center"/>
                </w:tcPr>
                <w:p w14:paraId="4B6C30DC">
                  <w:pPr>
                    <w:spacing w:line="240" w:lineRule="auto"/>
                    <w:ind w:firstLine="0" w:firstLineChars="0"/>
                    <w:jc w:val="center"/>
                    <w:rPr>
                      <w:color w:val="auto"/>
                    </w:rPr>
                  </w:pPr>
                </w:p>
              </w:tc>
            </w:tr>
            <w:tr w14:paraId="78C06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vMerge w:val="continue"/>
                  <w:noWrap w:val="0"/>
                  <w:vAlign w:val="center"/>
                </w:tcPr>
                <w:p w14:paraId="20FAAF47">
                  <w:pPr>
                    <w:spacing w:line="240" w:lineRule="auto"/>
                    <w:ind w:firstLine="0" w:firstLineChars="0"/>
                    <w:jc w:val="center"/>
                    <w:rPr>
                      <w:color w:val="auto"/>
                      <w:sz w:val="21"/>
                      <w:szCs w:val="21"/>
                    </w:rPr>
                  </w:pPr>
                </w:p>
              </w:tc>
              <w:tc>
                <w:tcPr>
                  <w:tcW w:w="793" w:type="dxa"/>
                  <w:vMerge w:val="continue"/>
                  <w:noWrap w:val="0"/>
                  <w:vAlign w:val="center"/>
                </w:tcPr>
                <w:p w14:paraId="33153A40">
                  <w:pPr>
                    <w:spacing w:line="240" w:lineRule="auto"/>
                    <w:ind w:firstLine="0" w:firstLineChars="0"/>
                    <w:jc w:val="center"/>
                    <w:rPr>
                      <w:color w:val="auto"/>
                      <w:sz w:val="21"/>
                      <w:szCs w:val="21"/>
                    </w:rPr>
                  </w:pPr>
                </w:p>
              </w:tc>
              <w:tc>
                <w:tcPr>
                  <w:tcW w:w="1138" w:type="dxa"/>
                  <w:noWrap w:val="0"/>
                  <w:vAlign w:val="center"/>
                </w:tcPr>
                <w:p w14:paraId="6C372D77">
                  <w:pPr>
                    <w:adjustRightInd w:val="0"/>
                    <w:spacing w:line="240" w:lineRule="auto"/>
                    <w:ind w:firstLine="0" w:firstLineChars="0"/>
                    <w:jc w:val="center"/>
                    <w:rPr>
                      <w:bCs/>
                      <w:color w:val="auto"/>
                      <w:kern w:val="0"/>
                      <w:sz w:val="21"/>
                      <w:szCs w:val="21"/>
                    </w:rPr>
                  </w:pPr>
                  <w:r>
                    <w:rPr>
                      <w:rFonts w:hint="eastAsia"/>
                      <w:bCs/>
                      <w:color w:val="auto"/>
                      <w:kern w:val="0"/>
                      <w:sz w:val="21"/>
                      <w:szCs w:val="21"/>
                    </w:rPr>
                    <w:t>BOD</w:t>
                  </w:r>
                  <w:r>
                    <w:rPr>
                      <w:rFonts w:hint="eastAsia"/>
                      <w:bCs/>
                      <w:color w:val="auto"/>
                      <w:kern w:val="0"/>
                      <w:sz w:val="21"/>
                      <w:szCs w:val="21"/>
                      <w:vertAlign w:val="subscript"/>
                    </w:rPr>
                    <w:t>5</w:t>
                  </w:r>
                </w:p>
              </w:tc>
              <w:tc>
                <w:tcPr>
                  <w:tcW w:w="1108" w:type="dxa"/>
                  <w:shd w:val="clear" w:color="auto" w:fill="auto"/>
                  <w:noWrap w:val="0"/>
                  <w:vAlign w:val="center"/>
                </w:tcPr>
                <w:p w14:paraId="366E7F0B">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 xml:space="preserve">0.258 </w:t>
                  </w:r>
                </w:p>
              </w:tc>
              <w:tc>
                <w:tcPr>
                  <w:tcW w:w="1092" w:type="dxa"/>
                  <w:noWrap w:val="0"/>
                  <w:vAlign w:val="center"/>
                </w:tcPr>
                <w:p w14:paraId="420EAACD">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150</w:t>
                  </w:r>
                </w:p>
              </w:tc>
              <w:tc>
                <w:tcPr>
                  <w:tcW w:w="608" w:type="dxa"/>
                  <w:vMerge w:val="continue"/>
                  <w:noWrap w:val="0"/>
                  <w:vAlign w:val="center"/>
                </w:tcPr>
                <w:p w14:paraId="5A163F1E">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p>
              </w:tc>
              <w:tc>
                <w:tcPr>
                  <w:tcW w:w="675" w:type="dxa"/>
                  <w:noWrap w:val="0"/>
                  <w:vAlign w:val="center"/>
                </w:tcPr>
                <w:p w14:paraId="6CE50AA3">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rPr>
                    <w:t>9%</w:t>
                  </w:r>
                </w:p>
              </w:tc>
              <w:tc>
                <w:tcPr>
                  <w:tcW w:w="756" w:type="dxa"/>
                  <w:vMerge w:val="continue"/>
                  <w:noWrap w:val="0"/>
                  <w:vAlign w:val="center"/>
                </w:tcPr>
                <w:p w14:paraId="389A6994">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p>
              </w:tc>
              <w:tc>
                <w:tcPr>
                  <w:tcW w:w="874" w:type="dxa"/>
                  <w:vMerge w:val="continue"/>
                  <w:noWrap w:val="0"/>
                  <w:vAlign w:val="center"/>
                </w:tcPr>
                <w:p w14:paraId="3A2788C5">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p>
              </w:tc>
              <w:tc>
                <w:tcPr>
                  <w:tcW w:w="608" w:type="dxa"/>
                  <w:vMerge w:val="continue"/>
                  <w:noWrap w:val="0"/>
                  <w:vAlign w:val="center"/>
                </w:tcPr>
                <w:p w14:paraId="5AE77A1E">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p>
              </w:tc>
              <w:tc>
                <w:tcPr>
                  <w:tcW w:w="1108" w:type="dxa"/>
                  <w:shd w:val="clear" w:color="auto" w:fill="auto"/>
                  <w:noWrap w:val="0"/>
                  <w:vAlign w:val="center"/>
                </w:tcPr>
                <w:p w14:paraId="79E8DA7B">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 xml:space="preserve">0.235 </w:t>
                  </w:r>
                </w:p>
              </w:tc>
              <w:tc>
                <w:tcPr>
                  <w:tcW w:w="1066" w:type="dxa"/>
                  <w:noWrap w:val="0"/>
                  <w:vAlign w:val="center"/>
                </w:tcPr>
                <w:p w14:paraId="01F4CBBB">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rPr>
                    <w:t>136.5</w:t>
                  </w:r>
                </w:p>
              </w:tc>
              <w:tc>
                <w:tcPr>
                  <w:tcW w:w="881" w:type="dxa"/>
                  <w:vMerge w:val="continue"/>
                  <w:noWrap w:val="0"/>
                  <w:vAlign w:val="center"/>
                </w:tcPr>
                <w:p w14:paraId="1A16B9A1">
                  <w:pPr>
                    <w:spacing w:line="240" w:lineRule="auto"/>
                    <w:ind w:firstLine="0" w:firstLineChars="0"/>
                    <w:jc w:val="center"/>
                    <w:rPr>
                      <w:color w:val="auto"/>
                    </w:rPr>
                  </w:pPr>
                </w:p>
              </w:tc>
              <w:tc>
                <w:tcPr>
                  <w:tcW w:w="604" w:type="dxa"/>
                  <w:vMerge w:val="continue"/>
                  <w:noWrap w:val="0"/>
                  <w:vAlign w:val="center"/>
                </w:tcPr>
                <w:p w14:paraId="4D750BE1">
                  <w:pPr>
                    <w:spacing w:line="240" w:lineRule="auto"/>
                    <w:ind w:firstLine="0" w:firstLineChars="0"/>
                    <w:jc w:val="center"/>
                    <w:rPr>
                      <w:color w:val="auto"/>
                    </w:rPr>
                  </w:pPr>
                </w:p>
              </w:tc>
              <w:tc>
                <w:tcPr>
                  <w:tcW w:w="604" w:type="dxa"/>
                  <w:vMerge w:val="continue"/>
                  <w:noWrap w:val="0"/>
                  <w:vAlign w:val="center"/>
                </w:tcPr>
                <w:p w14:paraId="0234BD8D">
                  <w:pPr>
                    <w:spacing w:line="240" w:lineRule="auto"/>
                    <w:ind w:firstLine="0" w:firstLineChars="0"/>
                    <w:jc w:val="center"/>
                    <w:rPr>
                      <w:color w:val="auto"/>
                    </w:rPr>
                  </w:pPr>
                </w:p>
              </w:tc>
              <w:tc>
                <w:tcPr>
                  <w:tcW w:w="1996" w:type="dxa"/>
                  <w:vMerge w:val="continue"/>
                  <w:noWrap w:val="0"/>
                  <w:vAlign w:val="center"/>
                </w:tcPr>
                <w:p w14:paraId="32A7DB82">
                  <w:pPr>
                    <w:spacing w:line="240" w:lineRule="auto"/>
                    <w:ind w:firstLine="0" w:firstLineChars="0"/>
                    <w:jc w:val="center"/>
                    <w:rPr>
                      <w:color w:val="auto"/>
                    </w:rPr>
                  </w:pPr>
                </w:p>
              </w:tc>
            </w:tr>
            <w:tr w14:paraId="4F57F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noWrap w:val="0"/>
                  <w:vAlign w:val="center"/>
                </w:tcPr>
                <w:p w14:paraId="298ABF1C">
                  <w:pPr>
                    <w:spacing w:line="240" w:lineRule="auto"/>
                    <w:ind w:firstLine="0" w:firstLineChars="0"/>
                    <w:jc w:val="center"/>
                    <w:rPr>
                      <w:color w:val="auto"/>
                      <w:sz w:val="21"/>
                      <w:szCs w:val="21"/>
                    </w:rPr>
                  </w:pPr>
                </w:p>
              </w:tc>
              <w:tc>
                <w:tcPr>
                  <w:tcW w:w="793" w:type="dxa"/>
                  <w:vMerge w:val="continue"/>
                  <w:noWrap w:val="0"/>
                  <w:vAlign w:val="center"/>
                </w:tcPr>
                <w:p w14:paraId="7DA0EA86">
                  <w:pPr>
                    <w:spacing w:line="240" w:lineRule="auto"/>
                    <w:ind w:firstLine="0" w:firstLineChars="0"/>
                    <w:jc w:val="center"/>
                    <w:rPr>
                      <w:color w:val="auto"/>
                      <w:sz w:val="21"/>
                      <w:szCs w:val="21"/>
                    </w:rPr>
                  </w:pPr>
                </w:p>
              </w:tc>
              <w:tc>
                <w:tcPr>
                  <w:tcW w:w="1138" w:type="dxa"/>
                  <w:noWrap w:val="0"/>
                  <w:vAlign w:val="center"/>
                </w:tcPr>
                <w:p w14:paraId="628A908B">
                  <w:pPr>
                    <w:adjustRightInd w:val="0"/>
                    <w:spacing w:line="240" w:lineRule="auto"/>
                    <w:ind w:firstLine="0" w:firstLineChars="0"/>
                    <w:jc w:val="center"/>
                    <w:rPr>
                      <w:bCs/>
                      <w:color w:val="auto"/>
                      <w:kern w:val="0"/>
                      <w:sz w:val="21"/>
                      <w:szCs w:val="21"/>
                    </w:rPr>
                  </w:pPr>
                  <w:r>
                    <w:rPr>
                      <w:rFonts w:hint="eastAsia"/>
                      <w:bCs/>
                      <w:color w:val="auto"/>
                      <w:kern w:val="0"/>
                      <w:sz w:val="21"/>
                      <w:szCs w:val="21"/>
                    </w:rPr>
                    <w:t>SS</w:t>
                  </w:r>
                </w:p>
              </w:tc>
              <w:tc>
                <w:tcPr>
                  <w:tcW w:w="1108" w:type="dxa"/>
                  <w:shd w:val="clear" w:color="auto" w:fill="auto"/>
                  <w:noWrap w:val="0"/>
                  <w:vAlign w:val="center"/>
                </w:tcPr>
                <w:p w14:paraId="56B46EF9">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 xml:space="preserve">0.207 </w:t>
                  </w:r>
                </w:p>
              </w:tc>
              <w:tc>
                <w:tcPr>
                  <w:tcW w:w="1092" w:type="dxa"/>
                  <w:noWrap w:val="0"/>
                  <w:vAlign w:val="center"/>
                </w:tcPr>
                <w:p w14:paraId="2914DE04">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120</w:t>
                  </w:r>
                </w:p>
              </w:tc>
              <w:tc>
                <w:tcPr>
                  <w:tcW w:w="608" w:type="dxa"/>
                  <w:vMerge w:val="continue"/>
                  <w:noWrap w:val="0"/>
                  <w:vAlign w:val="center"/>
                </w:tcPr>
                <w:p w14:paraId="17D6C74A">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p>
              </w:tc>
              <w:tc>
                <w:tcPr>
                  <w:tcW w:w="675" w:type="dxa"/>
                  <w:noWrap w:val="0"/>
                  <w:vAlign w:val="center"/>
                </w:tcPr>
                <w:p w14:paraId="3EA79DB9">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rPr>
                    <w:t>30%</w:t>
                  </w:r>
                </w:p>
              </w:tc>
              <w:tc>
                <w:tcPr>
                  <w:tcW w:w="756" w:type="dxa"/>
                  <w:vMerge w:val="continue"/>
                  <w:noWrap w:val="0"/>
                  <w:vAlign w:val="center"/>
                </w:tcPr>
                <w:p w14:paraId="223C2C2A">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p>
              </w:tc>
              <w:tc>
                <w:tcPr>
                  <w:tcW w:w="874" w:type="dxa"/>
                  <w:vMerge w:val="continue"/>
                  <w:noWrap w:val="0"/>
                  <w:vAlign w:val="center"/>
                </w:tcPr>
                <w:p w14:paraId="257CF16E">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p>
              </w:tc>
              <w:tc>
                <w:tcPr>
                  <w:tcW w:w="608" w:type="dxa"/>
                  <w:vMerge w:val="continue"/>
                  <w:noWrap w:val="0"/>
                  <w:vAlign w:val="center"/>
                </w:tcPr>
                <w:p w14:paraId="5EB7612D">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p>
              </w:tc>
              <w:tc>
                <w:tcPr>
                  <w:tcW w:w="0" w:type="auto"/>
                  <w:shd w:val="clear" w:color="auto" w:fill="auto"/>
                  <w:noWrap w:val="0"/>
                  <w:vAlign w:val="center"/>
                </w:tcPr>
                <w:p w14:paraId="57CAF812">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 xml:space="preserve">0.145 </w:t>
                  </w:r>
                </w:p>
              </w:tc>
              <w:tc>
                <w:tcPr>
                  <w:tcW w:w="0" w:type="auto"/>
                  <w:noWrap w:val="0"/>
                  <w:vAlign w:val="center"/>
                </w:tcPr>
                <w:p w14:paraId="5C3F8B09">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rPr>
                    <w:t>84</w:t>
                  </w:r>
                </w:p>
              </w:tc>
              <w:tc>
                <w:tcPr>
                  <w:tcW w:w="881" w:type="dxa"/>
                  <w:vMerge w:val="continue"/>
                  <w:noWrap w:val="0"/>
                  <w:vAlign w:val="top"/>
                </w:tcPr>
                <w:p w14:paraId="5526FD20">
                  <w:pPr>
                    <w:spacing w:line="240" w:lineRule="auto"/>
                    <w:ind w:firstLine="0" w:firstLineChars="0"/>
                    <w:jc w:val="center"/>
                    <w:rPr>
                      <w:color w:val="auto"/>
                    </w:rPr>
                  </w:pPr>
                </w:p>
              </w:tc>
              <w:tc>
                <w:tcPr>
                  <w:tcW w:w="604" w:type="dxa"/>
                  <w:vMerge w:val="continue"/>
                  <w:noWrap w:val="0"/>
                  <w:vAlign w:val="top"/>
                </w:tcPr>
                <w:p w14:paraId="18C088E7">
                  <w:pPr>
                    <w:spacing w:line="240" w:lineRule="auto"/>
                    <w:ind w:firstLine="0" w:firstLineChars="0"/>
                    <w:jc w:val="center"/>
                    <w:rPr>
                      <w:color w:val="auto"/>
                    </w:rPr>
                  </w:pPr>
                </w:p>
              </w:tc>
              <w:tc>
                <w:tcPr>
                  <w:tcW w:w="604" w:type="dxa"/>
                  <w:vMerge w:val="continue"/>
                  <w:noWrap w:val="0"/>
                  <w:vAlign w:val="top"/>
                </w:tcPr>
                <w:p w14:paraId="20255820">
                  <w:pPr>
                    <w:spacing w:line="240" w:lineRule="auto"/>
                    <w:ind w:firstLine="0" w:firstLineChars="0"/>
                    <w:jc w:val="center"/>
                    <w:rPr>
                      <w:color w:val="auto"/>
                    </w:rPr>
                  </w:pPr>
                </w:p>
              </w:tc>
              <w:tc>
                <w:tcPr>
                  <w:tcW w:w="1996" w:type="dxa"/>
                  <w:vMerge w:val="continue"/>
                  <w:noWrap w:val="0"/>
                  <w:vAlign w:val="top"/>
                </w:tcPr>
                <w:p w14:paraId="541D5EB3">
                  <w:pPr>
                    <w:spacing w:line="240" w:lineRule="auto"/>
                    <w:ind w:firstLine="0" w:firstLineChars="0"/>
                    <w:jc w:val="center"/>
                    <w:rPr>
                      <w:color w:val="auto"/>
                    </w:rPr>
                  </w:pPr>
                </w:p>
              </w:tc>
            </w:tr>
            <w:tr w14:paraId="7DEFA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noWrap w:val="0"/>
                  <w:vAlign w:val="center"/>
                </w:tcPr>
                <w:p w14:paraId="072B7E4E">
                  <w:pPr>
                    <w:spacing w:line="240" w:lineRule="auto"/>
                    <w:ind w:firstLine="0" w:firstLineChars="0"/>
                    <w:jc w:val="center"/>
                    <w:rPr>
                      <w:color w:val="auto"/>
                      <w:sz w:val="21"/>
                      <w:szCs w:val="21"/>
                    </w:rPr>
                  </w:pPr>
                </w:p>
              </w:tc>
              <w:tc>
                <w:tcPr>
                  <w:tcW w:w="793" w:type="dxa"/>
                  <w:vMerge w:val="continue"/>
                  <w:noWrap w:val="0"/>
                  <w:vAlign w:val="center"/>
                </w:tcPr>
                <w:p w14:paraId="7F4EAB04">
                  <w:pPr>
                    <w:spacing w:line="240" w:lineRule="auto"/>
                    <w:ind w:firstLine="0" w:firstLineChars="0"/>
                    <w:jc w:val="center"/>
                    <w:rPr>
                      <w:color w:val="auto"/>
                      <w:sz w:val="21"/>
                      <w:szCs w:val="21"/>
                    </w:rPr>
                  </w:pPr>
                </w:p>
              </w:tc>
              <w:tc>
                <w:tcPr>
                  <w:tcW w:w="1138" w:type="dxa"/>
                  <w:noWrap w:val="0"/>
                  <w:vAlign w:val="center"/>
                </w:tcPr>
                <w:p w14:paraId="7C577FBF">
                  <w:pPr>
                    <w:adjustRightInd w:val="0"/>
                    <w:spacing w:line="240" w:lineRule="auto"/>
                    <w:ind w:firstLine="0" w:firstLineChars="0"/>
                    <w:jc w:val="center"/>
                    <w:rPr>
                      <w:bCs/>
                      <w:color w:val="auto"/>
                      <w:kern w:val="0"/>
                      <w:sz w:val="21"/>
                      <w:szCs w:val="21"/>
                    </w:rPr>
                  </w:pPr>
                  <w:r>
                    <w:rPr>
                      <w:rFonts w:hint="eastAsia"/>
                      <w:bCs/>
                      <w:color w:val="auto"/>
                      <w:kern w:val="0"/>
                      <w:sz w:val="21"/>
                      <w:szCs w:val="21"/>
                    </w:rPr>
                    <w:t>NH</w:t>
                  </w:r>
                  <w:r>
                    <w:rPr>
                      <w:rFonts w:hint="eastAsia"/>
                      <w:bCs/>
                      <w:color w:val="auto"/>
                      <w:kern w:val="0"/>
                      <w:sz w:val="21"/>
                      <w:szCs w:val="21"/>
                      <w:vertAlign w:val="subscript"/>
                    </w:rPr>
                    <w:t>3</w:t>
                  </w:r>
                  <w:r>
                    <w:rPr>
                      <w:rFonts w:hint="eastAsia"/>
                      <w:bCs/>
                      <w:color w:val="auto"/>
                      <w:kern w:val="0"/>
                      <w:sz w:val="21"/>
                      <w:szCs w:val="21"/>
                    </w:rPr>
                    <w:t>-N</w:t>
                  </w:r>
                </w:p>
              </w:tc>
              <w:tc>
                <w:tcPr>
                  <w:tcW w:w="1108" w:type="dxa"/>
                  <w:shd w:val="clear" w:color="auto" w:fill="auto"/>
                  <w:noWrap w:val="0"/>
                  <w:vAlign w:val="center"/>
                </w:tcPr>
                <w:p w14:paraId="225DE6FB">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 xml:space="preserve">0.045 </w:t>
                  </w:r>
                </w:p>
              </w:tc>
              <w:tc>
                <w:tcPr>
                  <w:tcW w:w="1092" w:type="dxa"/>
                  <w:noWrap w:val="0"/>
                  <w:vAlign w:val="center"/>
                </w:tcPr>
                <w:p w14:paraId="5C1BAE91">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26</w:t>
                  </w:r>
                </w:p>
              </w:tc>
              <w:tc>
                <w:tcPr>
                  <w:tcW w:w="608" w:type="dxa"/>
                  <w:vMerge w:val="continue"/>
                  <w:noWrap w:val="0"/>
                  <w:vAlign w:val="center"/>
                </w:tcPr>
                <w:p w14:paraId="3DF02152">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p>
              </w:tc>
              <w:tc>
                <w:tcPr>
                  <w:tcW w:w="675" w:type="dxa"/>
                  <w:noWrap w:val="0"/>
                  <w:vAlign w:val="center"/>
                </w:tcPr>
                <w:p w14:paraId="593219C5">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rPr>
                    <w:t>3%</w:t>
                  </w:r>
                </w:p>
              </w:tc>
              <w:tc>
                <w:tcPr>
                  <w:tcW w:w="756" w:type="dxa"/>
                  <w:vMerge w:val="continue"/>
                  <w:noWrap w:val="0"/>
                  <w:vAlign w:val="center"/>
                </w:tcPr>
                <w:p w14:paraId="0DBD83DB">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p>
              </w:tc>
              <w:tc>
                <w:tcPr>
                  <w:tcW w:w="874" w:type="dxa"/>
                  <w:vMerge w:val="continue"/>
                  <w:noWrap w:val="0"/>
                  <w:vAlign w:val="center"/>
                </w:tcPr>
                <w:p w14:paraId="3E9D689A">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p>
              </w:tc>
              <w:tc>
                <w:tcPr>
                  <w:tcW w:w="608" w:type="dxa"/>
                  <w:vMerge w:val="continue"/>
                  <w:noWrap w:val="0"/>
                  <w:vAlign w:val="center"/>
                </w:tcPr>
                <w:p w14:paraId="79F80475">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p>
              </w:tc>
              <w:tc>
                <w:tcPr>
                  <w:tcW w:w="0" w:type="auto"/>
                  <w:shd w:val="clear" w:color="auto" w:fill="auto"/>
                  <w:noWrap w:val="0"/>
                  <w:vAlign w:val="center"/>
                </w:tcPr>
                <w:p w14:paraId="67B6D0DF">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 xml:space="preserve">0.043 </w:t>
                  </w:r>
                </w:p>
              </w:tc>
              <w:tc>
                <w:tcPr>
                  <w:tcW w:w="0" w:type="auto"/>
                  <w:noWrap w:val="0"/>
                  <w:vAlign w:val="center"/>
                </w:tcPr>
                <w:p w14:paraId="27961D05">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rPr>
                    <w:t>25</w:t>
                  </w:r>
                </w:p>
              </w:tc>
              <w:tc>
                <w:tcPr>
                  <w:tcW w:w="881" w:type="dxa"/>
                  <w:vMerge w:val="continue"/>
                  <w:noWrap w:val="0"/>
                  <w:vAlign w:val="top"/>
                </w:tcPr>
                <w:p w14:paraId="63C24E63">
                  <w:pPr>
                    <w:spacing w:line="240" w:lineRule="auto"/>
                    <w:ind w:firstLine="0" w:firstLineChars="0"/>
                    <w:jc w:val="center"/>
                    <w:rPr>
                      <w:color w:val="auto"/>
                    </w:rPr>
                  </w:pPr>
                </w:p>
              </w:tc>
              <w:tc>
                <w:tcPr>
                  <w:tcW w:w="604" w:type="dxa"/>
                  <w:vMerge w:val="continue"/>
                  <w:noWrap w:val="0"/>
                  <w:vAlign w:val="top"/>
                </w:tcPr>
                <w:p w14:paraId="00CF5D02">
                  <w:pPr>
                    <w:spacing w:line="240" w:lineRule="auto"/>
                    <w:ind w:firstLine="0" w:firstLineChars="0"/>
                    <w:jc w:val="center"/>
                    <w:rPr>
                      <w:color w:val="auto"/>
                    </w:rPr>
                  </w:pPr>
                </w:p>
              </w:tc>
              <w:tc>
                <w:tcPr>
                  <w:tcW w:w="604" w:type="dxa"/>
                  <w:vMerge w:val="continue"/>
                  <w:noWrap w:val="0"/>
                  <w:vAlign w:val="top"/>
                </w:tcPr>
                <w:p w14:paraId="2F83F0CF">
                  <w:pPr>
                    <w:spacing w:line="240" w:lineRule="auto"/>
                    <w:ind w:firstLine="0" w:firstLineChars="0"/>
                    <w:jc w:val="center"/>
                    <w:rPr>
                      <w:color w:val="auto"/>
                    </w:rPr>
                  </w:pPr>
                </w:p>
              </w:tc>
              <w:tc>
                <w:tcPr>
                  <w:tcW w:w="1996" w:type="dxa"/>
                  <w:vMerge w:val="continue"/>
                  <w:noWrap w:val="0"/>
                  <w:vAlign w:val="top"/>
                </w:tcPr>
                <w:p w14:paraId="6573FF46">
                  <w:pPr>
                    <w:spacing w:line="240" w:lineRule="auto"/>
                    <w:ind w:firstLine="0" w:firstLineChars="0"/>
                    <w:jc w:val="center"/>
                    <w:rPr>
                      <w:color w:val="auto"/>
                    </w:rPr>
                  </w:pPr>
                </w:p>
              </w:tc>
            </w:tr>
            <w:tr w14:paraId="4B141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noWrap w:val="0"/>
                  <w:vAlign w:val="center"/>
                </w:tcPr>
                <w:p w14:paraId="6182C809">
                  <w:pPr>
                    <w:spacing w:line="240" w:lineRule="auto"/>
                    <w:ind w:firstLine="0" w:firstLineChars="0"/>
                    <w:jc w:val="center"/>
                    <w:rPr>
                      <w:color w:val="auto"/>
                      <w:sz w:val="21"/>
                      <w:szCs w:val="21"/>
                    </w:rPr>
                  </w:pPr>
                </w:p>
              </w:tc>
              <w:tc>
                <w:tcPr>
                  <w:tcW w:w="793" w:type="dxa"/>
                  <w:vMerge w:val="continue"/>
                  <w:noWrap w:val="0"/>
                  <w:vAlign w:val="center"/>
                </w:tcPr>
                <w:p w14:paraId="2EDD7814">
                  <w:pPr>
                    <w:spacing w:line="240" w:lineRule="auto"/>
                    <w:ind w:firstLine="0" w:firstLineChars="0"/>
                    <w:jc w:val="center"/>
                    <w:rPr>
                      <w:color w:val="auto"/>
                      <w:sz w:val="21"/>
                      <w:szCs w:val="21"/>
                    </w:rPr>
                  </w:pPr>
                </w:p>
              </w:tc>
              <w:tc>
                <w:tcPr>
                  <w:tcW w:w="1138" w:type="dxa"/>
                  <w:noWrap w:val="0"/>
                  <w:vAlign w:val="center"/>
                </w:tcPr>
                <w:p w14:paraId="2DCB1E6F">
                  <w:pPr>
                    <w:adjustRightInd w:val="0"/>
                    <w:spacing w:line="240" w:lineRule="auto"/>
                    <w:ind w:firstLine="0" w:firstLineChars="0"/>
                    <w:jc w:val="center"/>
                    <w:rPr>
                      <w:bCs/>
                      <w:color w:val="auto"/>
                      <w:kern w:val="0"/>
                      <w:sz w:val="21"/>
                      <w:szCs w:val="21"/>
                    </w:rPr>
                  </w:pPr>
                  <w:r>
                    <w:rPr>
                      <w:rFonts w:hint="eastAsia"/>
                      <w:bCs/>
                      <w:color w:val="auto"/>
                      <w:kern w:val="0"/>
                      <w:sz w:val="21"/>
                      <w:szCs w:val="21"/>
                    </w:rPr>
                    <w:t>TP</w:t>
                  </w:r>
                </w:p>
              </w:tc>
              <w:tc>
                <w:tcPr>
                  <w:tcW w:w="1108" w:type="dxa"/>
                  <w:shd w:val="clear" w:color="auto" w:fill="auto"/>
                  <w:noWrap w:val="0"/>
                  <w:vAlign w:val="center"/>
                </w:tcPr>
                <w:p w14:paraId="1C51A432">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 xml:space="preserve">0.007 </w:t>
                  </w:r>
                </w:p>
              </w:tc>
              <w:tc>
                <w:tcPr>
                  <w:tcW w:w="1092" w:type="dxa"/>
                  <w:noWrap w:val="0"/>
                  <w:vAlign w:val="center"/>
                </w:tcPr>
                <w:p w14:paraId="2B3053A4">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4</w:t>
                  </w:r>
                </w:p>
              </w:tc>
              <w:tc>
                <w:tcPr>
                  <w:tcW w:w="608" w:type="dxa"/>
                  <w:vMerge w:val="continue"/>
                  <w:noWrap w:val="0"/>
                  <w:vAlign w:val="center"/>
                </w:tcPr>
                <w:p w14:paraId="734AA243">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p>
              </w:tc>
              <w:tc>
                <w:tcPr>
                  <w:tcW w:w="675" w:type="dxa"/>
                  <w:noWrap w:val="0"/>
                  <w:vAlign w:val="center"/>
                </w:tcPr>
                <w:p w14:paraId="0190B03D">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rPr>
                    <w:t>/</w:t>
                  </w:r>
                </w:p>
              </w:tc>
              <w:tc>
                <w:tcPr>
                  <w:tcW w:w="756" w:type="dxa"/>
                  <w:vMerge w:val="continue"/>
                  <w:noWrap w:val="0"/>
                  <w:vAlign w:val="center"/>
                </w:tcPr>
                <w:p w14:paraId="5B05DAAE">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p>
              </w:tc>
              <w:tc>
                <w:tcPr>
                  <w:tcW w:w="874" w:type="dxa"/>
                  <w:vMerge w:val="continue"/>
                  <w:noWrap w:val="0"/>
                  <w:vAlign w:val="center"/>
                </w:tcPr>
                <w:p w14:paraId="659201A7">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p>
              </w:tc>
              <w:tc>
                <w:tcPr>
                  <w:tcW w:w="608" w:type="dxa"/>
                  <w:vMerge w:val="continue"/>
                  <w:noWrap w:val="0"/>
                  <w:vAlign w:val="center"/>
                </w:tcPr>
                <w:p w14:paraId="737A2BF8">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p>
              </w:tc>
              <w:tc>
                <w:tcPr>
                  <w:tcW w:w="0" w:type="auto"/>
                  <w:shd w:val="clear" w:color="auto" w:fill="auto"/>
                  <w:noWrap w:val="0"/>
                  <w:vAlign w:val="center"/>
                </w:tcPr>
                <w:p w14:paraId="4EE1CFC2">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 xml:space="preserve">0.007 </w:t>
                  </w:r>
                </w:p>
              </w:tc>
              <w:tc>
                <w:tcPr>
                  <w:tcW w:w="0" w:type="auto"/>
                  <w:noWrap w:val="0"/>
                  <w:vAlign w:val="center"/>
                </w:tcPr>
                <w:p w14:paraId="6BE3805B">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rPr>
                    <w:t>4</w:t>
                  </w:r>
                </w:p>
              </w:tc>
              <w:tc>
                <w:tcPr>
                  <w:tcW w:w="881" w:type="dxa"/>
                  <w:vMerge w:val="continue"/>
                  <w:noWrap w:val="0"/>
                  <w:vAlign w:val="top"/>
                </w:tcPr>
                <w:p w14:paraId="2D6F69EC">
                  <w:pPr>
                    <w:spacing w:line="240" w:lineRule="auto"/>
                    <w:ind w:firstLine="0" w:firstLineChars="0"/>
                    <w:jc w:val="center"/>
                    <w:rPr>
                      <w:color w:val="auto"/>
                    </w:rPr>
                  </w:pPr>
                </w:p>
              </w:tc>
              <w:tc>
                <w:tcPr>
                  <w:tcW w:w="604" w:type="dxa"/>
                  <w:vMerge w:val="continue"/>
                  <w:noWrap w:val="0"/>
                  <w:vAlign w:val="top"/>
                </w:tcPr>
                <w:p w14:paraId="449608A6">
                  <w:pPr>
                    <w:spacing w:line="240" w:lineRule="auto"/>
                    <w:ind w:firstLine="0" w:firstLineChars="0"/>
                    <w:jc w:val="center"/>
                    <w:rPr>
                      <w:color w:val="auto"/>
                    </w:rPr>
                  </w:pPr>
                </w:p>
              </w:tc>
              <w:tc>
                <w:tcPr>
                  <w:tcW w:w="604" w:type="dxa"/>
                  <w:vMerge w:val="continue"/>
                  <w:noWrap w:val="0"/>
                  <w:vAlign w:val="top"/>
                </w:tcPr>
                <w:p w14:paraId="7AD5872F">
                  <w:pPr>
                    <w:spacing w:line="240" w:lineRule="auto"/>
                    <w:ind w:firstLine="0" w:firstLineChars="0"/>
                    <w:jc w:val="center"/>
                    <w:rPr>
                      <w:color w:val="auto"/>
                    </w:rPr>
                  </w:pPr>
                </w:p>
              </w:tc>
              <w:tc>
                <w:tcPr>
                  <w:tcW w:w="1996" w:type="dxa"/>
                  <w:vMerge w:val="continue"/>
                  <w:noWrap w:val="0"/>
                  <w:vAlign w:val="top"/>
                </w:tcPr>
                <w:p w14:paraId="2BA1ACA8">
                  <w:pPr>
                    <w:spacing w:line="240" w:lineRule="auto"/>
                    <w:ind w:firstLine="0" w:firstLineChars="0"/>
                    <w:jc w:val="center"/>
                    <w:rPr>
                      <w:color w:val="auto"/>
                    </w:rPr>
                  </w:pPr>
                </w:p>
              </w:tc>
            </w:tr>
            <w:tr w14:paraId="0076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noWrap w:val="0"/>
                  <w:vAlign w:val="center"/>
                </w:tcPr>
                <w:p w14:paraId="3A23247A">
                  <w:pPr>
                    <w:spacing w:line="240" w:lineRule="auto"/>
                    <w:ind w:firstLine="0" w:firstLineChars="0"/>
                    <w:jc w:val="center"/>
                    <w:rPr>
                      <w:color w:val="auto"/>
                      <w:sz w:val="21"/>
                      <w:szCs w:val="21"/>
                    </w:rPr>
                  </w:pPr>
                </w:p>
              </w:tc>
              <w:tc>
                <w:tcPr>
                  <w:tcW w:w="793" w:type="dxa"/>
                  <w:vMerge w:val="continue"/>
                  <w:noWrap w:val="0"/>
                  <w:vAlign w:val="center"/>
                </w:tcPr>
                <w:p w14:paraId="523837A2">
                  <w:pPr>
                    <w:spacing w:line="240" w:lineRule="auto"/>
                    <w:ind w:firstLine="0" w:firstLineChars="0"/>
                    <w:jc w:val="center"/>
                    <w:rPr>
                      <w:color w:val="auto"/>
                      <w:sz w:val="21"/>
                      <w:szCs w:val="21"/>
                    </w:rPr>
                  </w:pPr>
                </w:p>
              </w:tc>
              <w:tc>
                <w:tcPr>
                  <w:tcW w:w="1138" w:type="dxa"/>
                  <w:noWrap w:val="0"/>
                  <w:vAlign w:val="center"/>
                </w:tcPr>
                <w:p w14:paraId="5A26A198">
                  <w:pPr>
                    <w:adjustRightInd w:val="0"/>
                    <w:spacing w:line="240" w:lineRule="auto"/>
                    <w:ind w:firstLine="0" w:firstLineChars="0"/>
                    <w:jc w:val="center"/>
                    <w:rPr>
                      <w:bCs/>
                      <w:color w:val="auto"/>
                      <w:kern w:val="0"/>
                      <w:sz w:val="21"/>
                      <w:szCs w:val="21"/>
                    </w:rPr>
                  </w:pPr>
                  <w:r>
                    <w:rPr>
                      <w:rFonts w:hint="eastAsia"/>
                      <w:bCs/>
                      <w:color w:val="auto"/>
                      <w:kern w:val="0"/>
                      <w:sz w:val="21"/>
                      <w:szCs w:val="21"/>
                    </w:rPr>
                    <w:t>TN</w:t>
                  </w:r>
                </w:p>
              </w:tc>
              <w:tc>
                <w:tcPr>
                  <w:tcW w:w="1108" w:type="dxa"/>
                  <w:shd w:val="clear" w:color="auto" w:fill="auto"/>
                  <w:noWrap w:val="0"/>
                  <w:vAlign w:val="center"/>
                </w:tcPr>
                <w:p w14:paraId="73A7FD56">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 xml:space="preserve">0.062 </w:t>
                  </w:r>
                </w:p>
              </w:tc>
              <w:tc>
                <w:tcPr>
                  <w:tcW w:w="1092" w:type="dxa"/>
                  <w:noWrap w:val="0"/>
                  <w:vAlign w:val="center"/>
                </w:tcPr>
                <w:p w14:paraId="52DD4003">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36</w:t>
                  </w:r>
                </w:p>
              </w:tc>
              <w:tc>
                <w:tcPr>
                  <w:tcW w:w="608" w:type="dxa"/>
                  <w:vMerge w:val="continue"/>
                  <w:noWrap w:val="0"/>
                  <w:vAlign w:val="center"/>
                </w:tcPr>
                <w:p w14:paraId="47F86164">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p>
              </w:tc>
              <w:tc>
                <w:tcPr>
                  <w:tcW w:w="675" w:type="dxa"/>
                  <w:noWrap w:val="0"/>
                  <w:vAlign w:val="center"/>
                </w:tcPr>
                <w:p w14:paraId="55BE5422">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rPr>
                    <w:t>3%</w:t>
                  </w:r>
                </w:p>
              </w:tc>
              <w:tc>
                <w:tcPr>
                  <w:tcW w:w="756" w:type="dxa"/>
                  <w:vMerge w:val="continue"/>
                  <w:noWrap w:val="0"/>
                  <w:vAlign w:val="center"/>
                </w:tcPr>
                <w:p w14:paraId="2BC2A184">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p>
              </w:tc>
              <w:tc>
                <w:tcPr>
                  <w:tcW w:w="874" w:type="dxa"/>
                  <w:vMerge w:val="continue"/>
                  <w:noWrap w:val="0"/>
                  <w:vAlign w:val="center"/>
                </w:tcPr>
                <w:p w14:paraId="02B9E52E">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p>
              </w:tc>
              <w:tc>
                <w:tcPr>
                  <w:tcW w:w="608" w:type="dxa"/>
                  <w:vMerge w:val="continue"/>
                  <w:noWrap w:val="0"/>
                  <w:vAlign w:val="center"/>
                </w:tcPr>
                <w:p w14:paraId="06B33823">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p>
              </w:tc>
              <w:tc>
                <w:tcPr>
                  <w:tcW w:w="0" w:type="auto"/>
                  <w:shd w:val="clear" w:color="auto" w:fill="auto"/>
                  <w:noWrap w:val="0"/>
                  <w:vAlign w:val="center"/>
                </w:tcPr>
                <w:p w14:paraId="58D8364F">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 xml:space="preserve">0.060 </w:t>
                  </w:r>
                </w:p>
              </w:tc>
              <w:tc>
                <w:tcPr>
                  <w:tcW w:w="0" w:type="auto"/>
                  <w:noWrap w:val="0"/>
                  <w:vAlign w:val="center"/>
                </w:tcPr>
                <w:p w14:paraId="68875428">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rPr>
                    <w:t>35</w:t>
                  </w:r>
                </w:p>
              </w:tc>
              <w:tc>
                <w:tcPr>
                  <w:tcW w:w="881" w:type="dxa"/>
                  <w:vMerge w:val="continue"/>
                  <w:noWrap w:val="0"/>
                  <w:vAlign w:val="top"/>
                </w:tcPr>
                <w:p w14:paraId="57730055">
                  <w:pPr>
                    <w:spacing w:line="240" w:lineRule="auto"/>
                    <w:ind w:firstLine="0" w:firstLineChars="0"/>
                    <w:jc w:val="center"/>
                    <w:rPr>
                      <w:color w:val="auto"/>
                    </w:rPr>
                  </w:pPr>
                </w:p>
              </w:tc>
              <w:tc>
                <w:tcPr>
                  <w:tcW w:w="604" w:type="dxa"/>
                  <w:vMerge w:val="continue"/>
                  <w:noWrap w:val="0"/>
                  <w:vAlign w:val="top"/>
                </w:tcPr>
                <w:p w14:paraId="667B891D">
                  <w:pPr>
                    <w:spacing w:line="240" w:lineRule="auto"/>
                    <w:ind w:firstLine="0" w:firstLineChars="0"/>
                    <w:jc w:val="center"/>
                    <w:rPr>
                      <w:color w:val="auto"/>
                    </w:rPr>
                  </w:pPr>
                </w:p>
              </w:tc>
              <w:tc>
                <w:tcPr>
                  <w:tcW w:w="604" w:type="dxa"/>
                  <w:vMerge w:val="continue"/>
                  <w:noWrap w:val="0"/>
                  <w:vAlign w:val="top"/>
                </w:tcPr>
                <w:p w14:paraId="10A3DDAA">
                  <w:pPr>
                    <w:spacing w:line="240" w:lineRule="auto"/>
                    <w:ind w:firstLine="0" w:firstLineChars="0"/>
                    <w:jc w:val="center"/>
                    <w:rPr>
                      <w:color w:val="auto"/>
                    </w:rPr>
                  </w:pPr>
                </w:p>
              </w:tc>
              <w:tc>
                <w:tcPr>
                  <w:tcW w:w="1996" w:type="dxa"/>
                  <w:vMerge w:val="continue"/>
                  <w:noWrap w:val="0"/>
                  <w:vAlign w:val="top"/>
                </w:tcPr>
                <w:p w14:paraId="658AC4AC">
                  <w:pPr>
                    <w:spacing w:line="240" w:lineRule="auto"/>
                    <w:ind w:firstLine="0" w:firstLineChars="0"/>
                    <w:jc w:val="center"/>
                    <w:rPr>
                      <w:color w:val="auto"/>
                    </w:rPr>
                  </w:pPr>
                </w:p>
              </w:tc>
            </w:tr>
            <w:tr w14:paraId="1FEB7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restart"/>
                  <w:noWrap w:val="0"/>
                  <w:vAlign w:val="center"/>
                </w:tcPr>
                <w:p w14:paraId="0916EA4D">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循环冷却系统</w:t>
                  </w:r>
                </w:p>
              </w:tc>
              <w:tc>
                <w:tcPr>
                  <w:tcW w:w="793" w:type="dxa"/>
                  <w:vMerge w:val="restart"/>
                  <w:noWrap w:val="0"/>
                  <w:vAlign w:val="center"/>
                </w:tcPr>
                <w:p w14:paraId="4E1C034E">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循环冷却系统排水</w:t>
                  </w:r>
                </w:p>
              </w:tc>
              <w:tc>
                <w:tcPr>
                  <w:tcW w:w="1138" w:type="dxa"/>
                  <w:noWrap w:val="0"/>
                  <w:vAlign w:val="center"/>
                </w:tcPr>
                <w:p w14:paraId="23DB834C">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水量</w:t>
                  </w:r>
                </w:p>
              </w:tc>
              <w:tc>
                <w:tcPr>
                  <w:tcW w:w="1108" w:type="dxa"/>
                  <w:noWrap w:val="0"/>
                  <w:vAlign w:val="center"/>
                </w:tcPr>
                <w:p w14:paraId="0289972D">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360</w:t>
                  </w:r>
                </w:p>
              </w:tc>
              <w:tc>
                <w:tcPr>
                  <w:tcW w:w="1092" w:type="dxa"/>
                  <w:noWrap w:val="0"/>
                  <w:vAlign w:val="center"/>
                </w:tcPr>
                <w:p w14:paraId="79BED0A5">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c>
                <w:tcPr>
                  <w:tcW w:w="608" w:type="dxa"/>
                  <w:vMerge w:val="restart"/>
                  <w:noWrap w:val="0"/>
                  <w:vAlign w:val="center"/>
                </w:tcPr>
                <w:p w14:paraId="489AF3F3">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直接进入总排口</w:t>
                  </w:r>
                </w:p>
              </w:tc>
              <w:tc>
                <w:tcPr>
                  <w:tcW w:w="675" w:type="dxa"/>
                  <w:noWrap w:val="0"/>
                  <w:vAlign w:val="center"/>
                </w:tcPr>
                <w:p w14:paraId="3C007331">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c>
                <w:tcPr>
                  <w:tcW w:w="756" w:type="dxa"/>
                  <w:vMerge w:val="restart"/>
                  <w:noWrap w:val="0"/>
                  <w:vAlign w:val="center"/>
                </w:tcPr>
                <w:p w14:paraId="60E06915">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c>
                <w:tcPr>
                  <w:tcW w:w="874" w:type="dxa"/>
                  <w:vMerge w:val="restart"/>
                  <w:noWrap w:val="0"/>
                  <w:vAlign w:val="center"/>
                </w:tcPr>
                <w:p w14:paraId="4FAAFB2D">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c>
                <w:tcPr>
                  <w:tcW w:w="608" w:type="dxa"/>
                  <w:vMerge w:val="continue"/>
                  <w:noWrap w:val="0"/>
                  <w:vAlign w:val="center"/>
                </w:tcPr>
                <w:p w14:paraId="7E326052">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p>
              </w:tc>
              <w:tc>
                <w:tcPr>
                  <w:tcW w:w="0" w:type="auto"/>
                  <w:noWrap w:val="0"/>
                  <w:vAlign w:val="center"/>
                </w:tcPr>
                <w:p w14:paraId="6A644BE6">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360</w:t>
                  </w:r>
                </w:p>
              </w:tc>
              <w:tc>
                <w:tcPr>
                  <w:tcW w:w="0" w:type="auto"/>
                  <w:noWrap w:val="0"/>
                  <w:vAlign w:val="center"/>
                </w:tcPr>
                <w:p w14:paraId="64F1CB60">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rPr>
                    <w:t>/</w:t>
                  </w:r>
                </w:p>
              </w:tc>
              <w:tc>
                <w:tcPr>
                  <w:tcW w:w="881" w:type="dxa"/>
                  <w:vMerge w:val="continue"/>
                  <w:noWrap w:val="0"/>
                  <w:vAlign w:val="top"/>
                </w:tcPr>
                <w:p w14:paraId="770BA275">
                  <w:pPr>
                    <w:spacing w:line="240" w:lineRule="auto"/>
                    <w:ind w:firstLine="0" w:firstLineChars="0"/>
                    <w:jc w:val="center"/>
                    <w:rPr>
                      <w:color w:val="auto"/>
                    </w:rPr>
                  </w:pPr>
                </w:p>
              </w:tc>
              <w:tc>
                <w:tcPr>
                  <w:tcW w:w="604" w:type="dxa"/>
                  <w:vMerge w:val="continue"/>
                  <w:noWrap w:val="0"/>
                  <w:vAlign w:val="top"/>
                </w:tcPr>
                <w:p w14:paraId="114A9596">
                  <w:pPr>
                    <w:spacing w:line="240" w:lineRule="auto"/>
                    <w:ind w:firstLine="0" w:firstLineChars="0"/>
                    <w:jc w:val="center"/>
                    <w:rPr>
                      <w:color w:val="auto"/>
                    </w:rPr>
                  </w:pPr>
                </w:p>
              </w:tc>
              <w:tc>
                <w:tcPr>
                  <w:tcW w:w="604" w:type="dxa"/>
                  <w:vMerge w:val="continue"/>
                  <w:noWrap w:val="0"/>
                  <w:vAlign w:val="top"/>
                </w:tcPr>
                <w:p w14:paraId="434BE5F2">
                  <w:pPr>
                    <w:spacing w:line="240" w:lineRule="auto"/>
                    <w:ind w:firstLine="0" w:firstLineChars="0"/>
                    <w:jc w:val="center"/>
                    <w:rPr>
                      <w:color w:val="auto"/>
                    </w:rPr>
                  </w:pPr>
                </w:p>
              </w:tc>
              <w:tc>
                <w:tcPr>
                  <w:tcW w:w="1996" w:type="dxa"/>
                  <w:vMerge w:val="continue"/>
                  <w:noWrap w:val="0"/>
                  <w:vAlign w:val="top"/>
                </w:tcPr>
                <w:p w14:paraId="5FFACB09">
                  <w:pPr>
                    <w:spacing w:line="240" w:lineRule="auto"/>
                    <w:ind w:firstLine="0" w:firstLineChars="0"/>
                    <w:jc w:val="center"/>
                    <w:rPr>
                      <w:color w:val="auto"/>
                    </w:rPr>
                  </w:pPr>
                </w:p>
              </w:tc>
            </w:tr>
            <w:tr w14:paraId="73805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noWrap w:val="0"/>
                  <w:vAlign w:val="center"/>
                </w:tcPr>
                <w:p w14:paraId="4BDE92E5">
                  <w:pPr>
                    <w:spacing w:line="240" w:lineRule="auto"/>
                    <w:ind w:firstLine="0" w:firstLineChars="0"/>
                    <w:jc w:val="center"/>
                    <w:rPr>
                      <w:color w:val="auto"/>
                      <w:sz w:val="21"/>
                      <w:szCs w:val="21"/>
                    </w:rPr>
                  </w:pPr>
                </w:p>
              </w:tc>
              <w:tc>
                <w:tcPr>
                  <w:tcW w:w="793" w:type="dxa"/>
                  <w:vMerge w:val="continue"/>
                  <w:noWrap w:val="0"/>
                  <w:vAlign w:val="center"/>
                </w:tcPr>
                <w:p w14:paraId="595D68D8">
                  <w:pPr>
                    <w:spacing w:line="240" w:lineRule="auto"/>
                    <w:ind w:firstLine="0" w:firstLineChars="0"/>
                    <w:jc w:val="center"/>
                    <w:rPr>
                      <w:color w:val="auto"/>
                      <w:sz w:val="21"/>
                      <w:szCs w:val="21"/>
                    </w:rPr>
                  </w:pPr>
                </w:p>
              </w:tc>
              <w:tc>
                <w:tcPr>
                  <w:tcW w:w="1138" w:type="dxa"/>
                  <w:noWrap w:val="0"/>
                  <w:vAlign w:val="center"/>
                </w:tcPr>
                <w:p w14:paraId="5F3B0F45">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COD</w:t>
                  </w:r>
                </w:p>
              </w:tc>
              <w:tc>
                <w:tcPr>
                  <w:tcW w:w="1108" w:type="dxa"/>
                  <w:shd w:val="clear" w:color="auto" w:fill="auto"/>
                  <w:noWrap w:val="0"/>
                  <w:vAlign w:val="center"/>
                </w:tcPr>
                <w:p w14:paraId="45A5B02F">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0.054</w:t>
                  </w:r>
                </w:p>
              </w:tc>
              <w:tc>
                <w:tcPr>
                  <w:tcW w:w="1092" w:type="dxa"/>
                  <w:noWrap w:val="0"/>
                  <w:vAlign w:val="center"/>
                </w:tcPr>
                <w:p w14:paraId="0C44C804">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150</w:t>
                  </w:r>
                </w:p>
              </w:tc>
              <w:tc>
                <w:tcPr>
                  <w:tcW w:w="608" w:type="dxa"/>
                  <w:vMerge w:val="continue"/>
                  <w:noWrap w:val="0"/>
                  <w:vAlign w:val="center"/>
                </w:tcPr>
                <w:p w14:paraId="652167B7">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p>
              </w:tc>
              <w:tc>
                <w:tcPr>
                  <w:tcW w:w="675" w:type="dxa"/>
                  <w:noWrap w:val="0"/>
                  <w:vAlign w:val="center"/>
                </w:tcPr>
                <w:p w14:paraId="5A671A5E">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c>
                <w:tcPr>
                  <w:tcW w:w="756" w:type="dxa"/>
                  <w:vMerge w:val="continue"/>
                  <w:noWrap w:val="0"/>
                  <w:vAlign w:val="center"/>
                </w:tcPr>
                <w:p w14:paraId="78A0F682">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p>
              </w:tc>
              <w:tc>
                <w:tcPr>
                  <w:tcW w:w="874" w:type="dxa"/>
                  <w:vMerge w:val="continue"/>
                  <w:noWrap w:val="0"/>
                  <w:vAlign w:val="center"/>
                </w:tcPr>
                <w:p w14:paraId="0DDCCAA3">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p>
              </w:tc>
              <w:tc>
                <w:tcPr>
                  <w:tcW w:w="608" w:type="dxa"/>
                  <w:vMerge w:val="continue"/>
                  <w:noWrap w:val="0"/>
                  <w:vAlign w:val="center"/>
                </w:tcPr>
                <w:p w14:paraId="5362BE24">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p>
              </w:tc>
              <w:tc>
                <w:tcPr>
                  <w:tcW w:w="0" w:type="auto"/>
                  <w:shd w:val="clear" w:color="auto" w:fill="auto"/>
                  <w:noWrap w:val="0"/>
                  <w:vAlign w:val="center"/>
                </w:tcPr>
                <w:p w14:paraId="4C0539FA">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0.054</w:t>
                  </w:r>
                </w:p>
              </w:tc>
              <w:tc>
                <w:tcPr>
                  <w:tcW w:w="0" w:type="auto"/>
                  <w:noWrap w:val="0"/>
                  <w:vAlign w:val="center"/>
                </w:tcPr>
                <w:p w14:paraId="1823D641">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lang w:val="en-US" w:eastAsia="zh-CN"/>
                    </w:rPr>
                    <w:t>1</w:t>
                  </w:r>
                  <w:r>
                    <w:rPr>
                      <w:rFonts w:hint="eastAsia" w:ascii="Times New Roman" w:hAnsi="Times New Roman" w:eastAsia="宋体" w:cs="Times New Roman"/>
                      <w:bCs/>
                      <w:color w:val="auto"/>
                      <w:kern w:val="0"/>
                      <w:sz w:val="21"/>
                      <w:szCs w:val="21"/>
                    </w:rPr>
                    <w:t>5</w:t>
                  </w:r>
                  <w:r>
                    <w:rPr>
                      <w:rFonts w:hint="eastAsia" w:ascii="Times New Roman" w:hAnsi="Times New Roman" w:eastAsia="宋体" w:cs="Times New Roman"/>
                      <w:bCs/>
                      <w:color w:val="auto"/>
                      <w:kern w:val="0"/>
                      <w:sz w:val="21"/>
                      <w:szCs w:val="21"/>
                      <w:lang w:val="en-US" w:eastAsia="zh-CN"/>
                    </w:rPr>
                    <w:t>0</w:t>
                  </w:r>
                </w:p>
              </w:tc>
              <w:tc>
                <w:tcPr>
                  <w:tcW w:w="881" w:type="dxa"/>
                  <w:vMerge w:val="continue"/>
                  <w:noWrap w:val="0"/>
                  <w:vAlign w:val="top"/>
                </w:tcPr>
                <w:p w14:paraId="5F3092E4">
                  <w:pPr>
                    <w:spacing w:line="240" w:lineRule="auto"/>
                    <w:ind w:firstLine="0" w:firstLineChars="0"/>
                    <w:jc w:val="center"/>
                    <w:rPr>
                      <w:color w:val="auto"/>
                    </w:rPr>
                  </w:pPr>
                </w:p>
              </w:tc>
              <w:tc>
                <w:tcPr>
                  <w:tcW w:w="604" w:type="dxa"/>
                  <w:vMerge w:val="continue"/>
                  <w:noWrap w:val="0"/>
                  <w:vAlign w:val="top"/>
                </w:tcPr>
                <w:p w14:paraId="2760AEA9">
                  <w:pPr>
                    <w:spacing w:line="240" w:lineRule="auto"/>
                    <w:ind w:firstLine="0" w:firstLineChars="0"/>
                    <w:jc w:val="center"/>
                    <w:rPr>
                      <w:color w:val="auto"/>
                    </w:rPr>
                  </w:pPr>
                </w:p>
              </w:tc>
              <w:tc>
                <w:tcPr>
                  <w:tcW w:w="604" w:type="dxa"/>
                  <w:vMerge w:val="continue"/>
                  <w:noWrap w:val="0"/>
                  <w:vAlign w:val="top"/>
                </w:tcPr>
                <w:p w14:paraId="71DE78C0">
                  <w:pPr>
                    <w:spacing w:line="240" w:lineRule="auto"/>
                    <w:ind w:firstLine="0" w:firstLineChars="0"/>
                    <w:jc w:val="center"/>
                    <w:rPr>
                      <w:color w:val="auto"/>
                    </w:rPr>
                  </w:pPr>
                </w:p>
              </w:tc>
              <w:tc>
                <w:tcPr>
                  <w:tcW w:w="1996" w:type="dxa"/>
                  <w:vMerge w:val="continue"/>
                  <w:noWrap w:val="0"/>
                  <w:vAlign w:val="top"/>
                </w:tcPr>
                <w:p w14:paraId="424C70AA">
                  <w:pPr>
                    <w:spacing w:line="240" w:lineRule="auto"/>
                    <w:ind w:firstLine="0" w:firstLineChars="0"/>
                    <w:jc w:val="center"/>
                    <w:rPr>
                      <w:color w:val="auto"/>
                    </w:rPr>
                  </w:pPr>
                </w:p>
              </w:tc>
            </w:tr>
            <w:tr w14:paraId="38EDB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vMerge w:val="continue"/>
                  <w:noWrap w:val="0"/>
                  <w:vAlign w:val="center"/>
                </w:tcPr>
                <w:p w14:paraId="5E992DCA">
                  <w:pPr>
                    <w:spacing w:line="240" w:lineRule="auto"/>
                    <w:ind w:firstLine="0" w:firstLineChars="0"/>
                    <w:jc w:val="center"/>
                    <w:rPr>
                      <w:color w:val="auto"/>
                      <w:sz w:val="21"/>
                      <w:szCs w:val="21"/>
                    </w:rPr>
                  </w:pPr>
                </w:p>
              </w:tc>
              <w:tc>
                <w:tcPr>
                  <w:tcW w:w="793" w:type="dxa"/>
                  <w:vMerge w:val="continue"/>
                  <w:noWrap w:val="0"/>
                  <w:vAlign w:val="center"/>
                </w:tcPr>
                <w:p w14:paraId="7B02AB33">
                  <w:pPr>
                    <w:spacing w:line="240" w:lineRule="auto"/>
                    <w:ind w:firstLine="0" w:firstLineChars="0"/>
                    <w:jc w:val="center"/>
                    <w:rPr>
                      <w:color w:val="auto"/>
                      <w:sz w:val="21"/>
                      <w:szCs w:val="21"/>
                    </w:rPr>
                  </w:pPr>
                </w:p>
              </w:tc>
              <w:tc>
                <w:tcPr>
                  <w:tcW w:w="1138" w:type="dxa"/>
                  <w:noWrap w:val="0"/>
                  <w:vAlign w:val="center"/>
                </w:tcPr>
                <w:p w14:paraId="3CECE96F">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BOD</w:t>
                  </w:r>
                  <w:r>
                    <w:rPr>
                      <w:rFonts w:hint="eastAsia"/>
                      <w:color w:val="auto"/>
                      <w:sz w:val="21"/>
                      <w:szCs w:val="21"/>
                      <w:vertAlign w:val="subscript"/>
                      <w:lang w:val="en-US" w:eastAsia="zh-CN"/>
                    </w:rPr>
                    <w:t>5</w:t>
                  </w:r>
                </w:p>
              </w:tc>
              <w:tc>
                <w:tcPr>
                  <w:tcW w:w="1108" w:type="dxa"/>
                  <w:shd w:val="clear" w:color="auto" w:fill="auto"/>
                  <w:noWrap w:val="0"/>
                  <w:vAlign w:val="center"/>
                </w:tcPr>
                <w:p w14:paraId="7D6F6827">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0.018</w:t>
                  </w:r>
                </w:p>
              </w:tc>
              <w:tc>
                <w:tcPr>
                  <w:tcW w:w="1092" w:type="dxa"/>
                  <w:noWrap w:val="0"/>
                  <w:vAlign w:val="center"/>
                </w:tcPr>
                <w:p w14:paraId="508A695C">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50</w:t>
                  </w:r>
                </w:p>
              </w:tc>
              <w:tc>
                <w:tcPr>
                  <w:tcW w:w="608" w:type="dxa"/>
                  <w:vMerge w:val="continue"/>
                  <w:noWrap w:val="0"/>
                  <w:vAlign w:val="center"/>
                </w:tcPr>
                <w:p w14:paraId="711635CD">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p>
              </w:tc>
              <w:tc>
                <w:tcPr>
                  <w:tcW w:w="675" w:type="dxa"/>
                  <w:noWrap w:val="0"/>
                  <w:vAlign w:val="center"/>
                </w:tcPr>
                <w:p w14:paraId="61C39681">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c>
                <w:tcPr>
                  <w:tcW w:w="756" w:type="dxa"/>
                  <w:vMerge w:val="continue"/>
                  <w:noWrap w:val="0"/>
                  <w:vAlign w:val="center"/>
                </w:tcPr>
                <w:p w14:paraId="5CF346FF">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p>
              </w:tc>
              <w:tc>
                <w:tcPr>
                  <w:tcW w:w="874" w:type="dxa"/>
                  <w:vMerge w:val="continue"/>
                  <w:noWrap w:val="0"/>
                  <w:vAlign w:val="center"/>
                </w:tcPr>
                <w:p w14:paraId="1D8D5D9F">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p>
              </w:tc>
              <w:tc>
                <w:tcPr>
                  <w:tcW w:w="608" w:type="dxa"/>
                  <w:vMerge w:val="continue"/>
                  <w:noWrap w:val="0"/>
                  <w:vAlign w:val="center"/>
                </w:tcPr>
                <w:p w14:paraId="2367CEF2">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p>
              </w:tc>
              <w:tc>
                <w:tcPr>
                  <w:tcW w:w="0" w:type="auto"/>
                  <w:shd w:val="clear" w:color="auto" w:fill="auto"/>
                  <w:noWrap w:val="0"/>
                  <w:vAlign w:val="center"/>
                </w:tcPr>
                <w:p w14:paraId="5DC34BC2">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0.018</w:t>
                  </w:r>
                </w:p>
              </w:tc>
              <w:tc>
                <w:tcPr>
                  <w:tcW w:w="0" w:type="auto"/>
                  <w:noWrap w:val="0"/>
                  <w:vAlign w:val="center"/>
                </w:tcPr>
                <w:p w14:paraId="7062C4F0">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50</w:t>
                  </w:r>
                </w:p>
              </w:tc>
              <w:tc>
                <w:tcPr>
                  <w:tcW w:w="881" w:type="dxa"/>
                  <w:vMerge w:val="continue"/>
                  <w:noWrap w:val="0"/>
                  <w:vAlign w:val="top"/>
                </w:tcPr>
                <w:p w14:paraId="49AE4816">
                  <w:pPr>
                    <w:spacing w:line="240" w:lineRule="auto"/>
                    <w:ind w:firstLine="0" w:firstLineChars="0"/>
                    <w:jc w:val="center"/>
                    <w:rPr>
                      <w:color w:val="auto"/>
                    </w:rPr>
                  </w:pPr>
                </w:p>
              </w:tc>
              <w:tc>
                <w:tcPr>
                  <w:tcW w:w="604" w:type="dxa"/>
                  <w:vMerge w:val="continue"/>
                  <w:noWrap w:val="0"/>
                  <w:vAlign w:val="top"/>
                </w:tcPr>
                <w:p w14:paraId="6ED4CAAA">
                  <w:pPr>
                    <w:spacing w:line="240" w:lineRule="auto"/>
                    <w:ind w:firstLine="0" w:firstLineChars="0"/>
                    <w:jc w:val="center"/>
                    <w:rPr>
                      <w:color w:val="auto"/>
                    </w:rPr>
                  </w:pPr>
                </w:p>
              </w:tc>
              <w:tc>
                <w:tcPr>
                  <w:tcW w:w="604" w:type="dxa"/>
                  <w:vMerge w:val="continue"/>
                  <w:noWrap w:val="0"/>
                  <w:vAlign w:val="top"/>
                </w:tcPr>
                <w:p w14:paraId="249A690D">
                  <w:pPr>
                    <w:spacing w:line="240" w:lineRule="auto"/>
                    <w:ind w:firstLine="0" w:firstLineChars="0"/>
                    <w:jc w:val="center"/>
                    <w:rPr>
                      <w:color w:val="auto"/>
                    </w:rPr>
                  </w:pPr>
                </w:p>
              </w:tc>
              <w:tc>
                <w:tcPr>
                  <w:tcW w:w="1996" w:type="dxa"/>
                  <w:vMerge w:val="continue"/>
                  <w:noWrap w:val="0"/>
                  <w:vAlign w:val="top"/>
                </w:tcPr>
                <w:p w14:paraId="04386E0A">
                  <w:pPr>
                    <w:spacing w:line="240" w:lineRule="auto"/>
                    <w:ind w:firstLine="0" w:firstLineChars="0"/>
                    <w:jc w:val="center"/>
                    <w:rPr>
                      <w:color w:val="auto"/>
                    </w:rPr>
                  </w:pPr>
                </w:p>
              </w:tc>
            </w:tr>
            <w:tr w14:paraId="39301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noWrap w:val="0"/>
                  <w:vAlign w:val="center"/>
                </w:tcPr>
                <w:p w14:paraId="3CC818C7">
                  <w:pPr>
                    <w:spacing w:line="240" w:lineRule="auto"/>
                    <w:ind w:firstLine="0" w:firstLineChars="0"/>
                    <w:jc w:val="center"/>
                    <w:rPr>
                      <w:color w:val="auto"/>
                      <w:sz w:val="21"/>
                      <w:szCs w:val="21"/>
                    </w:rPr>
                  </w:pPr>
                </w:p>
              </w:tc>
              <w:tc>
                <w:tcPr>
                  <w:tcW w:w="793" w:type="dxa"/>
                  <w:vMerge w:val="continue"/>
                  <w:noWrap w:val="0"/>
                  <w:vAlign w:val="center"/>
                </w:tcPr>
                <w:p w14:paraId="425339BD">
                  <w:pPr>
                    <w:spacing w:line="240" w:lineRule="auto"/>
                    <w:ind w:firstLine="0" w:firstLineChars="0"/>
                    <w:jc w:val="center"/>
                    <w:rPr>
                      <w:color w:val="auto"/>
                      <w:sz w:val="21"/>
                      <w:szCs w:val="21"/>
                    </w:rPr>
                  </w:pPr>
                </w:p>
              </w:tc>
              <w:tc>
                <w:tcPr>
                  <w:tcW w:w="1138" w:type="dxa"/>
                  <w:noWrap w:val="0"/>
                  <w:vAlign w:val="center"/>
                </w:tcPr>
                <w:p w14:paraId="141A46E6">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SS</w:t>
                  </w:r>
                </w:p>
              </w:tc>
              <w:tc>
                <w:tcPr>
                  <w:tcW w:w="1108" w:type="dxa"/>
                  <w:shd w:val="clear" w:color="auto" w:fill="auto"/>
                  <w:noWrap w:val="0"/>
                  <w:vAlign w:val="center"/>
                </w:tcPr>
                <w:p w14:paraId="78BBB5E0">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0.0648</w:t>
                  </w:r>
                </w:p>
              </w:tc>
              <w:tc>
                <w:tcPr>
                  <w:tcW w:w="1092" w:type="dxa"/>
                  <w:noWrap w:val="0"/>
                  <w:vAlign w:val="center"/>
                </w:tcPr>
                <w:p w14:paraId="31F8E91E">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180</w:t>
                  </w:r>
                </w:p>
              </w:tc>
              <w:tc>
                <w:tcPr>
                  <w:tcW w:w="608" w:type="dxa"/>
                  <w:vMerge w:val="continue"/>
                  <w:noWrap w:val="0"/>
                  <w:vAlign w:val="center"/>
                </w:tcPr>
                <w:p w14:paraId="1F36DAFA">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p>
              </w:tc>
              <w:tc>
                <w:tcPr>
                  <w:tcW w:w="675" w:type="dxa"/>
                  <w:noWrap w:val="0"/>
                  <w:vAlign w:val="center"/>
                </w:tcPr>
                <w:p w14:paraId="3C29C864">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c>
                <w:tcPr>
                  <w:tcW w:w="756" w:type="dxa"/>
                  <w:vMerge w:val="continue"/>
                  <w:noWrap w:val="0"/>
                  <w:vAlign w:val="center"/>
                </w:tcPr>
                <w:p w14:paraId="13349B5D">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p>
              </w:tc>
              <w:tc>
                <w:tcPr>
                  <w:tcW w:w="874" w:type="dxa"/>
                  <w:vMerge w:val="continue"/>
                  <w:noWrap w:val="0"/>
                  <w:vAlign w:val="center"/>
                </w:tcPr>
                <w:p w14:paraId="7481EF21">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p>
              </w:tc>
              <w:tc>
                <w:tcPr>
                  <w:tcW w:w="608" w:type="dxa"/>
                  <w:vMerge w:val="continue"/>
                  <w:noWrap w:val="0"/>
                  <w:vAlign w:val="center"/>
                </w:tcPr>
                <w:p w14:paraId="550EE8D7">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p>
              </w:tc>
              <w:tc>
                <w:tcPr>
                  <w:tcW w:w="0" w:type="auto"/>
                  <w:shd w:val="clear" w:color="auto" w:fill="auto"/>
                  <w:noWrap w:val="0"/>
                  <w:vAlign w:val="center"/>
                </w:tcPr>
                <w:p w14:paraId="5393BE01">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 xml:space="preserve">0.019 </w:t>
                  </w:r>
                </w:p>
              </w:tc>
              <w:tc>
                <w:tcPr>
                  <w:tcW w:w="0" w:type="auto"/>
                  <w:noWrap w:val="0"/>
                  <w:vAlign w:val="center"/>
                </w:tcPr>
                <w:p w14:paraId="571902F9">
                  <w:pPr>
                    <w:adjustRightInd w:val="0"/>
                    <w:spacing w:line="240" w:lineRule="auto"/>
                    <w:ind w:firstLine="0" w:firstLineChars="0"/>
                    <w:jc w:val="center"/>
                    <w:rPr>
                      <w:rFonts w:hint="eastAsia"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rPr>
                    <w:t>54</w:t>
                  </w:r>
                </w:p>
              </w:tc>
              <w:tc>
                <w:tcPr>
                  <w:tcW w:w="881" w:type="dxa"/>
                  <w:vMerge w:val="continue"/>
                  <w:noWrap w:val="0"/>
                  <w:vAlign w:val="top"/>
                </w:tcPr>
                <w:p w14:paraId="7319C454">
                  <w:pPr>
                    <w:spacing w:line="240" w:lineRule="auto"/>
                    <w:ind w:firstLine="0" w:firstLineChars="0"/>
                    <w:jc w:val="center"/>
                    <w:rPr>
                      <w:color w:val="auto"/>
                    </w:rPr>
                  </w:pPr>
                </w:p>
              </w:tc>
              <w:tc>
                <w:tcPr>
                  <w:tcW w:w="604" w:type="dxa"/>
                  <w:vMerge w:val="continue"/>
                  <w:noWrap w:val="0"/>
                  <w:vAlign w:val="top"/>
                </w:tcPr>
                <w:p w14:paraId="02388FE7">
                  <w:pPr>
                    <w:spacing w:line="240" w:lineRule="auto"/>
                    <w:ind w:firstLine="0" w:firstLineChars="0"/>
                    <w:jc w:val="center"/>
                    <w:rPr>
                      <w:color w:val="auto"/>
                    </w:rPr>
                  </w:pPr>
                </w:p>
              </w:tc>
              <w:tc>
                <w:tcPr>
                  <w:tcW w:w="604" w:type="dxa"/>
                  <w:vMerge w:val="continue"/>
                  <w:noWrap w:val="0"/>
                  <w:vAlign w:val="top"/>
                </w:tcPr>
                <w:p w14:paraId="7BD36F7C">
                  <w:pPr>
                    <w:spacing w:line="240" w:lineRule="auto"/>
                    <w:ind w:firstLine="0" w:firstLineChars="0"/>
                    <w:jc w:val="center"/>
                    <w:rPr>
                      <w:color w:val="auto"/>
                    </w:rPr>
                  </w:pPr>
                </w:p>
              </w:tc>
              <w:tc>
                <w:tcPr>
                  <w:tcW w:w="1996" w:type="dxa"/>
                  <w:vMerge w:val="continue"/>
                  <w:noWrap w:val="0"/>
                  <w:vAlign w:val="top"/>
                </w:tcPr>
                <w:p w14:paraId="31FAC48C">
                  <w:pPr>
                    <w:spacing w:line="240" w:lineRule="auto"/>
                    <w:ind w:firstLine="0" w:firstLineChars="0"/>
                    <w:jc w:val="center"/>
                    <w:rPr>
                      <w:color w:val="auto"/>
                    </w:rPr>
                  </w:pPr>
                </w:p>
              </w:tc>
            </w:tr>
            <w:tr w14:paraId="1FED6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restart"/>
                  <w:noWrap w:val="0"/>
                  <w:vAlign w:val="center"/>
                </w:tcPr>
                <w:p w14:paraId="77797D53">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793" w:type="dxa"/>
                  <w:vMerge w:val="restart"/>
                  <w:noWrap w:val="0"/>
                  <w:vAlign w:val="center"/>
                </w:tcPr>
                <w:p w14:paraId="60D2D3DE">
                  <w:pPr>
                    <w:spacing w:line="240" w:lineRule="auto"/>
                    <w:ind w:firstLine="0" w:firstLineChars="0"/>
                    <w:jc w:val="center"/>
                    <w:rPr>
                      <w:rFonts w:hint="eastAsia" w:eastAsia="宋体"/>
                      <w:color w:val="auto"/>
                      <w:sz w:val="21"/>
                      <w:szCs w:val="21"/>
                      <w:lang w:eastAsia="zh-CN"/>
                    </w:rPr>
                  </w:pPr>
                  <w:r>
                    <w:rPr>
                      <w:rFonts w:hint="eastAsia"/>
                      <w:color w:val="auto"/>
                      <w:sz w:val="21"/>
                      <w:szCs w:val="21"/>
                      <w:lang w:eastAsia="zh-CN"/>
                    </w:rPr>
                    <w:t>废水总排口</w:t>
                  </w:r>
                </w:p>
              </w:tc>
              <w:tc>
                <w:tcPr>
                  <w:tcW w:w="1138" w:type="dxa"/>
                  <w:noWrap w:val="0"/>
                  <w:vAlign w:val="center"/>
                </w:tcPr>
                <w:p w14:paraId="505AE490">
                  <w:pPr>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bCs/>
                      <w:color w:val="auto"/>
                      <w:kern w:val="0"/>
                      <w:sz w:val="21"/>
                      <w:szCs w:val="21"/>
                    </w:rPr>
                    <w:t>水量</w:t>
                  </w:r>
                </w:p>
              </w:tc>
              <w:tc>
                <w:tcPr>
                  <w:tcW w:w="1108" w:type="dxa"/>
                  <w:noWrap w:val="0"/>
                  <w:vAlign w:val="center"/>
                </w:tcPr>
                <w:p w14:paraId="51804481">
                  <w:pPr>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2082.9</w:t>
                  </w:r>
                </w:p>
              </w:tc>
              <w:tc>
                <w:tcPr>
                  <w:tcW w:w="1092" w:type="dxa"/>
                  <w:noWrap w:val="0"/>
                  <w:vAlign w:val="center"/>
                </w:tcPr>
                <w:p w14:paraId="42621155">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c>
                <w:tcPr>
                  <w:tcW w:w="608" w:type="dxa"/>
                  <w:vMerge w:val="restart"/>
                  <w:noWrap w:val="0"/>
                  <w:vAlign w:val="center"/>
                </w:tcPr>
                <w:p w14:paraId="19742DC2">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c>
                <w:tcPr>
                  <w:tcW w:w="675" w:type="dxa"/>
                  <w:noWrap w:val="0"/>
                  <w:vAlign w:val="center"/>
                </w:tcPr>
                <w:p w14:paraId="19711B0F">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c>
                <w:tcPr>
                  <w:tcW w:w="756" w:type="dxa"/>
                  <w:vMerge w:val="restart"/>
                  <w:noWrap w:val="0"/>
                  <w:vAlign w:val="center"/>
                </w:tcPr>
                <w:p w14:paraId="5FCB71FB">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c>
                <w:tcPr>
                  <w:tcW w:w="874" w:type="dxa"/>
                  <w:vMerge w:val="restart"/>
                  <w:noWrap w:val="0"/>
                  <w:vAlign w:val="center"/>
                </w:tcPr>
                <w:p w14:paraId="36591BB1">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c>
                <w:tcPr>
                  <w:tcW w:w="608" w:type="dxa"/>
                  <w:vMerge w:val="restart"/>
                  <w:noWrap w:val="0"/>
                  <w:vAlign w:val="center"/>
                </w:tcPr>
                <w:p w14:paraId="53809C57">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c>
                <w:tcPr>
                  <w:tcW w:w="0" w:type="auto"/>
                  <w:noWrap w:val="0"/>
                  <w:vAlign w:val="center"/>
                </w:tcPr>
                <w:p w14:paraId="25D9C06C">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2082.9</w:t>
                  </w:r>
                </w:p>
              </w:tc>
              <w:tc>
                <w:tcPr>
                  <w:tcW w:w="0" w:type="auto"/>
                  <w:noWrap w:val="0"/>
                  <w:vAlign w:val="center"/>
                </w:tcPr>
                <w:p w14:paraId="68749EA6">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c>
                <w:tcPr>
                  <w:tcW w:w="881" w:type="dxa"/>
                  <w:vMerge w:val="continue"/>
                  <w:noWrap w:val="0"/>
                  <w:vAlign w:val="center"/>
                </w:tcPr>
                <w:p w14:paraId="04D17CDA">
                  <w:pPr>
                    <w:spacing w:line="240" w:lineRule="auto"/>
                    <w:ind w:firstLine="0" w:firstLineChars="0"/>
                    <w:jc w:val="center"/>
                    <w:rPr>
                      <w:color w:val="auto"/>
                      <w:sz w:val="21"/>
                      <w:szCs w:val="21"/>
                    </w:rPr>
                  </w:pPr>
                </w:p>
              </w:tc>
              <w:tc>
                <w:tcPr>
                  <w:tcW w:w="604" w:type="dxa"/>
                  <w:vMerge w:val="continue"/>
                  <w:noWrap w:val="0"/>
                  <w:vAlign w:val="center"/>
                </w:tcPr>
                <w:p w14:paraId="36BE1C5D">
                  <w:pPr>
                    <w:spacing w:line="240" w:lineRule="auto"/>
                    <w:ind w:firstLine="0" w:firstLineChars="0"/>
                    <w:jc w:val="center"/>
                    <w:rPr>
                      <w:color w:val="auto"/>
                      <w:sz w:val="21"/>
                      <w:szCs w:val="21"/>
                    </w:rPr>
                  </w:pPr>
                </w:p>
              </w:tc>
              <w:tc>
                <w:tcPr>
                  <w:tcW w:w="604" w:type="dxa"/>
                  <w:vMerge w:val="continue"/>
                  <w:noWrap w:val="0"/>
                  <w:vAlign w:val="center"/>
                </w:tcPr>
                <w:p w14:paraId="561C188F">
                  <w:pPr>
                    <w:spacing w:line="240" w:lineRule="auto"/>
                    <w:ind w:firstLine="0" w:firstLineChars="0"/>
                    <w:jc w:val="center"/>
                    <w:rPr>
                      <w:color w:val="auto"/>
                      <w:sz w:val="21"/>
                      <w:szCs w:val="21"/>
                    </w:rPr>
                  </w:pPr>
                </w:p>
              </w:tc>
              <w:tc>
                <w:tcPr>
                  <w:tcW w:w="1996" w:type="dxa"/>
                  <w:vMerge w:val="continue"/>
                  <w:noWrap w:val="0"/>
                  <w:vAlign w:val="center"/>
                </w:tcPr>
                <w:p w14:paraId="2F325FE6">
                  <w:pPr>
                    <w:spacing w:line="240" w:lineRule="auto"/>
                    <w:ind w:firstLine="0" w:firstLineChars="0"/>
                    <w:jc w:val="center"/>
                    <w:rPr>
                      <w:color w:val="auto"/>
                      <w:sz w:val="21"/>
                      <w:szCs w:val="21"/>
                    </w:rPr>
                  </w:pPr>
                </w:p>
              </w:tc>
            </w:tr>
            <w:tr w14:paraId="145FE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noWrap w:val="0"/>
                  <w:vAlign w:val="center"/>
                </w:tcPr>
                <w:p w14:paraId="4077C642">
                  <w:pPr>
                    <w:spacing w:line="240" w:lineRule="auto"/>
                    <w:ind w:firstLine="0" w:firstLineChars="0"/>
                    <w:jc w:val="center"/>
                    <w:rPr>
                      <w:rFonts w:hint="eastAsia"/>
                      <w:color w:val="auto"/>
                      <w:sz w:val="21"/>
                      <w:szCs w:val="21"/>
                    </w:rPr>
                  </w:pPr>
                </w:p>
              </w:tc>
              <w:tc>
                <w:tcPr>
                  <w:tcW w:w="793" w:type="dxa"/>
                  <w:vMerge w:val="continue"/>
                  <w:noWrap w:val="0"/>
                  <w:vAlign w:val="center"/>
                </w:tcPr>
                <w:p w14:paraId="3FC65203">
                  <w:pPr>
                    <w:spacing w:line="240" w:lineRule="auto"/>
                    <w:ind w:firstLine="0" w:firstLineChars="0"/>
                    <w:jc w:val="center"/>
                    <w:rPr>
                      <w:rFonts w:hint="eastAsia"/>
                      <w:color w:val="auto"/>
                      <w:sz w:val="21"/>
                      <w:szCs w:val="21"/>
                    </w:rPr>
                  </w:pPr>
                </w:p>
              </w:tc>
              <w:tc>
                <w:tcPr>
                  <w:tcW w:w="1138" w:type="dxa"/>
                  <w:noWrap w:val="0"/>
                  <w:vAlign w:val="center"/>
                </w:tcPr>
                <w:p w14:paraId="1FEBC9FB">
                  <w:pPr>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bCs/>
                      <w:color w:val="auto"/>
                      <w:kern w:val="0"/>
                      <w:sz w:val="21"/>
                      <w:szCs w:val="21"/>
                    </w:rPr>
                    <w:t>COD</w:t>
                  </w:r>
                </w:p>
              </w:tc>
              <w:tc>
                <w:tcPr>
                  <w:tcW w:w="1108" w:type="dxa"/>
                  <w:shd w:val="clear" w:color="auto" w:fill="auto"/>
                  <w:noWrap w:val="0"/>
                  <w:vAlign w:val="center"/>
                </w:tcPr>
                <w:p w14:paraId="1175465D">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 xml:space="preserve">0.600 </w:t>
                  </w:r>
                </w:p>
              </w:tc>
              <w:tc>
                <w:tcPr>
                  <w:tcW w:w="1092" w:type="dxa"/>
                  <w:noWrap w:val="0"/>
                  <w:vAlign w:val="center"/>
                </w:tcPr>
                <w:p w14:paraId="4D2A8143">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 xml:space="preserve">288.29 </w:t>
                  </w:r>
                </w:p>
              </w:tc>
              <w:tc>
                <w:tcPr>
                  <w:tcW w:w="608" w:type="dxa"/>
                  <w:vMerge w:val="continue"/>
                  <w:noWrap w:val="0"/>
                  <w:vAlign w:val="center"/>
                </w:tcPr>
                <w:p w14:paraId="414A5841">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p>
              </w:tc>
              <w:tc>
                <w:tcPr>
                  <w:tcW w:w="675" w:type="dxa"/>
                  <w:noWrap w:val="0"/>
                  <w:vAlign w:val="center"/>
                </w:tcPr>
                <w:p w14:paraId="3A582920">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c>
                <w:tcPr>
                  <w:tcW w:w="756" w:type="dxa"/>
                  <w:vMerge w:val="continue"/>
                  <w:noWrap w:val="0"/>
                  <w:vAlign w:val="center"/>
                </w:tcPr>
                <w:p w14:paraId="17274BC9">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p>
              </w:tc>
              <w:tc>
                <w:tcPr>
                  <w:tcW w:w="874" w:type="dxa"/>
                  <w:vMerge w:val="continue"/>
                  <w:noWrap w:val="0"/>
                  <w:vAlign w:val="center"/>
                </w:tcPr>
                <w:p w14:paraId="7B256EA0">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p>
              </w:tc>
              <w:tc>
                <w:tcPr>
                  <w:tcW w:w="608" w:type="dxa"/>
                  <w:vMerge w:val="continue"/>
                  <w:noWrap w:val="0"/>
                  <w:vAlign w:val="center"/>
                </w:tcPr>
                <w:p w14:paraId="43E267FD">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p>
              </w:tc>
              <w:tc>
                <w:tcPr>
                  <w:tcW w:w="0" w:type="auto"/>
                  <w:shd w:val="clear" w:color="auto" w:fill="auto"/>
                  <w:noWrap w:val="0"/>
                  <w:vAlign w:val="center"/>
                </w:tcPr>
                <w:p w14:paraId="38FA2ECD">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 xml:space="preserve">0.600 </w:t>
                  </w:r>
                </w:p>
              </w:tc>
              <w:tc>
                <w:tcPr>
                  <w:tcW w:w="0" w:type="auto"/>
                  <w:shd w:val="clear" w:color="auto" w:fill="auto"/>
                  <w:noWrap w:val="0"/>
                  <w:vAlign w:val="center"/>
                </w:tcPr>
                <w:p w14:paraId="6526CC8C">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288.29</w:t>
                  </w:r>
                </w:p>
              </w:tc>
              <w:tc>
                <w:tcPr>
                  <w:tcW w:w="881" w:type="dxa"/>
                  <w:vMerge w:val="continue"/>
                  <w:noWrap w:val="0"/>
                  <w:vAlign w:val="center"/>
                </w:tcPr>
                <w:p w14:paraId="48FE452D">
                  <w:pPr>
                    <w:spacing w:line="240" w:lineRule="auto"/>
                    <w:ind w:firstLine="0" w:firstLineChars="0"/>
                    <w:jc w:val="center"/>
                    <w:rPr>
                      <w:color w:val="auto"/>
                      <w:sz w:val="21"/>
                      <w:szCs w:val="21"/>
                    </w:rPr>
                  </w:pPr>
                </w:p>
              </w:tc>
              <w:tc>
                <w:tcPr>
                  <w:tcW w:w="604" w:type="dxa"/>
                  <w:vMerge w:val="continue"/>
                  <w:noWrap w:val="0"/>
                  <w:vAlign w:val="center"/>
                </w:tcPr>
                <w:p w14:paraId="081E27EC">
                  <w:pPr>
                    <w:spacing w:line="240" w:lineRule="auto"/>
                    <w:ind w:firstLine="0" w:firstLineChars="0"/>
                    <w:jc w:val="center"/>
                    <w:rPr>
                      <w:color w:val="auto"/>
                      <w:sz w:val="21"/>
                      <w:szCs w:val="21"/>
                    </w:rPr>
                  </w:pPr>
                </w:p>
              </w:tc>
              <w:tc>
                <w:tcPr>
                  <w:tcW w:w="604" w:type="dxa"/>
                  <w:vMerge w:val="continue"/>
                  <w:noWrap w:val="0"/>
                  <w:vAlign w:val="center"/>
                </w:tcPr>
                <w:p w14:paraId="79A38963">
                  <w:pPr>
                    <w:spacing w:line="240" w:lineRule="auto"/>
                    <w:ind w:firstLine="0" w:firstLineChars="0"/>
                    <w:jc w:val="center"/>
                    <w:rPr>
                      <w:color w:val="auto"/>
                      <w:sz w:val="21"/>
                      <w:szCs w:val="21"/>
                    </w:rPr>
                  </w:pPr>
                </w:p>
              </w:tc>
              <w:tc>
                <w:tcPr>
                  <w:tcW w:w="1996" w:type="dxa"/>
                  <w:vMerge w:val="continue"/>
                  <w:noWrap w:val="0"/>
                  <w:vAlign w:val="center"/>
                </w:tcPr>
                <w:p w14:paraId="5DCB6739">
                  <w:pPr>
                    <w:spacing w:line="240" w:lineRule="auto"/>
                    <w:ind w:firstLine="0" w:firstLineChars="0"/>
                    <w:jc w:val="center"/>
                    <w:rPr>
                      <w:color w:val="auto"/>
                      <w:sz w:val="21"/>
                      <w:szCs w:val="21"/>
                    </w:rPr>
                  </w:pPr>
                </w:p>
              </w:tc>
            </w:tr>
            <w:tr w14:paraId="2E98A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noWrap w:val="0"/>
                  <w:vAlign w:val="center"/>
                </w:tcPr>
                <w:p w14:paraId="57997DED">
                  <w:pPr>
                    <w:spacing w:line="240" w:lineRule="auto"/>
                    <w:ind w:firstLine="0" w:firstLineChars="0"/>
                    <w:jc w:val="center"/>
                    <w:rPr>
                      <w:rFonts w:hint="eastAsia"/>
                      <w:color w:val="auto"/>
                      <w:sz w:val="21"/>
                      <w:szCs w:val="21"/>
                    </w:rPr>
                  </w:pPr>
                </w:p>
              </w:tc>
              <w:tc>
                <w:tcPr>
                  <w:tcW w:w="793" w:type="dxa"/>
                  <w:vMerge w:val="continue"/>
                  <w:noWrap w:val="0"/>
                  <w:vAlign w:val="center"/>
                </w:tcPr>
                <w:p w14:paraId="65262AD2">
                  <w:pPr>
                    <w:spacing w:line="240" w:lineRule="auto"/>
                    <w:ind w:firstLine="0" w:firstLineChars="0"/>
                    <w:jc w:val="center"/>
                    <w:rPr>
                      <w:rFonts w:hint="eastAsia"/>
                      <w:color w:val="auto"/>
                      <w:sz w:val="21"/>
                      <w:szCs w:val="21"/>
                    </w:rPr>
                  </w:pPr>
                </w:p>
              </w:tc>
              <w:tc>
                <w:tcPr>
                  <w:tcW w:w="1138" w:type="dxa"/>
                  <w:noWrap w:val="0"/>
                  <w:vAlign w:val="center"/>
                </w:tcPr>
                <w:p w14:paraId="71939DF4">
                  <w:pPr>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bCs/>
                      <w:color w:val="auto"/>
                      <w:kern w:val="0"/>
                      <w:sz w:val="21"/>
                      <w:szCs w:val="21"/>
                    </w:rPr>
                    <w:t>BOD</w:t>
                  </w:r>
                  <w:r>
                    <w:rPr>
                      <w:rFonts w:hint="eastAsia"/>
                      <w:bCs/>
                      <w:color w:val="auto"/>
                      <w:kern w:val="0"/>
                      <w:sz w:val="21"/>
                      <w:szCs w:val="21"/>
                      <w:vertAlign w:val="subscript"/>
                    </w:rPr>
                    <w:t>5</w:t>
                  </w:r>
                </w:p>
              </w:tc>
              <w:tc>
                <w:tcPr>
                  <w:tcW w:w="1108" w:type="dxa"/>
                  <w:shd w:val="clear" w:color="auto" w:fill="auto"/>
                  <w:noWrap w:val="0"/>
                  <w:vAlign w:val="center"/>
                </w:tcPr>
                <w:p w14:paraId="7F29F1AC">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 xml:space="preserve">0.243 </w:t>
                  </w:r>
                </w:p>
              </w:tc>
              <w:tc>
                <w:tcPr>
                  <w:tcW w:w="1092" w:type="dxa"/>
                  <w:noWrap w:val="0"/>
                  <w:vAlign w:val="center"/>
                </w:tcPr>
                <w:p w14:paraId="22C3BAEC">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 xml:space="preserve">116.83 </w:t>
                  </w:r>
                </w:p>
              </w:tc>
              <w:tc>
                <w:tcPr>
                  <w:tcW w:w="608" w:type="dxa"/>
                  <w:vMerge w:val="continue"/>
                  <w:noWrap w:val="0"/>
                  <w:vAlign w:val="center"/>
                </w:tcPr>
                <w:p w14:paraId="4F5CC205">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p>
              </w:tc>
              <w:tc>
                <w:tcPr>
                  <w:tcW w:w="675" w:type="dxa"/>
                  <w:noWrap w:val="0"/>
                  <w:vAlign w:val="center"/>
                </w:tcPr>
                <w:p w14:paraId="64E191B9">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c>
                <w:tcPr>
                  <w:tcW w:w="756" w:type="dxa"/>
                  <w:vMerge w:val="continue"/>
                  <w:noWrap w:val="0"/>
                  <w:vAlign w:val="center"/>
                </w:tcPr>
                <w:p w14:paraId="1EB56C7A">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p>
              </w:tc>
              <w:tc>
                <w:tcPr>
                  <w:tcW w:w="874" w:type="dxa"/>
                  <w:vMerge w:val="continue"/>
                  <w:noWrap w:val="0"/>
                  <w:vAlign w:val="center"/>
                </w:tcPr>
                <w:p w14:paraId="056A7FC2">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p>
              </w:tc>
              <w:tc>
                <w:tcPr>
                  <w:tcW w:w="608" w:type="dxa"/>
                  <w:vMerge w:val="continue"/>
                  <w:noWrap w:val="0"/>
                  <w:vAlign w:val="center"/>
                </w:tcPr>
                <w:p w14:paraId="27B5BAB9">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p>
              </w:tc>
              <w:tc>
                <w:tcPr>
                  <w:tcW w:w="0" w:type="auto"/>
                  <w:shd w:val="clear" w:color="auto" w:fill="auto"/>
                  <w:noWrap w:val="0"/>
                  <w:vAlign w:val="center"/>
                </w:tcPr>
                <w:p w14:paraId="14119474">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 xml:space="preserve">0.243 </w:t>
                  </w:r>
                </w:p>
              </w:tc>
              <w:tc>
                <w:tcPr>
                  <w:tcW w:w="0" w:type="auto"/>
                  <w:shd w:val="clear" w:color="auto" w:fill="auto"/>
                  <w:noWrap w:val="0"/>
                  <w:vAlign w:val="center"/>
                </w:tcPr>
                <w:p w14:paraId="72D2988A">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 xml:space="preserve">116.83 </w:t>
                  </w:r>
                </w:p>
              </w:tc>
              <w:tc>
                <w:tcPr>
                  <w:tcW w:w="881" w:type="dxa"/>
                  <w:vMerge w:val="continue"/>
                  <w:noWrap w:val="0"/>
                  <w:vAlign w:val="center"/>
                </w:tcPr>
                <w:p w14:paraId="496ACB29">
                  <w:pPr>
                    <w:spacing w:line="240" w:lineRule="auto"/>
                    <w:ind w:firstLine="0" w:firstLineChars="0"/>
                    <w:jc w:val="center"/>
                    <w:rPr>
                      <w:color w:val="auto"/>
                      <w:sz w:val="21"/>
                      <w:szCs w:val="21"/>
                    </w:rPr>
                  </w:pPr>
                </w:p>
              </w:tc>
              <w:tc>
                <w:tcPr>
                  <w:tcW w:w="604" w:type="dxa"/>
                  <w:vMerge w:val="continue"/>
                  <w:noWrap w:val="0"/>
                  <w:vAlign w:val="center"/>
                </w:tcPr>
                <w:p w14:paraId="60D2582A">
                  <w:pPr>
                    <w:spacing w:line="240" w:lineRule="auto"/>
                    <w:ind w:firstLine="0" w:firstLineChars="0"/>
                    <w:jc w:val="center"/>
                    <w:rPr>
                      <w:color w:val="auto"/>
                      <w:sz w:val="21"/>
                      <w:szCs w:val="21"/>
                    </w:rPr>
                  </w:pPr>
                </w:p>
              </w:tc>
              <w:tc>
                <w:tcPr>
                  <w:tcW w:w="604" w:type="dxa"/>
                  <w:vMerge w:val="continue"/>
                  <w:noWrap w:val="0"/>
                  <w:vAlign w:val="center"/>
                </w:tcPr>
                <w:p w14:paraId="2BCDE39B">
                  <w:pPr>
                    <w:spacing w:line="240" w:lineRule="auto"/>
                    <w:ind w:firstLine="0" w:firstLineChars="0"/>
                    <w:jc w:val="center"/>
                    <w:rPr>
                      <w:color w:val="auto"/>
                      <w:sz w:val="21"/>
                      <w:szCs w:val="21"/>
                    </w:rPr>
                  </w:pPr>
                </w:p>
              </w:tc>
              <w:tc>
                <w:tcPr>
                  <w:tcW w:w="1996" w:type="dxa"/>
                  <w:vMerge w:val="continue"/>
                  <w:noWrap w:val="0"/>
                  <w:vAlign w:val="center"/>
                </w:tcPr>
                <w:p w14:paraId="76DA4A44">
                  <w:pPr>
                    <w:spacing w:line="240" w:lineRule="auto"/>
                    <w:ind w:firstLine="0" w:firstLineChars="0"/>
                    <w:jc w:val="center"/>
                    <w:rPr>
                      <w:color w:val="auto"/>
                      <w:sz w:val="21"/>
                      <w:szCs w:val="21"/>
                    </w:rPr>
                  </w:pPr>
                </w:p>
              </w:tc>
            </w:tr>
            <w:tr w14:paraId="06F8F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noWrap w:val="0"/>
                  <w:vAlign w:val="center"/>
                </w:tcPr>
                <w:p w14:paraId="0E0AE082">
                  <w:pPr>
                    <w:spacing w:line="240" w:lineRule="auto"/>
                    <w:ind w:firstLine="0" w:firstLineChars="0"/>
                    <w:jc w:val="center"/>
                    <w:rPr>
                      <w:rFonts w:hint="eastAsia"/>
                      <w:color w:val="auto"/>
                      <w:sz w:val="21"/>
                      <w:szCs w:val="21"/>
                    </w:rPr>
                  </w:pPr>
                </w:p>
              </w:tc>
              <w:tc>
                <w:tcPr>
                  <w:tcW w:w="793" w:type="dxa"/>
                  <w:vMerge w:val="continue"/>
                  <w:noWrap w:val="0"/>
                  <w:vAlign w:val="center"/>
                </w:tcPr>
                <w:p w14:paraId="189EC378">
                  <w:pPr>
                    <w:spacing w:line="240" w:lineRule="auto"/>
                    <w:ind w:firstLine="0" w:firstLineChars="0"/>
                    <w:jc w:val="center"/>
                    <w:rPr>
                      <w:rFonts w:hint="eastAsia"/>
                      <w:color w:val="auto"/>
                      <w:sz w:val="21"/>
                      <w:szCs w:val="21"/>
                    </w:rPr>
                  </w:pPr>
                </w:p>
              </w:tc>
              <w:tc>
                <w:tcPr>
                  <w:tcW w:w="1138" w:type="dxa"/>
                  <w:noWrap w:val="0"/>
                  <w:vAlign w:val="center"/>
                </w:tcPr>
                <w:p w14:paraId="7EB5C4B5">
                  <w:pPr>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bCs/>
                      <w:color w:val="auto"/>
                      <w:kern w:val="0"/>
                      <w:sz w:val="21"/>
                      <w:szCs w:val="21"/>
                    </w:rPr>
                    <w:t>SS</w:t>
                  </w:r>
                </w:p>
              </w:tc>
              <w:tc>
                <w:tcPr>
                  <w:tcW w:w="1108" w:type="dxa"/>
                  <w:shd w:val="clear" w:color="auto" w:fill="auto"/>
                  <w:noWrap w:val="0"/>
                  <w:vAlign w:val="center"/>
                </w:tcPr>
                <w:p w14:paraId="55F6D4F0">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 xml:space="preserve">0.223 </w:t>
                  </w:r>
                </w:p>
              </w:tc>
              <w:tc>
                <w:tcPr>
                  <w:tcW w:w="1092" w:type="dxa"/>
                  <w:noWrap w:val="0"/>
                  <w:vAlign w:val="center"/>
                </w:tcPr>
                <w:p w14:paraId="2A02A4CC">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 xml:space="preserve">107.09 </w:t>
                  </w:r>
                </w:p>
              </w:tc>
              <w:tc>
                <w:tcPr>
                  <w:tcW w:w="608" w:type="dxa"/>
                  <w:vMerge w:val="continue"/>
                  <w:noWrap w:val="0"/>
                  <w:vAlign w:val="center"/>
                </w:tcPr>
                <w:p w14:paraId="3C42A4AC">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p>
              </w:tc>
              <w:tc>
                <w:tcPr>
                  <w:tcW w:w="675" w:type="dxa"/>
                  <w:noWrap w:val="0"/>
                  <w:vAlign w:val="center"/>
                </w:tcPr>
                <w:p w14:paraId="0B10B146">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c>
                <w:tcPr>
                  <w:tcW w:w="756" w:type="dxa"/>
                  <w:vMerge w:val="continue"/>
                  <w:noWrap w:val="0"/>
                  <w:vAlign w:val="center"/>
                </w:tcPr>
                <w:p w14:paraId="4AAB33CB">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p>
              </w:tc>
              <w:tc>
                <w:tcPr>
                  <w:tcW w:w="874" w:type="dxa"/>
                  <w:vMerge w:val="continue"/>
                  <w:noWrap w:val="0"/>
                  <w:vAlign w:val="center"/>
                </w:tcPr>
                <w:p w14:paraId="4AC87869">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p>
              </w:tc>
              <w:tc>
                <w:tcPr>
                  <w:tcW w:w="608" w:type="dxa"/>
                  <w:vMerge w:val="continue"/>
                  <w:noWrap w:val="0"/>
                  <w:vAlign w:val="center"/>
                </w:tcPr>
                <w:p w14:paraId="0AB9487E">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p>
              </w:tc>
              <w:tc>
                <w:tcPr>
                  <w:tcW w:w="0" w:type="auto"/>
                  <w:shd w:val="clear" w:color="auto" w:fill="auto"/>
                  <w:noWrap w:val="0"/>
                  <w:vAlign w:val="center"/>
                </w:tcPr>
                <w:p w14:paraId="53F6A7C6">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 xml:space="preserve">0.223 </w:t>
                  </w:r>
                </w:p>
              </w:tc>
              <w:tc>
                <w:tcPr>
                  <w:tcW w:w="0" w:type="auto"/>
                  <w:shd w:val="clear" w:color="auto" w:fill="auto"/>
                  <w:noWrap w:val="0"/>
                  <w:vAlign w:val="center"/>
                </w:tcPr>
                <w:p w14:paraId="5290DB42">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 xml:space="preserve">107.09 </w:t>
                  </w:r>
                </w:p>
              </w:tc>
              <w:tc>
                <w:tcPr>
                  <w:tcW w:w="881" w:type="dxa"/>
                  <w:vMerge w:val="continue"/>
                  <w:noWrap w:val="0"/>
                  <w:vAlign w:val="center"/>
                </w:tcPr>
                <w:p w14:paraId="166FC732">
                  <w:pPr>
                    <w:spacing w:line="240" w:lineRule="auto"/>
                    <w:ind w:firstLine="0" w:firstLineChars="0"/>
                    <w:jc w:val="center"/>
                    <w:rPr>
                      <w:color w:val="auto"/>
                      <w:sz w:val="21"/>
                      <w:szCs w:val="21"/>
                    </w:rPr>
                  </w:pPr>
                </w:p>
              </w:tc>
              <w:tc>
                <w:tcPr>
                  <w:tcW w:w="604" w:type="dxa"/>
                  <w:vMerge w:val="continue"/>
                  <w:noWrap w:val="0"/>
                  <w:vAlign w:val="center"/>
                </w:tcPr>
                <w:p w14:paraId="5EBBFB90">
                  <w:pPr>
                    <w:spacing w:line="240" w:lineRule="auto"/>
                    <w:ind w:firstLine="0" w:firstLineChars="0"/>
                    <w:jc w:val="center"/>
                    <w:rPr>
                      <w:color w:val="auto"/>
                      <w:sz w:val="21"/>
                      <w:szCs w:val="21"/>
                    </w:rPr>
                  </w:pPr>
                </w:p>
              </w:tc>
              <w:tc>
                <w:tcPr>
                  <w:tcW w:w="604" w:type="dxa"/>
                  <w:vMerge w:val="continue"/>
                  <w:noWrap w:val="0"/>
                  <w:vAlign w:val="center"/>
                </w:tcPr>
                <w:p w14:paraId="5ED7AD5D">
                  <w:pPr>
                    <w:spacing w:line="240" w:lineRule="auto"/>
                    <w:ind w:firstLine="0" w:firstLineChars="0"/>
                    <w:jc w:val="center"/>
                    <w:rPr>
                      <w:color w:val="auto"/>
                      <w:sz w:val="21"/>
                      <w:szCs w:val="21"/>
                    </w:rPr>
                  </w:pPr>
                </w:p>
              </w:tc>
              <w:tc>
                <w:tcPr>
                  <w:tcW w:w="1996" w:type="dxa"/>
                  <w:vMerge w:val="continue"/>
                  <w:noWrap w:val="0"/>
                  <w:vAlign w:val="center"/>
                </w:tcPr>
                <w:p w14:paraId="5A1781A5">
                  <w:pPr>
                    <w:spacing w:line="240" w:lineRule="auto"/>
                    <w:ind w:firstLine="0" w:firstLineChars="0"/>
                    <w:jc w:val="center"/>
                    <w:rPr>
                      <w:color w:val="auto"/>
                      <w:sz w:val="21"/>
                      <w:szCs w:val="21"/>
                    </w:rPr>
                  </w:pPr>
                </w:p>
              </w:tc>
            </w:tr>
            <w:tr w14:paraId="40F98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noWrap w:val="0"/>
                  <w:vAlign w:val="center"/>
                </w:tcPr>
                <w:p w14:paraId="17FEA3C6">
                  <w:pPr>
                    <w:spacing w:line="240" w:lineRule="auto"/>
                    <w:ind w:firstLine="0" w:firstLineChars="0"/>
                    <w:jc w:val="center"/>
                    <w:rPr>
                      <w:rFonts w:hint="eastAsia"/>
                      <w:color w:val="auto"/>
                      <w:sz w:val="21"/>
                      <w:szCs w:val="21"/>
                    </w:rPr>
                  </w:pPr>
                </w:p>
              </w:tc>
              <w:tc>
                <w:tcPr>
                  <w:tcW w:w="793" w:type="dxa"/>
                  <w:vMerge w:val="continue"/>
                  <w:noWrap w:val="0"/>
                  <w:vAlign w:val="center"/>
                </w:tcPr>
                <w:p w14:paraId="5FE6FD41">
                  <w:pPr>
                    <w:spacing w:line="240" w:lineRule="auto"/>
                    <w:ind w:firstLine="0" w:firstLineChars="0"/>
                    <w:jc w:val="center"/>
                    <w:rPr>
                      <w:rFonts w:hint="eastAsia"/>
                      <w:color w:val="auto"/>
                      <w:sz w:val="21"/>
                      <w:szCs w:val="21"/>
                    </w:rPr>
                  </w:pPr>
                </w:p>
              </w:tc>
              <w:tc>
                <w:tcPr>
                  <w:tcW w:w="1138" w:type="dxa"/>
                  <w:noWrap w:val="0"/>
                  <w:vAlign w:val="center"/>
                </w:tcPr>
                <w:p w14:paraId="7A84BAB7">
                  <w:pPr>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bCs/>
                      <w:color w:val="auto"/>
                      <w:kern w:val="0"/>
                      <w:sz w:val="21"/>
                      <w:szCs w:val="21"/>
                    </w:rPr>
                    <w:t>NH</w:t>
                  </w:r>
                  <w:r>
                    <w:rPr>
                      <w:rFonts w:hint="eastAsia"/>
                      <w:bCs/>
                      <w:color w:val="auto"/>
                      <w:kern w:val="0"/>
                      <w:sz w:val="21"/>
                      <w:szCs w:val="21"/>
                      <w:vertAlign w:val="subscript"/>
                    </w:rPr>
                    <w:t>3</w:t>
                  </w:r>
                  <w:r>
                    <w:rPr>
                      <w:rFonts w:hint="eastAsia"/>
                      <w:bCs/>
                      <w:color w:val="auto"/>
                      <w:kern w:val="0"/>
                      <w:sz w:val="21"/>
                      <w:szCs w:val="21"/>
                    </w:rPr>
                    <w:t>-N</w:t>
                  </w:r>
                </w:p>
              </w:tc>
              <w:tc>
                <w:tcPr>
                  <w:tcW w:w="1108" w:type="dxa"/>
                  <w:shd w:val="clear" w:color="auto" w:fill="auto"/>
                  <w:noWrap w:val="0"/>
                  <w:vAlign w:val="center"/>
                </w:tcPr>
                <w:p w14:paraId="4CC42EF3">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 xml:space="preserve">0.044 </w:t>
                  </w:r>
                </w:p>
              </w:tc>
              <w:tc>
                <w:tcPr>
                  <w:tcW w:w="1092" w:type="dxa"/>
                  <w:noWrap w:val="0"/>
                  <w:vAlign w:val="center"/>
                </w:tcPr>
                <w:p w14:paraId="0A0FE62B">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 xml:space="preserve">20.92 </w:t>
                  </w:r>
                </w:p>
              </w:tc>
              <w:tc>
                <w:tcPr>
                  <w:tcW w:w="608" w:type="dxa"/>
                  <w:vMerge w:val="continue"/>
                  <w:noWrap w:val="0"/>
                  <w:vAlign w:val="center"/>
                </w:tcPr>
                <w:p w14:paraId="38E533E0">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p>
              </w:tc>
              <w:tc>
                <w:tcPr>
                  <w:tcW w:w="675" w:type="dxa"/>
                  <w:noWrap w:val="0"/>
                  <w:vAlign w:val="center"/>
                </w:tcPr>
                <w:p w14:paraId="6E5829BB">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c>
                <w:tcPr>
                  <w:tcW w:w="756" w:type="dxa"/>
                  <w:vMerge w:val="continue"/>
                  <w:noWrap w:val="0"/>
                  <w:vAlign w:val="center"/>
                </w:tcPr>
                <w:p w14:paraId="69B6DE6C">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p>
              </w:tc>
              <w:tc>
                <w:tcPr>
                  <w:tcW w:w="874" w:type="dxa"/>
                  <w:vMerge w:val="continue"/>
                  <w:noWrap w:val="0"/>
                  <w:vAlign w:val="center"/>
                </w:tcPr>
                <w:p w14:paraId="4F35EDDD">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p>
              </w:tc>
              <w:tc>
                <w:tcPr>
                  <w:tcW w:w="608" w:type="dxa"/>
                  <w:vMerge w:val="continue"/>
                  <w:noWrap w:val="0"/>
                  <w:vAlign w:val="center"/>
                </w:tcPr>
                <w:p w14:paraId="524B4B80">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p>
              </w:tc>
              <w:tc>
                <w:tcPr>
                  <w:tcW w:w="0" w:type="auto"/>
                  <w:shd w:val="clear" w:color="auto" w:fill="auto"/>
                  <w:noWrap w:val="0"/>
                  <w:vAlign w:val="center"/>
                </w:tcPr>
                <w:p w14:paraId="4B19AC1E">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 xml:space="preserve">0.044 </w:t>
                  </w:r>
                </w:p>
              </w:tc>
              <w:tc>
                <w:tcPr>
                  <w:tcW w:w="0" w:type="auto"/>
                  <w:shd w:val="clear" w:color="auto" w:fill="auto"/>
                  <w:noWrap w:val="0"/>
                  <w:vAlign w:val="center"/>
                </w:tcPr>
                <w:p w14:paraId="2150A5FD">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 xml:space="preserve">20.92 </w:t>
                  </w:r>
                </w:p>
              </w:tc>
              <w:tc>
                <w:tcPr>
                  <w:tcW w:w="881" w:type="dxa"/>
                  <w:vMerge w:val="continue"/>
                  <w:noWrap w:val="0"/>
                  <w:vAlign w:val="center"/>
                </w:tcPr>
                <w:p w14:paraId="4A5F7995">
                  <w:pPr>
                    <w:spacing w:line="240" w:lineRule="auto"/>
                    <w:ind w:firstLine="0" w:firstLineChars="0"/>
                    <w:jc w:val="center"/>
                    <w:rPr>
                      <w:color w:val="auto"/>
                      <w:sz w:val="21"/>
                      <w:szCs w:val="21"/>
                    </w:rPr>
                  </w:pPr>
                </w:p>
              </w:tc>
              <w:tc>
                <w:tcPr>
                  <w:tcW w:w="604" w:type="dxa"/>
                  <w:vMerge w:val="continue"/>
                  <w:noWrap w:val="0"/>
                  <w:vAlign w:val="center"/>
                </w:tcPr>
                <w:p w14:paraId="4D46F95D">
                  <w:pPr>
                    <w:spacing w:line="240" w:lineRule="auto"/>
                    <w:ind w:firstLine="0" w:firstLineChars="0"/>
                    <w:jc w:val="center"/>
                    <w:rPr>
                      <w:color w:val="auto"/>
                      <w:sz w:val="21"/>
                      <w:szCs w:val="21"/>
                    </w:rPr>
                  </w:pPr>
                </w:p>
              </w:tc>
              <w:tc>
                <w:tcPr>
                  <w:tcW w:w="604" w:type="dxa"/>
                  <w:vMerge w:val="continue"/>
                  <w:noWrap w:val="0"/>
                  <w:vAlign w:val="center"/>
                </w:tcPr>
                <w:p w14:paraId="5FE46E34">
                  <w:pPr>
                    <w:spacing w:line="240" w:lineRule="auto"/>
                    <w:ind w:firstLine="0" w:firstLineChars="0"/>
                    <w:jc w:val="center"/>
                    <w:rPr>
                      <w:color w:val="auto"/>
                      <w:sz w:val="21"/>
                      <w:szCs w:val="21"/>
                    </w:rPr>
                  </w:pPr>
                </w:p>
              </w:tc>
              <w:tc>
                <w:tcPr>
                  <w:tcW w:w="1996" w:type="dxa"/>
                  <w:vMerge w:val="continue"/>
                  <w:noWrap w:val="0"/>
                  <w:vAlign w:val="center"/>
                </w:tcPr>
                <w:p w14:paraId="4030ED8F">
                  <w:pPr>
                    <w:spacing w:line="240" w:lineRule="auto"/>
                    <w:ind w:firstLine="0" w:firstLineChars="0"/>
                    <w:jc w:val="center"/>
                    <w:rPr>
                      <w:color w:val="auto"/>
                      <w:sz w:val="21"/>
                      <w:szCs w:val="21"/>
                    </w:rPr>
                  </w:pPr>
                </w:p>
              </w:tc>
            </w:tr>
            <w:tr w14:paraId="59BBB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noWrap w:val="0"/>
                  <w:vAlign w:val="center"/>
                </w:tcPr>
                <w:p w14:paraId="76757C11">
                  <w:pPr>
                    <w:spacing w:line="240" w:lineRule="auto"/>
                    <w:ind w:firstLine="0" w:firstLineChars="0"/>
                    <w:jc w:val="center"/>
                    <w:rPr>
                      <w:rFonts w:hint="eastAsia"/>
                      <w:color w:val="auto"/>
                      <w:sz w:val="21"/>
                      <w:szCs w:val="21"/>
                    </w:rPr>
                  </w:pPr>
                </w:p>
              </w:tc>
              <w:tc>
                <w:tcPr>
                  <w:tcW w:w="793" w:type="dxa"/>
                  <w:vMerge w:val="continue"/>
                  <w:noWrap w:val="0"/>
                  <w:vAlign w:val="center"/>
                </w:tcPr>
                <w:p w14:paraId="0FA455EE">
                  <w:pPr>
                    <w:spacing w:line="240" w:lineRule="auto"/>
                    <w:ind w:firstLine="0" w:firstLineChars="0"/>
                    <w:jc w:val="center"/>
                    <w:rPr>
                      <w:rFonts w:hint="eastAsia"/>
                      <w:color w:val="auto"/>
                      <w:sz w:val="21"/>
                      <w:szCs w:val="21"/>
                    </w:rPr>
                  </w:pPr>
                </w:p>
              </w:tc>
              <w:tc>
                <w:tcPr>
                  <w:tcW w:w="1138" w:type="dxa"/>
                  <w:noWrap w:val="0"/>
                  <w:vAlign w:val="center"/>
                </w:tcPr>
                <w:p w14:paraId="191D84D1">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bidi="ar-SA"/>
                    </w:rPr>
                  </w:pPr>
                  <w:r>
                    <w:rPr>
                      <w:rFonts w:hint="eastAsia"/>
                      <w:bCs/>
                      <w:color w:val="auto"/>
                      <w:kern w:val="0"/>
                      <w:sz w:val="21"/>
                      <w:szCs w:val="21"/>
                    </w:rPr>
                    <w:t>TP</w:t>
                  </w:r>
                </w:p>
              </w:tc>
              <w:tc>
                <w:tcPr>
                  <w:tcW w:w="1108" w:type="dxa"/>
                  <w:shd w:val="clear" w:color="auto" w:fill="auto"/>
                  <w:noWrap w:val="0"/>
                  <w:vAlign w:val="center"/>
                </w:tcPr>
                <w:p w14:paraId="0FB8FE0A">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 xml:space="preserve">0.007 </w:t>
                  </w:r>
                </w:p>
              </w:tc>
              <w:tc>
                <w:tcPr>
                  <w:tcW w:w="1092" w:type="dxa"/>
                  <w:noWrap w:val="0"/>
                  <w:vAlign w:val="center"/>
                </w:tcPr>
                <w:p w14:paraId="69586B3E">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 xml:space="preserve">3.20 </w:t>
                  </w:r>
                </w:p>
              </w:tc>
              <w:tc>
                <w:tcPr>
                  <w:tcW w:w="608" w:type="dxa"/>
                  <w:vMerge w:val="continue"/>
                  <w:noWrap w:val="0"/>
                  <w:vAlign w:val="center"/>
                </w:tcPr>
                <w:p w14:paraId="729C95BA">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p>
              </w:tc>
              <w:tc>
                <w:tcPr>
                  <w:tcW w:w="675" w:type="dxa"/>
                  <w:noWrap w:val="0"/>
                  <w:vAlign w:val="center"/>
                </w:tcPr>
                <w:p w14:paraId="51419C1A">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c>
                <w:tcPr>
                  <w:tcW w:w="756" w:type="dxa"/>
                  <w:vMerge w:val="continue"/>
                  <w:noWrap w:val="0"/>
                  <w:vAlign w:val="center"/>
                </w:tcPr>
                <w:p w14:paraId="1FFD72B7">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p>
              </w:tc>
              <w:tc>
                <w:tcPr>
                  <w:tcW w:w="874" w:type="dxa"/>
                  <w:vMerge w:val="continue"/>
                  <w:noWrap w:val="0"/>
                  <w:vAlign w:val="center"/>
                </w:tcPr>
                <w:p w14:paraId="15C1A3AF">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p>
              </w:tc>
              <w:tc>
                <w:tcPr>
                  <w:tcW w:w="608" w:type="dxa"/>
                  <w:vMerge w:val="continue"/>
                  <w:noWrap w:val="0"/>
                  <w:vAlign w:val="center"/>
                </w:tcPr>
                <w:p w14:paraId="7151C39E">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p>
              </w:tc>
              <w:tc>
                <w:tcPr>
                  <w:tcW w:w="0" w:type="auto"/>
                  <w:shd w:val="clear" w:color="auto" w:fill="auto"/>
                  <w:noWrap w:val="0"/>
                  <w:vAlign w:val="center"/>
                </w:tcPr>
                <w:p w14:paraId="313E5A8C">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 xml:space="preserve">0.007 </w:t>
                  </w:r>
                </w:p>
              </w:tc>
              <w:tc>
                <w:tcPr>
                  <w:tcW w:w="0" w:type="auto"/>
                  <w:shd w:val="clear" w:color="auto" w:fill="auto"/>
                  <w:noWrap w:val="0"/>
                  <w:vAlign w:val="center"/>
                </w:tcPr>
                <w:p w14:paraId="43F53902">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 xml:space="preserve">3.20 </w:t>
                  </w:r>
                </w:p>
              </w:tc>
              <w:tc>
                <w:tcPr>
                  <w:tcW w:w="881" w:type="dxa"/>
                  <w:vMerge w:val="continue"/>
                  <w:noWrap w:val="0"/>
                  <w:vAlign w:val="center"/>
                </w:tcPr>
                <w:p w14:paraId="69F320A0">
                  <w:pPr>
                    <w:spacing w:line="240" w:lineRule="auto"/>
                    <w:ind w:firstLine="0" w:firstLineChars="0"/>
                    <w:jc w:val="center"/>
                    <w:rPr>
                      <w:color w:val="auto"/>
                      <w:sz w:val="21"/>
                      <w:szCs w:val="21"/>
                    </w:rPr>
                  </w:pPr>
                </w:p>
              </w:tc>
              <w:tc>
                <w:tcPr>
                  <w:tcW w:w="604" w:type="dxa"/>
                  <w:vMerge w:val="continue"/>
                  <w:noWrap w:val="0"/>
                  <w:vAlign w:val="center"/>
                </w:tcPr>
                <w:p w14:paraId="1604B1AC">
                  <w:pPr>
                    <w:spacing w:line="240" w:lineRule="auto"/>
                    <w:ind w:firstLine="0" w:firstLineChars="0"/>
                    <w:jc w:val="center"/>
                    <w:rPr>
                      <w:color w:val="auto"/>
                      <w:sz w:val="21"/>
                      <w:szCs w:val="21"/>
                    </w:rPr>
                  </w:pPr>
                </w:p>
              </w:tc>
              <w:tc>
                <w:tcPr>
                  <w:tcW w:w="604" w:type="dxa"/>
                  <w:vMerge w:val="continue"/>
                  <w:noWrap w:val="0"/>
                  <w:vAlign w:val="center"/>
                </w:tcPr>
                <w:p w14:paraId="6B8398EC">
                  <w:pPr>
                    <w:spacing w:line="240" w:lineRule="auto"/>
                    <w:ind w:firstLine="0" w:firstLineChars="0"/>
                    <w:jc w:val="center"/>
                    <w:rPr>
                      <w:color w:val="auto"/>
                      <w:sz w:val="21"/>
                      <w:szCs w:val="21"/>
                    </w:rPr>
                  </w:pPr>
                </w:p>
              </w:tc>
              <w:tc>
                <w:tcPr>
                  <w:tcW w:w="1996" w:type="dxa"/>
                  <w:vMerge w:val="continue"/>
                  <w:noWrap w:val="0"/>
                  <w:vAlign w:val="center"/>
                </w:tcPr>
                <w:p w14:paraId="2BDF7A3F">
                  <w:pPr>
                    <w:spacing w:line="240" w:lineRule="auto"/>
                    <w:ind w:firstLine="0" w:firstLineChars="0"/>
                    <w:jc w:val="center"/>
                    <w:rPr>
                      <w:color w:val="auto"/>
                      <w:sz w:val="21"/>
                      <w:szCs w:val="21"/>
                    </w:rPr>
                  </w:pPr>
                </w:p>
              </w:tc>
            </w:tr>
            <w:tr w14:paraId="680E1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noWrap w:val="0"/>
                  <w:vAlign w:val="center"/>
                </w:tcPr>
                <w:p w14:paraId="7DD41D71">
                  <w:pPr>
                    <w:spacing w:line="240" w:lineRule="auto"/>
                    <w:ind w:firstLine="0" w:firstLineChars="0"/>
                    <w:jc w:val="center"/>
                    <w:rPr>
                      <w:rFonts w:hint="eastAsia"/>
                      <w:color w:val="auto"/>
                      <w:sz w:val="21"/>
                      <w:szCs w:val="21"/>
                    </w:rPr>
                  </w:pPr>
                </w:p>
              </w:tc>
              <w:tc>
                <w:tcPr>
                  <w:tcW w:w="793" w:type="dxa"/>
                  <w:vMerge w:val="continue"/>
                  <w:noWrap w:val="0"/>
                  <w:vAlign w:val="center"/>
                </w:tcPr>
                <w:p w14:paraId="523D2077">
                  <w:pPr>
                    <w:spacing w:line="240" w:lineRule="auto"/>
                    <w:ind w:firstLine="0" w:firstLineChars="0"/>
                    <w:jc w:val="center"/>
                    <w:rPr>
                      <w:rFonts w:hint="eastAsia"/>
                      <w:color w:val="auto"/>
                      <w:sz w:val="21"/>
                      <w:szCs w:val="21"/>
                    </w:rPr>
                  </w:pPr>
                </w:p>
              </w:tc>
              <w:tc>
                <w:tcPr>
                  <w:tcW w:w="1138" w:type="dxa"/>
                  <w:noWrap w:val="0"/>
                  <w:vAlign w:val="center"/>
                </w:tcPr>
                <w:p w14:paraId="7033611D">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bidi="ar-SA"/>
                    </w:rPr>
                  </w:pPr>
                  <w:r>
                    <w:rPr>
                      <w:rFonts w:hint="eastAsia"/>
                      <w:bCs/>
                      <w:color w:val="auto"/>
                      <w:kern w:val="0"/>
                      <w:sz w:val="21"/>
                      <w:szCs w:val="21"/>
                    </w:rPr>
                    <w:t>TN</w:t>
                  </w:r>
                </w:p>
              </w:tc>
              <w:tc>
                <w:tcPr>
                  <w:tcW w:w="1108" w:type="dxa"/>
                  <w:shd w:val="clear" w:color="auto" w:fill="auto"/>
                  <w:noWrap w:val="0"/>
                  <w:vAlign w:val="center"/>
                </w:tcPr>
                <w:p w14:paraId="0D3A8D44">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 xml:space="preserve">0.061 </w:t>
                  </w:r>
                </w:p>
              </w:tc>
              <w:tc>
                <w:tcPr>
                  <w:tcW w:w="1092" w:type="dxa"/>
                  <w:noWrap w:val="0"/>
                  <w:vAlign w:val="center"/>
                </w:tcPr>
                <w:p w14:paraId="52535B2B">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 xml:space="preserve">29.47 </w:t>
                  </w:r>
                </w:p>
              </w:tc>
              <w:tc>
                <w:tcPr>
                  <w:tcW w:w="608" w:type="dxa"/>
                  <w:vMerge w:val="continue"/>
                  <w:noWrap w:val="0"/>
                  <w:vAlign w:val="center"/>
                </w:tcPr>
                <w:p w14:paraId="665B05F7">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p>
              </w:tc>
              <w:tc>
                <w:tcPr>
                  <w:tcW w:w="675" w:type="dxa"/>
                  <w:noWrap w:val="0"/>
                  <w:vAlign w:val="center"/>
                </w:tcPr>
                <w:p w14:paraId="63CB82FF">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c>
                <w:tcPr>
                  <w:tcW w:w="756" w:type="dxa"/>
                  <w:vMerge w:val="continue"/>
                  <w:noWrap w:val="0"/>
                  <w:vAlign w:val="center"/>
                </w:tcPr>
                <w:p w14:paraId="24180678">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p>
              </w:tc>
              <w:tc>
                <w:tcPr>
                  <w:tcW w:w="874" w:type="dxa"/>
                  <w:vMerge w:val="continue"/>
                  <w:noWrap w:val="0"/>
                  <w:vAlign w:val="center"/>
                </w:tcPr>
                <w:p w14:paraId="1396F86F">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p>
              </w:tc>
              <w:tc>
                <w:tcPr>
                  <w:tcW w:w="608" w:type="dxa"/>
                  <w:vMerge w:val="continue"/>
                  <w:noWrap w:val="0"/>
                  <w:vAlign w:val="center"/>
                </w:tcPr>
                <w:p w14:paraId="3D914F83">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p>
              </w:tc>
              <w:tc>
                <w:tcPr>
                  <w:tcW w:w="0" w:type="auto"/>
                  <w:shd w:val="clear" w:color="auto" w:fill="auto"/>
                  <w:noWrap w:val="0"/>
                  <w:vAlign w:val="center"/>
                </w:tcPr>
                <w:p w14:paraId="1540EAD0">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 xml:space="preserve">0.061 </w:t>
                  </w:r>
                </w:p>
              </w:tc>
              <w:tc>
                <w:tcPr>
                  <w:tcW w:w="0" w:type="auto"/>
                  <w:shd w:val="clear" w:color="auto" w:fill="auto"/>
                  <w:noWrap w:val="0"/>
                  <w:vAlign w:val="center"/>
                </w:tcPr>
                <w:p w14:paraId="5C47E346">
                  <w:pPr>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 xml:space="preserve">29.47 </w:t>
                  </w:r>
                </w:p>
              </w:tc>
              <w:tc>
                <w:tcPr>
                  <w:tcW w:w="881" w:type="dxa"/>
                  <w:vMerge w:val="continue"/>
                  <w:noWrap w:val="0"/>
                  <w:vAlign w:val="center"/>
                </w:tcPr>
                <w:p w14:paraId="55AB6C99">
                  <w:pPr>
                    <w:spacing w:line="240" w:lineRule="auto"/>
                    <w:ind w:firstLine="0" w:firstLineChars="0"/>
                    <w:jc w:val="center"/>
                    <w:rPr>
                      <w:color w:val="auto"/>
                      <w:sz w:val="21"/>
                      <w:szCs w:val="21"/>
                    </w:rPr>
                  </w:pPr>
                </w:p>
              </w:tc>
              <w:tc>
                <w:tcPr>
                  <w:tcW w:w="604" w:type="dxa"/>
                  <w:vMerge w:val="continue"/>
                  <w:noWrap w:val="0"/>
                  <w:vAlign w:val="center"/>
                </w:tcPr>
                <w:p w14:paraId="1592BAEE">
                  <w:pPr>
                    <w:spacing w:line="240" w:lineRule="auto"/>
                    <w:ind w:firstLine="0" w:firstLineChars="0"/>
                    <w:jc w:val="center"/>
                    <w:rPr>
                      <w:color w:val="auto"/>
                      <w:sz w:val="21"/>
                      <w:szCs w:val="21"/>
                    </w:rPr>
                  </w:pPr>
                </w:p>
              </w:tc>
              <w:tc>
                <w:tcPr>
                  <w:tcW w:w="604" w:type="dxa"/>
                  <w:vMerge w:val="continue"/>
                  <w:noWrap w:val="0"/>
                  <w:vAlign w:val="center"/>
                </w:tcPr>
                <w:p w14:paraId="43FB698F">
                  <w:pPr>
                    <w:spacing w:line="240" w:lineRule="auto"/>
                    <w:ind w:firstLine="0" w:firstLineChars="0"/>
                    <w:jc w:val="center"/>
                    <w:rPr>
                      <w:color w:val="auto"/>
                      <w:sz w:val="21"/>
                      <w:szCs w:val="21"/>
                    </w:rPr>
                  </w:pPr>
                </w:p>
              </w:tc>
              <w:tc>
                <w:tcPr>
                  <w:tcW w:w="1996" w:type="dxa"/>
                  <w:vMerge w:val="continue"/>
                  <w:noWrap w:val="0"/>
                  <w:vAlign w:val="center"/>
                </w:tcPr>
                <w:p w14:paraId="614A19AC">
                  <w:pPr>
                    <w:spacing w:line="240" w:lineRule="auto"/>
                    <w:ind w:firstLine="0" w:firstLineChars="0"/>
                    <w:jc w:val="center"/>
                    <w:rPr>
                      <w:color w:val="auto"/>
                      <w:sz w:val="21"/>
                      <w:szCs w:val="21"/>
                    </w:rPr>
                  </w:pPr>
                </w:p>
              </w:tc>
            </w:tr>
          </w:tbl>
          <w:p w14:paraId="3A387719">
            <w:pPr>
              <w:ind w:firstLine="0" w:firstLineChars="0"/>
              <w:jc w:val="center"/>
              <w:rPr>
                <w:color w:val="auto"/>
              </w:rPr>
            </w:pPr>
            <w:r>
              <w:rPr>
                <w:rFonts w:hint="eastAsia"/>
                <w:b/>
                <w:bCs/>
                <w:color w:val="auto"/>
              </w:rPr>
              <w:t>表</w:t>
            </w:r>
            <w:r>
              <w:rPr>
                <w:rFonts w:hint="eastAsia"/>
                <w:b/>
                <w:bCs/>
                <w:color w:val="auto"/>
                <w:szCs w:val="21"/>
                <w:lang w:val="en-US" w:eastAsia="zh-CN"/>
              </w:rPr>
              <w:t>4-8</w:t>
            </w:r>
            <w:r>
              <w:rPr>
                <w:rFonts w:hint="eastAsia"/>
                <w:b/>
                <w:bCs/>
                <w:color w:val="auto"/>
              </w:rPr>
              <w:t xml:space="preserve"> 项目污水自行监测计划一览表</w:t>
            </w:r>
          </w:p>
          <w:tbl>
            <w:tblPr>
              <w:tblStyle w:val="23"/>
              <w:tblW w:w="145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935"/>
              <w:gridCol w:w="627"/>
              <w:gridCol w:w="627"/>
              <w:gridCol w:w="1941"/>
              <w:gridCol w:w="2054"/>
              <w:gridCol w:w="627"/>
              <w:gridCol w:w="1686"/>
              <w:gridCol w:w="1117"/>
              <w:gridCol w:w="1049"/>
              <w:gridCol w:w="1775"/>
              <w:gridCol w:w="1491"/>
            </w:tblGrid>
            <w:tr w14:paraId="62483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vMerge w:val="restart"/>
                  <w:noWrap w:val="0"/>
                  <w:vAlign w:val="center"/>
                </w:tcPr>
                <w:p w14:paraId="4775D9D9">
                  <w:pPr>
                    <w:widowControl/>
                    <w:spacing w:line="240" w:lineRule="auto"/>
                    <w:ind w:firstLine="0" w:firstLineChars="0"/>
                    <w:jc w:val="center"/>
                    <w:textAlignment w:val="center"/>
                    <w:rPr>
                      <w:b/>
                      <w:bCs/>
                      <w:color w:val="auto"/>
                      <w:sz w:val="21"/>
                      <w:szCs w:val="21"/>
                    </w:rPr>
                  </w:pPr>
                  <w:r>
                    <w:rPr>
                      <w:rStyle w:val="57"/>
                      <w:rFonts w:hint="default" w:ascii="Times New Roman" w:hAnsi="Times New Roman" w:cs="Times New Roman"/>
                      <w:b/>
                      <w:bCs/>
                      <w:color w:val="auto"/>
                      <w:lang w:bidi="ar"/>
                    </w:rPr>
                    <w:t>序号</w:t>
                  </w:r>
                </w:p>
              </w:tc>
              <w:tc>
                <w:tcPr>
                  <w:tcW w:w="935" w:type="dxa"/>
                  <w:vMerge w:val="restart"/>
                  <w:noWrap w:val="0"/>
                  <w:vAlign w:val="center"/>
                </w:tcPr>
                <w:p w14:paraId="79C31E98">
                  <w:pPr>
                    <w:widowControl/>
                    <w:spacing w:line="240" w:lineRule="auto"/>
                    <w:ind w:firstLine="0" w:firstLineChars="0"/>
                    <w:jc w:val="center"/>
                    <w:textAlignment w:val="center"/>
                    <w:rPr>
                      <w:b/>
                      <w:bCs/>
                      <w:color w:val="auto"/>
                      <w:kern w:val="0"/>
                      <w:sz w:val="21"/>
                      <w:szCs w:val="21"/>
                      <w:lang w:bidi="ar"/>
                    </w:rPr>
                  </w:pPr>
                  <w:r>
                    <w:rPr>
                      <w:b/>
                      <w:bCs/>
                      <w:color w:val="auto"/>
                      <w:kern w:val="0"/>
                      <w:sz w:val="21"/>
                      <w:szCs w:val="21"/>
                      <w:lang w:bidi="ar"/>
                    </w:rPr>
                    <w:t>排放口</w:t>
                  </w:r>
                </w:p>
                <w:p w14:paraId="75541387">
                  <w:pPr>
                    <w:widowControl/>
                    <w:spacing w:line="240" w:lineRule="auto"/>
                    <w:ind w:firstLine="0" w:firstLineChars="0"/>
                    <w:jc w:val="center"/>
                    <w:textAlignment w:val="center"/>
                    <w:rPr>
                      <w:b/>
                      <w:bCs/>
                      <w:color w:val="auto"/>
                      <w:sz w:val="21"/>
                      <w:szCs w:val="21"/>
                    </w:rPr>
                  </w:pPr>
                  <w:r>
                    <w:rPr>
                      <w:b/>
                      <w:bCs/>
                      <w:color w:val="auto"/>
                      <w:kern w:val="0"/>
                      <w:sz w:val="21"/>
                      <w:szCs w:val="21"/>
                      <w:lang w:bidi="ar"/>
                    </w:rPr>
                    <w:t>编号</w:t>
                  </w:r>
                </w:p>
              </w:tc>
              <w:tc>
                <w:tcPr>
                  <w:tcW w:w="627" w:type="dxa"/>
                  <w:vMerge w:val="restart"/>
                  <w:noWrap w:val="0"/>
                  <w:vAlign w:val="center"/>
                </w:tcPr>
                <w:p w14:paraId="31A6C0F5">
                  <w:pPr>
                    <w:widowControl/>
                    <w:spacing w:line="240" w:lineRule="auto"/>
                    <w:ind w:firstLine="0" w:firstLineChars="0"/>
                    <w:jc w:val="center"/>
                    <w:textAlignment w:val="center"/>
                    <w:rPr>
                      <w:b/>
                      <w:bCs/>
                      <w:color w:val="auto"/>
                      <w:sz w:val="21"/>
                      <w:szCs w:val="21"/>
                    </w:rPr>
                  </w:pPr>
                  <w:r>
                    <w:rPr>
                      <w:b/>
                      <w:bCs/>
                      <w:color w:val="auto"/>
                      <w:kern w:val="0"/>
                      <w:sz w:val="21"/>
                      <w:szCs w:val="21"/>
                      <w:lang w:bidi="ar"/>
                    </w:rPr>
                    <w:t>排放口名称</w:t>
                  </w:r>
                </w:p>
              </w:tc>
              <w:tc>
                <w:tcPr>
                  <w:tcW w:w="627" w:type="dxa"/>
                  <w:vMerge w:val="restart"/>
                  <w:noWrap w:val="0"/>
                  <w:vAlign w:val="center"/>
                </w:tcPr>
                <w:p w14:paraId="6C46C1C0">
                  <w:pPr>
                    <w:widowControl/>
                    <w:spacing w:line="240" w:lineRule="auto"/>
                    <w:ind w:firstLine="0" w:firstLineChars="0"/>
                    <w:jc w:val="center"/>
                    <w:textAlignment w:val="center"/>
                    <w:rPr>
                      <w:b/>
                      <w:bCs/>
                      <w:color w:val="auto"/>
                      <w:sz w:val="21"/>
                      <w:szCs w:val="21"/>
                    </w:rPr>
                  </w:pPr>
                  <w:r>
                    <w:rPr>
                      <w:b/>
                      <w:bCs/>
                      <w:color w:val="auto"/>
                      <w:kern w:val="0"/>
                      <w:sz w:val="21"/>
                      <w:szCs w:val="21"/>
                      <w:lang w:bidi="ar"/>
                    </w:rPr>
                    <w:t>排放口类型</w:t>
                  </w:r>
                </w:p>
              </w:tc>
              <w:tc>
                <w:tcPr>
                  <w:tcW w:w="3995" w:type="dxa"/>
                  <w:gridSpan w:val="2"/>
                  <w:noWrap w:val="0"/>
                  <w:vAlign w:val="center"/>
                </w:tcPr>
                <w:p w14:paraId="198B33A0">
                  <w:pPr>
                    <w:widowControl/>
                    <w:spacing w:line="240" w:lineRule="auto"/>
                    <w:ind w:firstLine="0" w:firstLineChars="0"/>
                    <w:jc w:val="center"/>
                    <w:textAlignment w:val="center"/>
                    <w:rPr>
                      <w:b/>
                      <w:bCs/>
                      <w:color w:val="auto"/>
                      <w:sz w:val="21"/>
                      <w:szCs w:val="21"/>
                    </w:rPr>
                  </w:pPr>
                  <w:r>
                    <w:rPr>
                      <w:rStyle w:val="57"/>
                      <w:rFonts w:hint="default" w:ascii="Times New Roman" w:hAnsi="Times New Roman" w:cs="Times New Roman"/>
                      <w:b/>
                      <w:bCs/>
                      <w:color w:val="auto"/>
                      <w:lang w:bidi="ar"/>
                    </w:rPr>
                    <w:t>排放口地理坐标</w:t>
                  </w:r>
                </w:p>
              </w:tc>
              <w:tc>
                <w:tcPr>
                  <w:tcW w:w="627" w:type="dxa"/>
                  <w:vMerge w:val="restart"/>
                  <w:noWrap w:val="0"/>
                  <w:vAlign w:val="center"/>
                </w:tcPr>
                <w:p w14:paraId="52A3AA80">
                  <w:pPr>
                    <w:spacing w:line="240" w:lineRule="auto"/>
                    <w:ind w:firstLine="0" w:firstLineChars="0"/>
                    <w:jc w:val="center"/>
                    <w:rPr>
                      <w:b/>
                      <w:bCs/>
                      <w:color w:val="auto"/>
                      <w:sz w:val="21"/>
                      <w:szCs w:val="21"/>
                    </w:rPr>
                  </w:pPr>
                  <w:r>
                    <w:rPr>
                      <w:rStyle w:val="57"/>
                      <w:rFonts w:hint="default" w:ascii="Times New Roman" w:hAnsi="Times New Roman" w:cs="Times New Roman"/>
                      <w:b/>
                      <w:bCs/>
                      <w:color w:val="auto"/>
                      <w:lang w:bidi="ar"/>
                    </w:rPr>
                    <w:t>受纳污水处理厂</w:t>
                  </w:r>
                </w:p>
              </w:tc>
              <w:tc>
                <w:tcPr>
                  <w:tcW w:w="2803" w:type="dxa"/>
                  <w:gridSpan w:val="2"/>
                  <w:noWrap w:val="0"/>
                  <w:vAlign w:val="center"/>
                </w:tcPr>
                <w:p w14:paraId="64AC313E">
                  <w:pPr>
                    <w:spacing w:line="240" w:lineRule="auto"/>
                    <w:ind w:firstLine="0" w:firstLineChars="0"/>
                    <w:jc w:val="center"/>
                    <w:rPr>
                      <w:color w:val="auto"/>
                      <w:sz w:val="21"/>
                      <w:szCs w:val="21"/>
                    </w:rPr>
                  </w:pPr>
                  <w:r>
                    <w:rPr>
                      <w:rStyle w:val="58"/>
                      <w:rFonts w:hint="default" w:ascii="Times New Roman" w:hAnsi="Times New Roman" w:cs="Times New Roman"/>
                      <w:b/>
                      <w:bCs/>
                      <w:color w:val="auto"/>
                      <w:sz w:val="21"/>
                      <w:szCs w:val="21"/>
                      <w:lang w:bidi="ar"/>
                    </w:rPr>
                    <w:t>污染物排放标准</w:t>
                  </w:r>
                </w:p>
              </w:tc>
              <w:tc>
                <w:tcPr>
                  <w:tcW w:w="4315" w:type="dxa"/>
                  <w:gridSpan w:val="3"/>
                  <w:noWrap w:val="0"/>
                  <w:vAlign w:val="top"/>
                </w:tcPr>
                <w:p w14:paraId="62C0C569">
                  <w:pPr>
                    <w:spacing w:line="240" w:lineRule="auto"/>
                    <w:ind w:firstLine="0" w:firstLineChars="0"/>
                    <w:jc w:val="center"/>
                    <w:rPr>
                      <w:color w:val="auto"/>
                      <w:sz w:val="21"/>
                      <w:szCs w:val="21"/>
                    </w:rPr>
                  </w:pPr>
                  <w:r>
                    <w:rPr>
                      <w:rStyle w:val="58"/>
                      <w:rFonts w:hint="default" w:ascii="Times New Roman" w:hAnsi="Times New Roman" w:cs="Times New Roman"/>
                      <w:b/>
                      <w:bCs/>
                      <w:color w:val="auto"/>
                      <w:sz w:val="21"/>
                      <w:szCs w:val="21"/>
                      <w:lang w:bidi="ar"/>
                    </w:rPr>
                    <w:t>监测要求</w:t>
                  </w:r>
                </w:p>
              </w:tc>
            </w:tr>
            <w:tr w14:paraId="06E2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619" w:type="dxa"/>
                  <w:vMerge w:val="continue"/>
                  <w:noWrap w:val="0"/>
                  <w:vAlign w:val="top"/>
                </w:tcPr>
                <w:p w14:paraId="3FF68B13">
                  <w:pPr>
                    <w:spacing w:line="240" w:lineRule="auto"/>
                    <w:ind w:firstLine="0" w:firstLineChars="0"/>
                    <w:jc w:val="center"/>
                    <w:rPr>
                      <w:color w:val="auto"/>
                      <w:sz w:val="21"/>
                      <w:szCs w:val="21"/>
                    </w:rPr>
                  </w:pPr>
                </w:p>
              </w:tc>
              <w:tc>
                <w:tcPr>
                  <w:tcW w:w="935" w:type="dxa"/>
                  <w:vMerge w:val="continue"/>
                  <w:noWrap w:val="0"/>
                  <w:vAlign w:val="top"/>
                </w:tcPr>
                <w:p w14:paraId="0A791F30">
                  <w:pPr>
                    <w:spacing w:line="240" w:lineRule="auto"/>
                    <w:ind w:firstLine="0" w:firstLineChars="0"/>
                    <w:jc w:val="center"/>
                    <w:rPr>
                      <w:color w:val="auto"/>
                      <w:sz w:val="21"/>
                      <w:szCs w:val="21"/>
                    </w:rPr>
                  </w:pPr>
                </w:p>
              </w:tc>
              <w:tc>
                <w:tcPr>
                  <w:tcW w:w="627" w:type="dxa"/>
                  <w:vMerge w:val="continue"/>
                  <w:noWrap w:val="0"/>
                  <w:vAlign w:val="top"/>
                </w:tcPr>
                <w:p w14:paraId="484074B3">
                  <w:pPr>
                    <w:spacing w:line="240" w:lineRule="auto"/>
                    <w:ind w:firstLine="0" w:firstLineChars="0"/>
                    <w:jc w:val="center"/>
                    <w:rPr>
                      <w:color w:val="auto"/>
                      <w:sz w:val="21"/>
                      <w:szCs w:val="21"/>
                    </w:rPr>
                  </w:pPr>
                </w:p>
              </w:tc>
              <w:tc>
                <w:tcPr>
                  <w:tcW w:w="627" w:type="dxa"/>
                  <w:vMerge w:val="continue"/>
                  <w:noWrap w:val="0"/>
                  <w:vAlign w:val="top"/>
                </w:tcPr>
                <w:p w14:paraId="21507E37">
                  <w:pPr>
                    <w:spacing w:line="240" w:lineRule="auto"/>
                    <w:ind w:firstLine="0" w:firstLineChars="0"/>
                    <w:jc w:val="center"/>
                    <w:rPr>
                      <w:color w:val="auto"/>
                      <w:sz w:val="21"/>
                      <w:szCs w:val="21"/>
                    </w:rPr>
                  </w:pPr>
                </w:p>
              </w:tc>
              <w:tc>
                <w:tcPr>
                  <w:tcW w:w="1941" w:type="dxa"/>
                  <w:noWrap w:val="0"/>
                  <w:vAlign w:val="center"/>
                </w:tcPr>
                <w:p w14:paraId="2AAF22D3">
                  <w:pPr>
                    <w:widowControl/>
                    <w:spacing w:line="240" w:lineRule="auto"/>
                    <w:ind w:firstLine="0" w:firstLineChars="0"/>
                    <w:jc w:val="center"/>
                    <w:textAlignment w:val="center"/>
                    <w:rPr>
                      <w:b/>
                      <w:bCs/>
                      <w:color w:val="auto"/>
                      <w:sz w:val="21"/>
                      <w:szCs w:val="21"/>
                    </w:rPr>
                  </w:pPr>
                  <w:r>
                    <w:rPr>
                      <w:rStyle w:val="57"/>
                      <w:rFonts w:hint="default" w:ascii="Times New Roman" w:hAnsi="Times New Roman" w:cs="Times New Roman"/>
                      <w:b/>
                      <w:bCs/>
                      <w:color w:val="auto"/>
                      <w:lang w:bidi="ar"/>
                    </w:rPr>
                    <w:t>经度</w:t>
                  </w:r>
                </w:p>
              </w:tc>
              <w:tc>
                <w:tcPr>
                  <w:tcW w:w="2054" w:type="dxa"/>
                  <w:noWrap w:val="0"/>
                  <w:vAlign w:val="center"/>
                </w:tcPr>
                <w:p w14:paraId="7F88D8CB">
                  <w:pPr>
                    <w:widowControl/>
                    <w:spacing w:line="240" w:lineRule="auto"/>
                    <w:ind w:firstLine="0" w:firstLineChars="0"/>
                    <w:jc w:val="center"/>
                    <w:textAlignment w:val="center"/>
                    <w:rPr>
                      <w:b/>
                      <w:bCs/>
                      <w:color w:val="auto"/>
                      <w:sz w:val="21"/>
                      <w:szCs w:val="21"/>
                    </w:rPr>
                  </w:pPr>
                  <w:r>
                    <w:rPr>
                      <w:rStyle w:val="57"/>
                      <w:rFonts w:hint="default" w:ascii="Times New Roman" w:hAnsi="Times New Roman" w:cs="Times New Roman"/>
                      <w:b/>
                      <w:bCs/>
                      <w:color w:val="auto"/>
                      <w:lang w:bidi="ar"/>
                    </w:rPr>
                    <w:t>纬度</w:t>
                  </w:r>
                </w:p>
              </w:tc>
              <w:tc>
                <w:tcPr>
                  <w:tcW w:w="627" w:type="dxa"/>
                  <w:vMerge w:val="continue"/>
                  <w:noWrap w:val="0"/>
                  <w:vAlign w:val="top"/>
                </w:tcPr>
                <w:p w14:paraId="454449DF">
                  <w:pPr>
                    <w:spacing w:line="240" w:lineRule="auto"/>
                    <w:ind w:firstLine="0" w:firstLineChars="0"/>
                    <w:jc w:val="center"/>
                    <w:rPr>
                      <w:color w:val="auto"/>
                      <w:sz w:val="21"/>
                      <w:szCs w:val="21"/>
                    </w:rPr>
                  </w:pPr>
                </w:p>
              </w:tc>
              <w:tc>
                <w:tcPr>
                  <w:tcW w:w="1686" w:type="dxa"/>
                  <w:noWrap w:val="0"/>
                  <w:vAlign w:val="center"/>
                </w:tcPr>
                <w:p w14:paraId="2DE90143">
                  <w:pPr>
                    <w:widowControl/>
                    <w:spacing w:line="240" w:lineRule="auto"/>
                    <w:ind w:firstLine="0" w:firstLineChars="0"/>
                    <w:jc w:val="center"/>
                    <w:textAlignment w:val="center"/>
                    <w:rPr>
                      <w:b/>
                      <w:bCs/>
                      <w:color w:val="auto"/>
                      <w:sz w:val="21"/>
                      <w:szCs w:val="21"/>
                    </w:rPr>
                  </w:pPr>
                  <w:r>
                    <w:rPr>
                      <w:rStyle w:val="57"/>
                      <w:rFonts w:hint="default" w:ascii="Times New Roman" w:hAnsi="Times New Roman" w:cs="Times New Roman"/>
                      <w:b/>
                      <w:bCs/>
                      <w:color w:val="auto"/>
                      <w:lang w:bidi="ar"/>
                    </w:rPr>
                    <w:t>污染物种类</w:t>
                  </w:r>
                </w:p>
              </w:tc>
              <w:tc>
                <w:tcPr>
                  <w:tcW w:w="1117" w:type="dxa"/>
                  <w:noWrap w:val="0"/>
                  <w:vAlign w:val="center"/>
                </w:tcPr>
                <w:p w14:paraId="007DB543">
                  <w:pPr>
                    <w:widowControl/>
                    <w:spacing w:line="240" w:lineRule="auto"/>
                    <w:ind w:firstLine="0" w:firstLineChars="0"/>
                    <w:jc w:val="center"/>
                    <w:textAlignment w:val="center"/>
                    <w:rPr>
                      <w:b/>
                      <w:bCs/>
                      <w:color w:val="auto"/>
                      <w:sz w:val="21"/>
                      <w:szCs w:val="21"/>
                    </w:rPr>
                  </w:pPr>
                  <w:r>
                    <w:rPr>
                      <w:rStyle w:val="57"/>
                      <w:rFonts w:hint="default" w:ascii="Times New Roman" w:hAnsi="Times New Roman" w:cs="Times New Roman"/>
                      <w:b/>
                      <w:bCs/>
                      <w:color w:val="auto"/>
                      <w:lang w:bidi="ar"/>
                    </w:rPr>
                    <w:t>排放标准（mg/L）</w:t>
                  </w:r>
                </w:p>
              </w:tc>
              <w:tc>
                <w:tcPr>
                  <w:tcW w:w="1049" w:type="dxa"/>
                  <w:noWrap w:val="0"/>
                  <w:vAlign w:val="center"/>
                </w:tcPr>
                <w:p w14:paraId="54593A1D">
                  <w:pPr>
                    <w:widowControl/>
                    <w:spacing w:line="240" w:lineRule="auto"/>
                    <w:ind w:firstLine="0" w:firstLineChars="0"/>
                    <w:jc w:val="center"/>
                    <w:textAlignment w:val="center"/>
                    <w:rPr>
                      <w:b/>
                      <w:bCs/>
                      <w:color w:val="auto"/>
                      <w:sz w:val="21"/>
                      <w:szCs w:val="21"/>
                    </w:rPr>
                  </w:pPr>
                  <w:r>
                    <w:rPr>
                      <w:rStyle w:val="57"/>
                      <w:rFonts w:hint="default" w:ascii="Times New Roman" w:hAnsi="Times New Roman" w:cs="Times New Roman"/>
                      <w:b/>
                      <w:bCs/>
                      <w:color w:val="auto"/>
                      <w:lang w:bidi="ar"/>
                    </w:rPr>
                    <w:t>监测点位</w:t>
                  </w:r>
                </w:p>
              </w:tc>
              <w:tc>
                <w:tcPr>
                  <w:tcW w:w="1775" w:type="dxa"/>
                  <w:noWrap w:val="0"/>
                  <w:vAlign w:val="center"/>
                </w:tcPr>
                <w:p w14:paraId="48865B1C">
                  <w:pPr>
                    <w:widowControl/>
                    <w:spacing w:line="240" w:lineRule="auto"/>
                    <w:ind w:firstLine="0" w:firstLineChars="0"/>
                    <w:jc w:val="center"/>
                    <w:textAlignment w:val="center"/>
                    <w:rPr>
                      <w:b/>
                      <w:bCs/>
                      <w:color w:val="auto"/>
                      <w:sz w:val="21"/>
                      <w:szCs w:val="21"/>
                    </w:rPr>
                  </w:pPr>
                  <w:r>
                    <w:rPr>
                      <w:rStyle w:val="57"/>
                      <w:rFonts w:hint="default" w:ascii="Times New Roman" w:hAnsi="Times New Roman" w:cs="Times New Roman"/>
                      <w:b/>
                      <w:bCs/>
                      <w:color w:val="auto"/>
                      <w:lang w:bidi="ar"/>
                    </w:rPr>
                    <w:t>监测因子</w:t>
                  </w:r>
                </w:p>
              </w:tc>
              <w:tc>
                <w:tcPr>
                  <w:tcW w:w="1491" w:type="dxa"/>
                  <w:noWrap w:val="0"/>
                  <w:vAlign w:val="center"/>
                </w:tcPr>
                <w:p w14:paraId="753FFC3D">
                  <w:pPr>
                    <w:widowControl/>
                    <w:spacing w:line="240" w:lineRule="auto"/>
                    <w:ind w:firstLine="0" w:firstLineChars="0"/>
                    <w:jc w:val="center"/>
                    <w:textAlignment w:val="center"/>
                    <w:rPr>
                      <w:b/>
                      <w:bCs/>
                      <w:color w:val="auto"/>
                      <w:sz w:val="21"/>
                      <w:szCs w:val="21"/>
                    </w:rPr>
                  </w:pPr>
                  <w:r>
                    <w:rPr>
                      <w:rStyle w:val="57"/>
                      <w:rFonts w:hint="default" w:ascii="Times New Roman" w:hAnsi="Times New Roman" w:cs="Times New Roman"/>
                      <w:b/>
                      <w:bCs/>
                      <w:color w:val="auto"/>
                      <w:lang w:bidi="ar"/>
                    </w:rPr>
                    <w:t>监测频次</w:t>
                  </w:r>
                </w:p>
              </w:tc>
            </w:tr>
            <w:tr w14:paraId="2FFC7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619" w:type="dxa"/>
                  <w:vMerge w:val="restart"/>
                  <w:noWrap w:val="0"/>
                  <w:vAlign w:val="center"/>
                </w:tcPr>
                <w:p w14:paraId="5C878A74">
                  <w:pPr>
                    <w:spacing w:line="240" w:lineRule="auto"/>
                    <w:ind w:firstLine="0" w:firstLineChars="0"/>
                    <w:jc w:val="center"/>
                    <w:rPr>
                      <w:color w:val="auto"/>
                      <w:sz w:val="21"/>
                      <w:szCs w:val="21"/>
                    </w:rPr>
                  </w:pPr>
                  <w:r>
                    <w:rPr>
                      <w:color w:val="auto"/>
                      <w:sz w:val="21"/>
                      <w:szCs w:val="21"/>
                    </w:rPr>
                    <w:t>1</w:t>
                  </w:r>
                </w:p>
              </w:tc>
              <w:tc>
                <w:tcPr>
                  <w:tcW w:w="935" w:type="dxa"/>
                  <w:vMerge w:val="restart"/>
                  <w:noWrap w:val="0"/>
                  <w:vAlign w:val="center"/>
                </w:tcPr>
                <w:p w14:paraId="4EF96B95">
                  <w:pPr>
                    <w:spacing w:line="240" w:lineRule="auto"/>
                    <w:ind w:firstLine="0" w:firstLineChars="0"/>
                    <w:jc w:val="center"/>
                    <w:rPr>
                      <w:color w:val="auto"/>
                      <w:sz w:val="21"/>
                      <w:szCs w:val="21"/>
                    </w:rPr>
                  </w:pPr>
                  <w:r>
                    <w:rPr>
                      <w:color w:val="auto"/>
                      <w:sz w:val="21"/>
                      <w:szCs w:val="21"/>
                    </w:rPr>
                    <w:t>DW001</w:t>
                  </w:r>
                </w:p>
              </w:tc>
              <w:tc>
                <w:tcPr>
                  <w:tcW w:w="627" w:type="dxa"/>
                  <w:vMerge w:val="restart"/>
                  <w:noWrap w:val="0"/>
                  <w:vAlign w:val="center"/>
                </w:tcPr>
                <w:p w14:paraId="1ACE3400">
                  <w:pPr>
                    <w:spacing w:line="240" w:lineRule="auto"/>
                    <w:ind w:firstLine="0" w:firstLineChars="0"/>
                    <w:jc w:val="center"/>
                    <w:rPr>
                      <w:color w:val="auto"/>
                      <w:sz w:val="21"/>
                      <w:szCs w:val="21"/>
                    </w:rPr>
                  </w:pPr>
                  <w:r>
                    <w:rPr>
                      <w:color w:val="auto"/>
                      <w:sz w:val="21"/>
                      <w:szCs w:val="21"/>
                    </w:rPr>
                    <w:t>厂区污水总排口</w:t>
                  </w:r>
                </w:p>
              </w:tc>
              <w:tc>
                <w:tcPr>
                  <w:tcW w:w="627" w:type="dxa"/>
                  <w:vMerge w:val="restart"/>
                  <w:noWrap w:val="0"/>
                  <w:vAlign w:val="center"/>
                </w:tcPr>
                <w:p w14:paraId="211B4AE4">
                  <w:pPr>
                    <w:spacing w:line="240" w:lineRule="auto"/>
                    <w:ind w:firstLine="0" w:firstLineChars="0"/>
                    <w:jc w:val="center"/>
                    <w:rPr>
                      <w:rFonts w:hint="eastAsia"/>
                      <w:color w:val="auto"/>
                      <w:sz w:val="21"/>
                      <w:szCs w:val="21"/>
                    </w:rPr>
                  </w:pPr>
                  <w:r>
                    <w:rPr>
                      <w:rFonts w:hint="eastAsia"/>
                      <w:color w:val="auto"/>
                      <w:sz w:val="21"/>
                      <w:szCs w:val="21"/>
                    </w:rPr>
                    <w:t>一般排放口</w:t>
                  </w:r>
                </w:p>
              </w:tc>
              <w:tc>
                <w:tcPr>
                  <w:tcW w:w="1941" w:type="dxa"/>
                  <w:vMerge w:val="restart"/>
                  <w:noWrap w:val="0"/>
                  <w:vAlign w:val="center"/>
                </w:tcPr>
                <w:p w14:paraId="234AA0E9">
                  <w:pPr>
                    <w:spacing w:line="240" w:lineRule="auto"/>
                    <w:ind w:firstLine="0" w:firstLineChars="0"/>
                    <w:jc w:val="center"/>
                    <w:rPr>
                      <w:color w:val="auto"/>
                      <w:sz w:val="21"/>
                      <w:szCs w:val="21"/>
                    </w:rPr>
                  </w:pPr>
                  <w:r>
                    <w:rPr>
                      <w:color w:val="auto"/>
                      <w:sz w:val="21"/>
                      <w:szCs w:val="21"/>
                    </w:rPr>
                    <w:t>117°8′3.08938″</w:t>
                  </w:r>
                </w:p>
              </w:tc>
              <w:tc>
                <w:tcPr>
                  <w:tcW w:w="2054" w:type="dxa"/>
                  <w:vMerge w:val="restart"/>
                  <w:noWrap w:val="0"/>
                  <w:vAlign w:val="center"/>
                </w:tcPr>
                <w:p w14:paraId="4ED3592E">
                  <w:pPr>
                    <w:spacing w:line="240" w:lineRule="auto"/>
                    <w:ind w:firstLine="0" w:firstLineChars="0"/>
                    <w:jc w:val="center"/>
                    <w:rPr>
                      <w:color w:val="auto"/>
                      <w:sz w:val="21"/>
                      <w:szCs w:val="21"/>
                    </w:rPr>
                  </w:pPr>
                  <w:r>
                    <w:rPr>
                      <w:color w:val="auto"/>
                      <w:sz w:val="21"/>
                      <w:szCs w:val="21"/>
                    </w:rPr>
                    <w:t>31°50′23.78729″</w:t>
                  </w:r>
                </w:p>
              </w:tc>
              <w:tc>
                <w:tcPr>
                  <w:tcW w:w="627" w:type="dxa"/>
                  <w:vMerge w:val="restart"/>
                  <w:noWrap w:val="0"/>
                  <w:vAlign w:val="center"/>
                </w:tcPr>
                <w:p w14:paraId="2F3FE4B9">
                  <w:pPr>
                    <w:spacing w:line="240" w:lineRule="auto"/>
                    <w:ind w:firstLine="0" w:firstLineChars="0"/>
                    <w:jc w:val="center"/>
                    <w:rPr>
                      <w:color w:val="auto"/>
                      <w:sz w:val="21"/>
                      <w:szCs w:val="21"/>
                    </w:rPr>
                  </w:pPr>
                  <w:r>
                    <w:rPr>
                      <w:rFonts w:hint="eastAsia"/>
                      <w:color w:val="auto"/>
                      <w:sz w:val="21"/>
                      <w:szCs w:val="21"/>
                      <w:lang w:val="en-US" w:eastAsia="zh-CN"/>
                    </w:rPr>
                    <w:t>龙湖</w:t>
                  </w:r>
                  <w:r>
                    <w:rPr>
                      <w:color w:val="auto"/>
                      <w:sz w:val="21"/>
                      <w:szCs w:val="21"/>
                    </w:rPr>
                    <w:t>污水处理厂</w:t>
                  </w:r>
                </w:p>
              </w:tc>
              <w:tc>
                <w:tcPr>
                  <w:tcW w:w="1686" w:type="dxa"/>
                  <w:noWrap w:val="0"/>
                  <w:vAlign w:val="center"/>
                </w:tcPr>
                <w:p w14:paraId="01D4E045">
                  <w:pPr>
                    <w:widowControl/>
                    <w:spacing w:line="240" w:lineRule="auto"/>
                    <w:ind w:firstLine="0" w:firstLineChars="0"/>
                    <w:jc w:val="center"/>
                    <w:textAlignment w:val="center"/>
                    <w:rPr>
                      <w:color w:val="auto"/>
                      <w:sz w:val="21"/>
                      <w:szCs w:val="21"/>
                    </w:rPr>
                  </w:pPr>
                  <w:r>
                    <w:rPr>
                      <w:color w:val="auto"/>
                      <w:kern w:val="0"/>
                      <w:sz w:val="21"/>
                      <w:szCs w:val="21"/>
                      <w:lang w:bidi="ar"/>
                    </w:rPr>
                    <w:t>pH</w:t>
                  </w:r>
                </w:p>
              </w:tc>
              <w:tc>
                <w:tcPr>
                  <w:tcW w:w="1117" w:type="dxa"/>
                  <w:noWrap w:val="0"/>
                  <w:vAlign w:val="center"/>
                </w:tcPr>
                <w:p w14:paraId="3D42D9EF">
                  <w:pPr>
                    <w:widowControl/>
                    <w:spacing w:line="240" w:lineRule="auto"/>
                    <w:ind w:firstLine="0" w:firstLineChars="0"/>
                    <w:jc w:val="center"/>
                    <w:textAlignment w:val="center"/>
                    <w:rPr>
                      <w:color w:val="auto"/>
                      <w:sz w:val="21"/>
                      <w:szCs w:val="18"/>
                    </w:rPr>
                  </w:pPr>
                  <w:r>
                    <w:rPr>
                      <w:color w:val="auto"/>
                      <w:kern w:val="0"/>
                      <w:sz w:val="21"/>
                      <w:szCs w:val="18"/>
                      <w:lang w:bidi="ar"/>
                    </w:rPr>
                    <w:t>6~9</w:t>
                  </w:r>
                </w:p>
              </w:tc>
              <w:tc>
                <w:tcPr>
                  <w:tcW w:w="1049" w:type="dxa"/>
                  <w:vMerge w:val="restart"/>
                  <w:noWrap w:val="0"/>
                  <w:vAlign w:val="center"/>
                </w:tcPr>
                <w:p w14:paraId="131119EB">
                  <w:pPr>
                    <w:spacing w:line="240" w:lineRule="auto"/>
                    <w:ind w:firstLine="0" w:firstLineChars="0"/>
                    <w:jc w:val="center"/>
                    <w:rPr>
                      <w:color w:val="auto"/>
                      <w:sz w:val="21"/>
                      <w:szCs w:val="21"/>
                    </w:rPr>
                  </w:pPr>
                  <w:r>
                    <w:rPr>
                      <w:color w:val="auto"/>
                      <w:sz w:val="21"/>
                      <w:szCs w:val="21"/>
                    </w:rPr>
                    <w:t>污水总排口</w:t>
                  </w:r>
                </w:p>
              </w:tc>
              <w:tc>
                <w:tcPr>
                  <w:tcW w:w="1775" w:type="dxa"/>
                  <w:noWrap w:val="0"/>
                  <w:vAlign w:val="center"/>
                </w:tcPr>
                <w:p w14:paraId="6EE0BED0">
                  <w:pPr>
                    <w:widowControl/>
                    <w:spacing w:line="240" w:lineRule="auto"/>
                    <w:ind w:firstLine="0" w:firstLineChars="0"/>
                    <w:jc w:val="center"/>
                    <w:textAlignment w:val="center"/>
                    <w:rPr>
                      <w:color w:val="auto"/>
                      <w:sz w:val="21"/>
                      <w:szCs w:val="21"/>
                    </w:rPr>
                  </w:pPr>
                  <w:r>
                    <w:rPr>
                      <w:color w:val="auto"/>
                      <w:kern w:val="0"/>
                      <w:sz w:val="21"/>
                      <w:szCs w:val="21"/>
                      <w:lang w:bidi="ar"/>
                    </w:rPr>
                    <w:t>pH</w:t>
                  </w:r>
                </w:p>
              </w:tc>
              <w:tc>
                <w:tcPr>
                  <w:tcW w:w="1491" w:type="dxa"/>
                  <w:noWrap w:val="0"/>
                  <w:vAlign w:val="center"/>
                </w:tcPr>
                <w:p w14:paraId="304B7D4F">
                  <w:pPr>
                    <w:spacing w:line="240" w:lineRule="auto"/>
                    <w:ind w:firstLine="0" w:firstLineChars="0"/>
                    <w:jc w:val="center"/>
                    <w:rPr>
                      <w:color w:val="auto"/>
                      <w:sz w:val="21"/>
                      <w:szCs w:val="21"/>
                    </w:rPr>
                  </w:pPr>
                  <w:r>
                    <w:rPr>
                      <w:color w:val="auto"/>
                      <w:sz w:val="21"/>
                      <w:szCs w:val="21"/>
                    </w:rPr>
                    <w:t>年/次</w:t>
                  </w:r>
                </w:p>
              </w:tc>
            </w:tr>
            <w:tr w14:paraId="111EC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vMerge w:val="continue"/>
                  <w:noWrap w:val="0"/>
                  <w:vAlign w:val="top"/>
                </w:tcPr>
                <w:p w14:paraId="64013160">
                  <w:pPr>
                    <w:spacing w:line="240" w:lineRule="auto"/>
                    <w:ind w:firstLine="0" w:firstLineChars="0"/>
                    <w:jc w:val="center"/>
                    <w:rPr>
                      <w:color w:val="auto"/>
                      <w:sz w:val="21"/>
                      <w:szCs w:val="21"/>
                    </w:rPr>
                  </w:pPr>
                </w:p>
              </w:tc>
              <w:tc>
                <w:tcPr>
                  <w:tcW w:w="935" w:type="dxa"/>
                  <w:vMerge w:val="continue"/>
                  <w:noWrap w:val="0"/>
                  <w:vAlign w:val="top"/>
                </w:tcPr>
                <w:p w14:paraId="4AD7885F">
                  <w:pPr>
                    <w:spacing w:line="240" w:lineRule="auto"/>
                    <w:ind w:firstLine="0" w:firstLineChars="0"/>
                    <w:jc w:val="center"/>
                    <w:rPr>
                      <w:color w:val="auto"/>
                      <w:sz w:val="21"/>
                      <w:szCs w:val="21"/>
                    </w:rPr>
                  </w:pPr>
                </w:p>
              </w:tc>
              <w:tc>
                <w:tcPr>
                  <w:tcW w:w="627" w:type="dxa"/>
                  <w:vMerge w:val="continue"/>
                  <w:noWrap w:val="0"/>
                  <w:vAlign w:val="top"/>
                </w:tcPr>
                <w:p w14:paraId="66777E20">
                  <w:pPr>
                    <w:spacing w:line="240" w:lineRule="auto"/>
                    <w:ind w:firstLine="0" w:firstLineChars="0"/>
                    <w:jc w:val="center"/>
                    <w:rPr>
                      <w:color w:val="auto"/>
                      <w:sz w:val="21"/>
                      <w:szCs w:val="21"/>
                    </w:rPr>
                  </w:pPr>
                </w:p>
              </w:tc>
              <w:tc>
                <w:tcPr>
                  <w:tcW w:w="627" w:type="dxa"/>
                  <w:vMerge w:val="continue"/>
                  <w:noWrap w:val="0"/>
                  <w:vAlign w:val="top"/>
                </w:tcPr>
                <w:p w14:paraId="0A2F09CF">
                  <w:pPr>
                    <w:spacing w:line="240" w:lineRule="auto"/>
                    <w:ind w:firstLine="0" w:firstLineChars="0"/>
                    <w:jc w:val="center"/>
                    <w:rPr>
                      <w:color w:val="auto"/>
                      <w:sz w:val="21"/>
                      <w:szCs w:val="21"/>
                    </w:rPr>
                  </w:pPr>
                </w:p>
              </w:tc>
              <w:tc>
                <w:tcPr>
                  <w:tcW w:w="1941" w:type="dxa"/>
                  <w:vMerge w:val="continue"/>
                  <w:noWrap w:val="0"/>
                  <w:vAlign w:val="top"/>
                </w:tcPr>
                <w:p w14:paraId="36E44B02">
                  <w:pPr>
                    <w:spacing w:line="240" w:lineRule="auto"/>
                    <w:ind w:firstLine="0" w:firstLineChars="0"/>
                    <w:jc w:val="center"/>
                    <w:rPr>
                      <w:color w:val="auto"/>
                      <w:sz w:val="21"/>
                      <w:szCs w:val="21"/>
                    </w:rPr>
                  </w:pPr>
                </w:p>
              </w:tc>
              <w:tc>
                <w:tcPr>
                  <w:tcW w:w="2054" w:type="dxa"/>
                  <w:vMerge w:val="continue"/>
                  <w:noWrap w:val="0"/>
                  <w:vAlign w:val="center"/>
                </w:tcPr>
                <w:p w14:paraId="4D7295A9">
                  <w:pPr>
                    <w:spacing w:line="240" w:lineRule="auto"/>
                    <w:ind w:firstLine="0" w:firstLineChars="0"/>
                    <w:jc w:val="center"/>
                    <w:rPr>
                      <w:color w:val="auto"/>
                      <w:sz w:val="21"/>
                      <w:szCs w:val="21"/>
                    </w:rPr>
                  </w:pPr>
                </w:p>
              </w:tc>
              <w:tc>
                <w:tcPr>
                  <w:tcW w:w="627" w:type="dxa"/>
                  <w:vMerge w:val="continue"/>
                  <w:noWrap w:val="0"/>
                  <w:vAlign w:val="center"/>
                </w:tcPr>
                <w:p w14:paraId="02524491">
                  <w:pPr>
                    <w:spacing w:line="240" w:lineRule="auto"/>
                    <w:ind w:firstLine="0" w:firstLineChars="0"/>
                    <w:jc w:val="center"/>
                    <w:rPr>
                      <w:color w:val="auto"/>
                      <w:sz w:val="21"/>
                      <w:szCs w:val="21"/>
                    </w:rPr>
                  </w:pPr>
                </w:p>
              </w:tc>
              <w:tc>
                <w:tcPr>
                  <w:tcW w:w="1686" w:type="dxa"/>
                  <w:noWrap w:val="0"/>
                  <w:vAlign w:val="center"/>
                </w:tcPr>
                <w:p w14:paraId="0C48E664">
                  <w:pPr>
                    <w:widowControl/>
                    <w:spacing w:line="240" w:lineRule="auto"/>
                    <w:ind w:firstLine="0" w:firstLineChars="0"/>
                    <w:jc w:val="center"/>
                    <w:textAlignment w:val="center"/>
                    <w:rPr>
                      <w:color w:val="auto"/>
                      <w:sz w:val="21"/>
                      <w:szCs w:val="21"/>
                    </w:rPr>
                  </w:pPr>
                  <w:r>
                    <w:rPr>
                      <w:rStyle w:val="57"/>
                      <w:rFonts w:hint="default" w:ascii="Times New Roman" w:hAnsi="Times New Roman" w:cs="Times New Roman"/>
                      <w:color w:val="auto"/>
                      <w:lang w:bidi="ar"/>
                    </w:rPr>
                    <w:t>悬浮物</w:t>
                  </w:r>
                </w:p>
              </w:tc>
              <w:tc>
                <w:tcPr>
                  <w:tcW w:w="1117" w:type="dxa"/>
                  <w:noWrap w:val="0"/>
                  <w:vAlign w:val="center"/>
                </w:tcPr>
                <w:p w14:paraId="5A753215">
                  <w:pPr>
                    <w:widowControl/>
                    <w:spacing w:line="240" w:lineRule="auto"/>
                    <w:ind w:firstLine="0" w:firstLineChars="0"/>
                    <w:jc w:val="center"/>
                    <w:textAlignment w:val="center"/>
                    <w:rPr>
                      <w:color w:val="auto"/>
                      <w:sz w:val="21"/>
                      <w:szCs w:val="18"/>
                    </w:rPr>
                  </w:pPr>
                  <w:r>
                    <w:rPr>
                      <w:color w:val="auto"/>
                      <w:kern w:val="0"/>
                      <w:sz w:val="21"/>
                      <w:szCs w:val="18"/>
                      <w:lang w:bidi="ar"/>
                    </w:rPr>
                    <w:t>250</w:t>
                  </w:r>
                </w:p>
              </w:tc>
              <w:tc>
                <w:tcPr>
                  <w:tcW w:w="1049" w:type="dxa"/>
                  <w:vMerge w:val="continue"/>
                  <w:noWrap w:val="0"/>
                  <w:vAlign w:val="center"/>
                </w:tcPr>
                <w:p w14:paraId="4FE81479">
                  <w:pPr>
                    <w:spacing w:line="240" w:lineRule="auto"/>
                    <w:ind w:firstLine="0" w:firstLineChars="0"/>
                    <w:jc w:val="center"/>
                    <w:rPr>
                      <w:color w:val="auto"/>
                      <w:sz w:val="21"/>
                      <w:szCs w:val="21"/>
                    </w:rPr>
                  </w:pPr>
                </w:p>
              </w:tc>
              <w:tc>
                <w:tcPr>
                  <w:tcW w:w="1775" w:type="dxa"/>
                  <w:noWrap w:val="0"/>
                  <w:vAlign w:val="center"/>
                </w:tcPr>
                <w:p w14:paraId="1F196A1B">
                  <w:pPr>
                    <w:widowControl/>
                    <w:spacing w:line="240" w:lineRule="auto"/>
                    <w:ind w:firstLine="0" w:firstLineChars="0"/>
                    <w:jc w:val="center"/>
                    <w:textAlignment w:val="center"/>
                    <w:rPr>
                      <w:color w:val="auto"/>
                      <w:sz w:val="21"/>
                      <w:szCs w:val="21"/>
                    </w:rPr>
                  </w:pPr>
                  <w:r>
                    <w:rPr>
                      <w:rStyle w:val="57"/>
                      <w:rFonts w:hint="default" w:ascii="Times New Roman" w:hAnsi="Times New Roman" w:cs="Times New Roman"/>
                      <w:color w:val="auto"/>
                      <w:lang w:bidi="ar"/>
                    </w:rPr>
                    <w:t>悬浮物</w:t>
                  </w:r>
                </w:p>
              </w:tc>
              <w:tc>
                <w:tcPr>
                  <w:tcW w:w="1491" w:type="dxa"/>
                  <w:noWrap w:val="0"/>
                  <w:vAlign w:val="center"/>
                </w:tcPr>
                <w:p w14:paraId="09336570">
                  <w:pPr>
                    <w:spacing w:line="240" w:lineRule="auto"/>
                    <w:ind w:firstLine="0" w:firstLineChars="0"/>
                    <w:jc w:val="center"/>
                    <w:rPr>
                      <w:color w:val="auto"/>
                      <w:sz w:val="21"/>
                      <w:szCs w:val="21"/>
                    </w:rPr>
                  </w:pPr>
                  <w:r>
                    <w:rPr>
                      <w:color w:val="auto"/>
                      <w:sz w:val="21"/>
                      <w:szCs w:val="21"/>
                    </w:rPr>
                    <w:t>年/次</w:t>
                  </w:r>
                </w:p>
              </w:tc>
            </w:tr>
            <w:tr w14:paraId="5274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vMerge w:val="continue"/>
                  <w:noWrap w:val="0"/>
                  <w:vAlign w:val="top"/>
                </w:tcPr>
                <w:p w14:paraId="0B81A2D7">
                  <w:pPr>
                    <w:spacing w:line="240" w:lineRule="auto"/>
                    <w:ind w:firstLine="0" w:firstLineChars="0"/>
                    <w:jc w:val="center"/>
                    <w:rPr>
                      <w:color w:val="auto"/>
                      <w:sz w:val="21"/>
                      <w:szCs w:val="21"/>
                    </w:rPr>
                  </w:pPr>
                </w:p>
              </w:tc>
              <w:tc>
                <w:tcPr>
                  <w:tcW w:w="935" w:type="dxa"/>
                  <w:vMerge w:val="continue"/>
                  <w:noWrap w:val="0"/>
                  <w:vAlign w:val="top"/>
                </w:tcPr>
                <w:p w14:paraId="50C24ECC">
                  <w:pPr>
                    <w:spacing w:line="240" w:lineRule="auto"/>
                    <w:ind w:firstLine="0" w:firstLineChars="0"/>
                    <w:jc w:val="center"/>
                    <w:rPr>
                      <w:color w:val="auto"/>
                      <w:sz w:val="21"/>
                      <w:szCs w:val="21"/>
                    </w:rPr>
                  </w:pPr>
                </w:p>
              </w:tc>
              <w:tc>
                <w:tcPr>
                  <w:tcW w:w="627" w:type="dxa"/>
                  <w:vMerge w:val="continue"/>
                  <w:noWrap w:val="0"/>
                  <w:vAlign w:val="top"/>
                </w:tcPr>
                <w:p w14:paraId="59BA9416">
                  <w:pPr>
                    <w:spacing w:line="240" w:lineRule="auto"/>
                    <w:ind w:firstLine="0" w:firstLineChars="0"/>
                    <w:jc w:val="center"/>
                    <w:rPr>
                      <w:color w:val="auto"/>
                      <w:sz w:val="21"/>
                      <w:szCs w:val="21"/>
                    </w:rPr>
                  </w:pPr>
                </w:p>
              </w:tc>
              <w:tc>
                <w:tcPr>
                  <w:tcW w:w="627" w:type="dxa"/>
                  <w:vMerge w:val="continue"/>
                  <w:noWrap w:val="0"/>
                  <w:vAlign w:val="top"/>
                </w:tcPr>
                <w:p w14:paraId="7CDA7BF4">
                  <w:pPr>
                    <w:spacing w:line="240" w:lineRule="auto"/>
                    <w:ind w:firstLine="0" w:firstLineChars="0"/>
                    <w:jc w:val="center"/>
                    <w:rPr>
                      <w:color w:val="auto"/>
                      <w:sz w:val="21"/>
                      <w:szCs w:val="21"/>
                    </w:rPr>
                  </w:pPr>
                </w:p>
              </w:tc>
              <w:tc>
                <w:tcPr>
                  <w:tcW w:w="1941" w:type="dxa"/>
                  <w:vMerge w:val="continue"/>
                  <w:noWrap w:val="0"/>
                  <w:vAlign w:val="top"/>
                </w:tcPr>
                <w:p w14:paraId="1D525010">
                  <w:pPr>
                    <w:spacing w:line="240" w:lineRule="auto"/>
                    <w:ind w:firstLine="0" w:firstLineChars="0"/>
                    <w:jc w:val="center"/>
                    <w:rPr>
                      <w:color w:val="auto"/>
                      <w:sz w:val="21"/>
                      <w:szCs w:val="21"/>
                    </w:rPr>
                  </w:pPr>
                </w:p>
              </w:tc>
              <w:tc>
                <w:tcPr>
                  <w:tcW w:w="2054" w:type="dxa"/>
                  <w:vMerge w:val="continue"/>
                  <w:noWrap w:val="0"/>
                  <w:vAlign w:val="center"/>
                </w:tcPr>
                <w:p w14:paraId="6105CC8F">
                  <w:pPr>
                    <w:spacing w:line="240" w:lineRule="auto"/>
                    <w:ind w:firstLine="0" w:firstLineChars="0"/>
                    <w:jc w:val="center"/>
                    <w:rPr>
                      <w:color w:val="auto"/>
                      <w:sz w:val="21"/>
                      <w:szCs w:val="21"/>
                    </w:rPr>
                  </w:pPr>
                </w:p>
              </w:tc>
              <w:tc>
                <w:tcPr>
                  <w:tcW w:w="627" w:type="dxa"/>
                  <w:vMerge w:val="continue"/>
                  <w:noWrap w:val="0"/>
                  <w:vAlign w:val="center"/>
                </w:tcPr>
                <w:p w14:paraId="4CEF5FF3">
                  <w:pPr>
                    <w:spacing w:line="240" w:lineRule="auto"/>
                    <w:ind w:firstLine="0" w:firstLineChars="0"/>
                    <w:jc w:val="center"/>
                    <w:rPr>
                      <w:color w:val="auto"/>
                      <w:sz w:val="21"/>
                      <w:szCs w:val="21"/>
                    </w:rPr>
                  </w:pPr>
                </w:p>
              </w:tc>
              <w:tc>
                <w:tcPr>
                  <w:tcW w:w="0" w:type="auto"/>
                  <w:noWrap w:val="0"/>
                  <w:vAlign w:val="center"/>
                </w:tcPr>
                <w:p w14:paraId="62E97383">
                  <w:pPr>
                    <w:widowControl/>
                    <w:spacing w:line="240" w:lineRule="auto"/>
                    <w:ind w:firstLine="0" w:firstLineChars="0"/>
                    <w:jc w:val="center"/>
                    <w:textAlignment w:val="center"/>
                    <w:rPr>
                      <w:color w:val="auto"/>
                      <w:sz w:val="21"/>
                      <w:szCs w:val="21"/>
                    </w:rPr>
                  </w:pPr>
                  <w:r>
                    <w:rPr>
                      <w:rStyle w:val="57"/>
                      <w:rFonts w:hint="default" w:ascii="Times New Roman" w:hAnsi="Times New Roman" w:cs="Times New Roman"/>
                      <w:color w:val="auto"/>
                      <w:lang w:bidi="ar"/>
                    </w:rPr>
                    <w:t>五日生化需氧量</w:t>
                  </w:r>
                </w:p>
              </w:tc>
              <w:tc>
                <w:tcPr>
                  <w:tcW w:w="0" w:type="auto"/>
                  <w:noWrap w:val="0"/>
                  <w:vAlign w:val="center"/>
                </w:tcPr>
                <w:p w14:paraId="7A6F3CB1">
                  <w:pPr>
                    <w:widowControl/>
                    <w:spacing w:line="240" w:lineRule="auto"/>
                    <w:ind w:firstLine="0" w:firstLineChars="0"/>
                    <w:jc w:val="center"/>
                    <w:textAlignment w:val="center"/>
                    <w:rPr>
                      <w:rFonts w:hint="default" w:eastAsia="宋体"/>
                      <w:color w:val="auto"/>
                      <w:sz w:val="21"/>
                      <w:szCs w:val="18"/>
                      <w:lang w:val="en-US" w:eastAsia="zh-CN"/>
                    </w:rPr>
                  </w:pPr>
                  <w:r>
                    <w:rPr>
                      <w:rFonts w:hint="eastAsia"/>
                      <w:color w:val="auto"/>
                      <w:kern w:val="0"/>
                      <w:sz w:val="21"/>
                      <w:szCs w:val="18"/>
                      <w:lang w:val="en-US" w:eastAsia="zh-CN" w:bidi="ar"/>
                    </w:rPr>
                    <w:t>300</w:t>
                  </w:r>
                </w:p>
              </w:tc>
              <w:tc>
                <w:tcPr>
                  <w:tcW w:w="1049" w:type="dxa"/>
                  <w:vMerge w:val="continue"/>
                  <w:noWrap w:val="0"/>
                  <w:vAlign w:val="center"/>
                </w:tcPr>
                <w:p w14:paraId="0C481A2E">
                  <w:pPr>
                    <w:spacing w:line="240" w:lineRule="auto"/>
                    <w:ind w:firstLine="0" w:firstLineChars="0"/>
                    <w:jc w:val="center"/>
                    <w:rPr>
                      <w:color w:val="auto"/>
                      <w:sz w:val="21"/>
                      <w:szCs w:val="21"/>
                    </w:rPr>
                  </w:pPr>
                </w:p>
              </w:tc>
              <w:tc>
                <w:tcPr>
                  <w:tcW w:w="1775" w:type="dxa"/>
                  <w:noWrap w:val="0"/>
                  <w:vAlign w:val="center"/>
                </w:tcPr>
                <w:p w14:paraId="664A1D38">
                  <w:pPr>
                    <w:widowControl/>
                    <w:spacing w:line="240" w:lineRule="auto"/>
                    <w:ind w:firstLine="0" w:firstLineChars="0"/>
                    <w:jc w:val="center"/>
                    <w:textAlignment w:val="center"/>
                    <w:rPr>
                      <w:color w:val="auto"/>
                      <w:sz w:val="21"/>
                      <w:szCs w:val="21"/>
                    </w:rPr>
                  </w:pPr>
                  <w:r>
                    <w:rPr>
                      <w:rStyle w:val="57"/>
                      <w:rFonts w:hint="default" w:ascii="Times New Roman" w:hAnsi="Times New Roman" w:cs="Times New Roman"/>
                      <w:color w:val="auto"/>
                      <w:lang w:bidi="ar"/>
                    </w:rPr>
                    <w:t>五日生化需氧量</w:t>
                  </w:r>
                </w:p>
              </w:tc>
              <w:tc>
                <w:tcPr>
                  <w:tcW w:w="1491" w:type="dxa"/>
                  <w:noWrap w:val="0"/>
                  <w:vAlign w:val="center"/>
                </w:tcPr>
                <w:p w14:paraId="33B89961">
                  <w:pPr>
                    <w:spacing w:line="240" w:lineRule="auto"/>
                    <w:ind w:firstLine="0" w:firstLineChars="0"/>
                    <w:jc w:val="center"/>
                    <w:rPr>
                      <w:color w:val="auto"/>
                      <w:sz w:val="21"/>
                      <w:szCs w:val="21"/>
                    </w:rPr>
                  </w:pPr>
                  <w:r>
                    <w:rPr>
                      <w:color w:val="auto"/>
                      <w:sz w:val="21"/>
                      <w:szCs w:val="21"/>
                    </w:rPr>
                    <w:t>年/次</w:t>
                  </w:r>
                </w:p>
              </w:tc>
            </w:tr>
            <w:tr w14:paraId="137C9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vMerge w:val="continue"/>
                  <w:noWrap w:val="0"/>
                  <w:vAlign w:val="top"/>
                </w:tcPr>
                <w:p w14:paraId="3E76871C">
                  <w:pPr>
                    <w:spacing w:line="240" w:lineRule="auto"/>
                    <w:ind w:firstLine="0" w:firstLineChars="0"/>
                    <w:jc w:val="center"/>
                    <w:rPr>
                      <w:color w:val="auto"/>
                      <w:sz w:val="21"/>
                      <w:szCs w:val="21"/>
                    </w:rPr>
                  </w:pPr>
                </w:p>
              </w:tc>
              <w:tc>
                <w:tcPr>
                  <w:tcW w:w="935" w:type="dxa"/>
                  <w:vMerge w:val="continue"/>
                  <w:noWrap w:val="0"/>
                  <w:vAlign w:val="top"/>
                </w:tcPr>
                <w:p w14:paraId="65A763B4">
                  <w:pPr>
                    <w:spacing w:line="240" w:lineRule="auto"/>
                    <w:ind w:firstLine="0" w:firstLineChars="0"/>
                    <w:jc w:val="center"/>
                    <w:rPr>
                      <w:color w:val="auto"/>
                      <w:sz w:val="21"/>
                      <w:szCs w:val="21"/>
                    </w:rPr>
                  </w:pPr>
                </w:p>
              </w:tc>
              <w:tc>
                <w:tcPr>
                  <w:tcW w:w="627" w:type="dxa"/>
                  <w:vMerge w:val="continue"/>
                  <w:noWrap w:val="0"/>
                  <w:vAlign w:val="top"/>
                </w:tcPr>
                <w:p w14:paraId="23D36A9B">
                  <w:pPr>
                    <w:spacing w:line="240" w:lineRule="auto"/>
                    <w:ind w:firstLine="0" w:firstLineChars="0"/>
                    <w:jc w:val="center"/>
                    <w:rPr>
                      <w:color w:val="auto"/>
                      <w:sz w:val="21"/>
                      <w:szCs w:val="21"/>
                    </w:rPr>
                  </w:pPr>
                </w:p>
              </w:tc>
              <w:tc>
                <w:tcPr>
                  <w:tcW w:w="627" w:type="dxa"/>
                  <w:vMerge w:val="continue"/>
                  <w:noWrap w:val="0"/>
                  <w:vAlign w:val="top"/>
                </w:tcPr>
                <w:p w14:paraId="4793E4E1">
                  <w:pPr>
                    <w:spacing w:line="240" w:lineRule="auto"/>
                    <w:ind w:firstLine="0" w:firstLineChars="0"/>
                    <w:jc w:val="center"/>
                    <w:rPr>
                      <w:color w:val="auto"/>
                      <w:sz w:val="21"/>
                      <w:szCs w:val="21"/>
                    </w:rPr>
                  </w:pPr>
                </w:p>
              </w:tc>
              <w:tc>
                <w:tcPr>
                  <w:tcW w:w="1941" w:type="dxa"/>
                  <w:vMerge w:val="continue"/>
                  <w:noWrap w:val="0"/>
                  <w:vAlign w:val="top"/>
                </w:tcPr>
                <w:p w14:paraId="79F741FA">
                  <w:pPr>
                    <w:spacing w:line="240" w:lineRule="auto"/>
                    <w:ind w:firstLine="0" w:firstLineChars="0"/>
                    <w:jc w:val="center"/>
                    <w:rPr>
                      <w:color w:val="auto"/>
                      <w:sz w:val="21"/>
                      <w:szCs w:val="21"/>
                    </w:rPr>
                  </w:pPr>
                </w:p>
              </w:tc>
              <w:tc>
                <w:tcPr>
                  <w:tcW w:w="2054" w:type="dxa"/>
                  <w:vMerge w:val="continue"/>
                  <w:noWrap w:val="0"/>
                  <w:vAlign w:val="center"/>
                </w:tcPr>
                <w:p w14:paraId="219EA5AF">
                  <w:pPr>
                    <w:spacing w:line="240" w:lineRule="auto"/>
                    <w:ind w:firstLine="0" w:firstLineChars="0"/>
                    <w:jc w:val="center"/>
                    <w:rPr>
                      <w:color w:val="auto"/>
                      <w:sz w:val="21"/>
                      <w:szCs w:val="21"/>
                    </w:rPr>
                  </w:pPr>
                </w:p>
              </w:tc>
              <w:tc>
                <w:tcPr>
                  <w:tcW w:w="627" w:type="dxa"/>
                  <w:vMerge w:val="continue"/>
                  <w:noWrap w:val="0"/>
                  <w:vAlign w:val="center"/>
                </w:tcPr>
                <w:p w14:paraId="40C8C484">
                  <w:pPr>
                    <w:spacing w:line="240" w:lineRule="auto"/>
                    <w:ind w:firstLine="0" w:firstLineChars="0"/>
                    <w:jc w:val="center"/>
                    <w:rPr>
                      <w:color w:val="auto"/>
                      <w:sz w:val="21"/>
                      <w:szCs w:val="21"/>
                    </w:rPr>
                  </w:pPr>
                </w:p>
              </w:tc>
              <w:tc>
                <w:tcPr>
                  <w:tcW w:w="0" w:type="auto"/>
                  <w:noWrap w:val="0"/>
                  <w:vAlign w:val="center"/>
                </w:tcPr>
                <w:p w14:paraId="148789B4">
                  <w:pPr>
                    <w:widowControl/>
                    <w:spacing w:line="240" w:lineRule="auto"/>
                    <w:ind w:firstLine="0" w:firstLineChars="0"/>
                    <w:jc w:val="center"/>
                    <w:textAlignment w:val="center"/>
                    <w:rPr>
                      <w:color w:val="auto"/>
                      <w:sz w:val="21"/>
                      <w:szCs w:val="21"/>
                    </w:rPr>
                  </w:pPr>
                  <w:r>
                    <w:rPr>
                      <w:rStyle w:val="57"/>
                      <w:rFonts w:hint="default" w:ascii="Times New Roman" w:hAnsi="Times New Roman" w:cs="Times New Roman"/>
                      <w:color w:val="auto"/>
                      <w:lang w:bidi="ar"/>
                    </w:rPr>
                    <w:t>化学需氧量</w:t>
                  </w:r>
                </w:p>
              </w:tc>
              <w:tc>
                <w:tcPr>
                  <w:tcW w:w="0" w:type="auto"/>
                  <w:noWrap w:val="0"/>
                  <w:vAlign w:val="center"/>
                </w:tcPr>
                <w:p w14:paraId="06D75F1D">
                  <w:pPr>
                    <w:widowControl/>
                    <w:spacing w:line="240" w:lineRule="auto"/>
                    <w:ind w:firstLine="0" w:firstLineChars="0"/>
                    <w:jc w:val="center"/>
                    <w:textAlignment w:val="center"/>
                    <w:rPr>
                      <w:rFonts w:hint="default" w:eastAsia="宋体"/>
                      <w:color w:val="auto"/>
                      <w:sz w:val="21"/>
                      <w:szCs w:val="18"/>
                      <w:lang w:val="en-US" w:eastAsia="zh-CN"/>
                    </w:rPr>
                  </w:pPr>
                  <w:r>
                    <w:rPr>
                      <w:rFonts w:hint="eastAsia"/>
                      <w:color w:val="auto"/>
                      <w:kern w:val="0"/>
                      <w:sz w:val="21"/>
                      <w:szCs w:val="18"/>
                      <w:lang w:val="en-US" w:eastAsia="zh-CN" w:bidi="ar"/>
                    </w:rPr>
                    <w:t>500</w:t>
                  </w:r>
                </w:p>
              </w:tc>
              <w:tc>
                <w:tcPr>
                  <w:tcW w:w="1049" w:type="dxa"/>
                  <w:vMerge w:val="continue"/>
                  <w:noWrap w:val="0"/>
                  <w:vAlign w:val="center"/>
                </w:tcPr>
                <w:p w14:paraId="17ECA496">
                  <w:pPr>
                    <w:spacing w:line="240" w:lineRule="auto"/>
                    <w:ind w:firstLine="0" w:firstLineChars="0"/>
                    <w:jc w:val="center"/>
                    <w:rPr>
                      <w:color w:val="auto"/>
                      <w:sz w:val="21"/>
                      <w:szCs w:val="21"/>
                    </w:rPr>
                  </w:pPr>
                </w:p>
              </w:tc>
              <w:tc>
                <w:tcPr>
                  <w:tcW w:w="1775" w:type="dxa"/>
                  <w:noWrap w:val="0"/>
                  <w:vAlign w:val="center"/>
                </w:tcPr>
                <w:p w14:paraId="688EA345">
                  <w:pPr>
                    <w:widowControl/>
                    <w:spacing w:line="240" w:lineRule="auto"/>
                    <w:ind w:firstLine="0" w:firstLineChars="0"/>
                    <w:jc w:val="center"/>
                    <w:textAlignment w:val="center"/>
                    <w:rPr>
                      <w:color w:val="auto"/>
                      <w:sz w:val="21"/>
                      <w:szCs w:val="21"/>
                    </w:rPr>
                  </w:pPr>
                  <w:r>
                    <w:rPr>
                      <w:rStyle w:val="57"/>
                      <w:rFonts w:hint="default" w:ascii="Times New Roman" w:hAnsi="Times New Roman" w:cs="Times New Roman"/>
                      <w:color w:val="auto"/>
                      <w:lang w:bidi="ar"/>
                    </w:rPr>
                    <w:t>化学需氧量</w:t>
                  </w:r>
                </w:p>
              </w:tc>
              <w:tc>
                <w:tcPr>
                  <w:tcW w:w="1491" w:type="dxa"/>
                  <w:noWrap w:val="0"/>
                  <w:vAlign w:val="center"/>
                </w:tcPr>
                <w:p w14:paraId="63958444">
                  <w:pPr>
                    <w:spacing w:line="240" w:lineRule="auto"/>
                    <w:ind w:firstLine="0" w:firstLineChars="0"/>
                    <w:jc w:val="center"/>
                    <w:rPr>
                      <w:color w:val="auto"/>
                      <w:sz w:val="21"/>
                      <w:szCs w:val="21"/>
                    </w:rPr>
                  </w:pPr>
                  <w:r>
                    <w:rPr>
                      <w:color w:val="auto"/>
                      <w:sz w:val="21"/>
                      <w:szCs w:val="21"/>
                    </w:rPr>
                    <w:t>年/次</w:t>
                  </w:r>
                </w:p>
              </w:tc>
            </w:tr>
            <w:tr w14:paraId="6BE77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vMerge w:val="continue"/>
                  <w:noWrap w:val="0"/>
                  <w:vAlign w:val="top"/>
                </w:tcPr>
                <w:p w14:paraId="714AF8CF">
                  <w:pPr>
                    <w:spacing w:line="240" w:lineRule="auto"/>
                    <w:ind w:firstLine="0" w:firstLineChars="0"/>
                    <w:jc w:val="center"/>
                    <w:rPr>
                      <w:color w:val="auto"/>
                      <w:sz w:val="21"/>
                      <w:szCs w:val="21"/>
                    </w:rPr>
                  </w:pPr>
                </w:p>
              </w:tc>
              <w:tc>
                <w:tcPr>
                  <w:tcW w:w="935" w:type="dxa"/>
                  <w:vMerge w:val="continue"/>
                  <w:noWrap w:val="0"/>
                  <w:vAlign w:val="top"/>
                </w:tcPr>
                <w:p w14:paraId="05A5A6C8">
                  <w:pPr>
                    <w:spacing w:line="240" w:lineRule="auto"/>
                    <w:ind w:firstLine="0" w:firstLineChars="0"/>
                    <w:jc w:val="center"/>
                    <w:rPr>
                      <w:color w:val="auto"/>
                      <w:sz w:val="21"/>
                      <w:szCs w:val="21"/>
                    </w:rPr>
                  </w:pPr>
                </w:p>
              </w:tc>
              <w:tc>
                <w:tcPr>
                  <w:tcW w:w="627" w:type="dxa"/>
                  <w:vMerge w:val="continue"/>
                  <w:noWrap w:val="0"/>
                  <w:vAlign w:val="top"/>
                </w:tcPr>
                <w:p w14:paraId="6064D4B5">
                  <w:pPr>
                    <w:spacing w:line="240" w:lineRule="auto"/>
                    <w:ind w:firstLine="0" w:firstLineChars="0"/>
                    <w:jc w:val="center"/>
                    <w:rPr>
                      <w:color w:val="auto"/>
                      <w:sz w:val="21"/>
                      <w:szCs w:val="21"/>
                    </w:rPr>
                  </w:pPr>
                </w:p>
              </w:tc>
              <w:tc>
                <w:tcPr>
                  <w:tcW w:w="627" w:type="dxa"/>
                  <w:vMerge w:val="continue"/>
                  <w:noWrap w:val="0"/>
                  <w:vAlign w:val="top"/>
                </w:tcPr>
                <w:p w14:paraId="093FAE31">
                  <w:pPr>
                    <w:spacing w:line="240" w:lineRule="auto"/>
                    <w:ind w:firstLine="0" w:firstLineChars="0"/>
                    <w:jc w:val="center"/>
                    <w:rPr>
                      <w:color w:val="auto"/>
                      <w:sz w:val="21"/>
                      <w:szCs w:val="21"/>
                    </w:rPr>
                  </w:pPr>
                </w:p>
              </w:tc>
              <w:tc>
                <w:tcPr>
                  <w:tcW w:w="1941" w:type="dxa"/>
                  <w:vMerge w:val="continue"/>
                  <w:noWrap w:val="0"/>
                  <w:vAlign w:val="top"/>
                </w:tcPr>
                <w:p w14:paraId="5723E2BA">
                  <w:pPr>
                    <w:spacing w:line="240" w:lineRule="auto"/>
                    <w:ind w:firstLine="0" w:firstLineChars="0"/>
                    <w:jc w:val="center"/>
                    <w:rPr>
                      <w:color w:val="auto"/>
                      <w:sz w:val="21"/>
                      <w:szCs w:val="21"/>
                    </w:rPr>
                  </w:pPr>
                </w:p>
              </w:tc>
              <w:tc>
                <w:tcPr>
                  <w:tcW w:w="2054" w:type="dxa"/>
                  <w:vMerge w:val="continue"/>
                  <w:noWrap w:val="0"/>
                  <w:vAlign w:val="center"/>
                </w:tcPr>
                <w:p w14:paraId="4320F9DC">
                  <w:pPr>
                    <w:spacing w:line="240" w:lineRule="auto"/>
                    <w:ind w:firstLine="0" w:firstLineChars="0"/>
                    <w:jc w:val="center"/>
                    <w:rPr>
                      <w:color w:val="auto"/>
                      <w:sz w:val="21"/>
                      <w:szCs w:val="21"/>
                    </w:rPr>
                  </w:pPr>
                </w:p>
              </w:tc>
              <w:tc>
                <w:tcPr>
                  <w:tcW w:w="627" w:type="dxa"/>
                  <w:vMerge w:val="continue"/>
                  <w:noWrap w:val="0"/>
                  <w:vAlign w:val="center"/>
                </w:tcPr>
                <w:p w14:paraId="5E3533CE">
                  <w:pPr>
                    <w:spacing w:line="240" w:lineRule="auto"/>
                    <w:ind w:firstLine="0" w:firstLineChars="0"/>
                    <w:jc w:val="center"/>
                    <w:rPr>
                      <w:color w:val="auto"/>
                      <w:sz w:val="21"/>
                      <w:szCs w:val="21"/>
                    </w:rPr>
                  </w:pPr>
                </w:p>
              </w:tc>
              <w:tc>
                <w:tcPr>
                  <w:tcW w:w="0" w:type="auto"/>
                  <w:noWrap w:val="0"/>
                  <w:vAlign w:val="center"/>
                </w:tcPr>
                <w:p w14:paraId="2B4170B7">
                  <w:pPr>
                    <w:widowControl/>
                    <w:spacing w:line="240" w:lineRule="auto"/>
                    <w:ind w:firstLine="0" w:firstLineChars="0"/>
                    <w:jc w:val="center"/>
                    <w:textAlignment w:val="center"/>
                    <w:rPr>
                      <w:color w:val="auto"/>
                      <w:sz w:val="21"/>
                      <w:szCs w:val="21"/>
                    </w:rPr>
                  </w:pPr>
                  <w:r>
                    <w:rPr>
                      <w:rStyle w:val="57"/>
                      <w:rFonts w:hint="default" w:ascii="Times New Roman" w:hAnsi="Times New Roman" w:cs="Times New Roman"/>
                      <w:color w:val="auto"/>
                      <w:lang w:bidi="ar"/>
                    </w:rPr>
                    <w:t>氨氮（</w:t>
                  </w:r>
                  <w:r>
                    <w:rPr>
                      <w:color w:val="auto"/>
                      <w:kern w:val="0"/>
                      <w:sz w:val="21"/>
                      <w:szCs w:val="21"/>
                      <w:lang w:bidi="ar"/>
                    </w:rPr>
                    <w:t>NH</w:t>
                  </w:r>
                  <w:r>
                    <w:rPr>
                      <w:color w:val="auto"/>
                      <w:kern w:val="0"/>
                      <w:sz w:val="21"/>
                      <w:szCs w:val="21"/>
                      <w:vertAlign w:val="subscript"/>
                      <w:lang w:bidi="ar"/>
                    </w:rPr>
                    <w:t>3</w:t>
                  </w:r>
                  <w:r>
                    <w:rPr>
                      <w:color w:val="auto"/>
                      <w:kern w:val="0"/>
                      <w:sz w:val="21"/>
                      <w:szCs w:val="21"/>
                      <w:lang w:bidi="ar"/>
                    </w:rPr>
                    <w:t>-N</w:t>
                  </w:r>
                  <w:r>
                    <w:rPr>
                      <w:rStyle w:val="57"/>
                      <w:rFonts w:hint="default" w:ascii="Times New Roman" w:hAnsi="Times New Roman" w:cs="Times New Roman"/>
                      <w:color w:val="auto"/>
                      <w:lang w:bidi="ar"/>
                    </w:rPr>
                    <w:t>）</w:t>
                  </w:r>
                </w:p>
              </w:tc>
              <w:tc>
                <w:tcPr>
                  <w:tcW w:w="0" w:type="auto"/>
                  <w:noWrap w:val="0"/>
                  <w:vAlign w:val="center"/>
                </w:tcPr>
                <w:p w14:paraId="485DFDCC">
                  <w:pPr>
                    <w:widowControl/>
                    <w:spacing w:line="240" w:lineRule="auto"/>
                    <w:ind w:firstLine="0" w:firstLineChars="0"/>
                    <w:jc w:val="center"/>
                    <w:textAlignment w:val="center"/>
                    <w:rPr>
                      <w:rFonts w:hint="eastAsia" w:eastAsia="宋体"/>
                      <w:color w:val="auto"/>
                      <w:sz w:val="21"/>
                      <w:szCs w:val="18"/>
                      <w:lang w:eastAsia="zh-CN"/>
                    </w:rPr>
                  </w:pPr>
                  <w:r>
                    <w:rPr>
                      <w:color w:val="auto"/>
                      <w:kern w:val="0"/>
                      <w:sz w:val="21"/>
                      <w:szCs w:val="18"/>
                      <w:lang w:bidi="ar"/>
                    </w:rPr>
                    <w:t>3</w:t>
                  </w:r>
                  <w:r>
                    <w:rPr>
                      <w:rFonts w:hint="eastAsia"/>
                      <w:color w:val="auto"/>
                      <w:kern w:val="0"/>
                      <w:sz w:val="21"/>
                      <w:szCs w:val="18"/>
                      <w:lang w:val="en-US" w:eastAsia="zh-CN" w:bidi="ar"/>
                    </w:rPr>
                    <w:t>0</w:t>
                  </w:r>
                </w:p>
              </w:tc>
              <w:tc>
                <w:tcPr>
                  <w:tcW w:w="1049" w:type="dxa"/>
                  <w:vMerge w:val="continue"/>
                  <w:noWrap w:val="0"/>
                  <w:vAlign w:val="center"/>
                </w:tcPr>
                <w:p w14:paraId="4E088E9C">
                  <w:pPr>
                    <w:spacing w:line="240" w:lineRule="auto"/>
                    <w:ind w:firstLine="0" w:firstLineChars="0"/>
                    <w:jc w:val="center"/>
                    <w:rPr>
                      <w:color w:val="auto"/>
                      <w:sz w:val="21"/>
                      <w:szCs w:val="21"/>
                    </w:rPr>
                  </w:pPr>
                </w:p>
              </w:tc>
              <w:tc>
                <w:tcPr>
                  <w:tcW w:w="1775" w:type="dxa"/>
                  <w:noWrap w:val="0"/>
                  <w:vAlign w:val="center"/>
                </w:tcPr>
                <w:p w14:paraId="44C30949">
                  <w:pPr>
                    <w:widowControl/>
                    <w:spacing w:line="240" w:lineRule="auto"/>
                    <w:ind w:firstLine="0" w:firstLineChars="0"/>
                    <w:jc w:val="center"/>
                    <w:textAlignment w:val="center"/>
                    <w:rPr>
                      <w:color w:val="auto"/>
                      <w:sz w:val="21"/>
                      <w:szCs w:val="21"/>
                    </w:rPr>
                  </w:pPr>
                  <w:r>
                    <w:rPr>
                      <w:rStyle w:val="57"/>
                      <w:rFonts w:hint="default" w:ascii="Times New Roman" w:hAnsi="Times New Roman" w:cs="Times New Roman"/>
                      <w:color w:val="auto"/>
                      <w:lang w:bidi="ar"/>
                    </w:rPr>
                    <w:t>氨氮（</w:t>
                  </w:r>
                  <w:r>
                    <w:rPr>
                      <w:color w:val="auto"/>
                      <w:kern w:val="0"/>
                      <w:sz w:val="21"/>
                      <w:szCs w:val="21"/>
                      <w:lang w:bidi="ar"/>
                    </w:rPr>
                    <w:t>NH</w:t>
                  </w:r>
                  <w:r>
                    <w:rPr>
                      <w:color w:val="auto"/>
                      <w:kern w:val="0"/>
                      <w:sz w:val="21"/>
                      <w:szCs w:val="21"/>
                      <w:vertAlign w:val="subscript"/>
                      <w:lang w:bidi="ar"/>
                    </w:rPr>
                    <w:t>3</w:t>
                  </w:r>
                  <w:r>
                    <w:rPr>
                      <w:color w:val="auto"/>
                      <w:kern w:val="0"/>
                      <w:sz w:val="21"/>
                      <w:szCs w:val="21"/>
                      <w:lang w:bidi="ar"/>
                    </w:rPr>
                    <w:t>-N</w:t>
                  </w:r>
                  <w:r>
                    <w:rPr>
                      <w:rStyle w:val="57"/>
                      <w:rFonts w:hint="default" w:ascii="Times New Roman" w:hAnsi="Times New Roman" w:cs="Times New Roman"/>
                      <w:color w:val="auto"/>
                      <w:lang w:bidi="ar"/>
                    </w:rPr>
                    <w:t>）</w:t>
                  </w:r>
                </w:p>
              </w:tc>
              <w:tc>
                <w:tcPr>
                  <w:tcW w:w="1491" w:type="dxa"/>
                  <w:noWrap w:val="0"/>
                  <w:vAlign w:val="center"/>
                </w:tcPr>
                <w:p w14:paraId="5CD08B18">
                  <w:pPr>
                    <w:spacing w:line="240" w:lineRule="auto"/>
                    <w:ind w:firstLine="0" w:firstLineChars="0"/>
                    <w:jc w:val="center"/>
                    <w:rPr>
                      <w:color w:val="auto"/>
                      <w:sz w:val="21"/>
                      <w:szCs w:val="21"/>
                    </w:rPr>
                  </w:pPr>
                  <w:r>
                    <w:rPr>
                      <w:color w:val="auto"/>
                      <w:sz w:val="21"/>
                      <w:szCs w:val="21"/>
                    </w:rPr>
                    <w:t>年/次</w:t>
                  </w:r>
                </w:p>
              </w:tc>
            </w:tr>
            <w:tr w14:paraId="42EF1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vMerge w:val="continue"/>
                  <w:noWrap w:val="0"/>
                  <w:vAlign w:val="top"/>
                </w:tcPr>
                <w:p w14:paraId="49A94010">
                  <w:pPr>
                    <w:spacing w:line="240" w:lineRule="auto"/>
                    <w:ind w:firstLine="0" w:firstLineChars="0"/>
                    <w:jc w:val="center"/>
                    <w:rPr>
                      <w:color w:val="auto"/>
                      <w:sz w:val="21"/>
                      <w:szCs w:val="21"/>
                    </w:rPr>
                  </w:pPr>
                </w:p>
              </w:tc>
              <w:tc>
                <w:tcPr>
                  <w:tcW w:w="935" w:type="dxa"/>
                  <w:vMerge w:val="continue"/>
                  <w:noWrap w:val="0"/>
                  <w:vAlign w:val="top"/>
                </w:tcPr>
                <w:p w14:paraId="596D3786">
                  <w:pPr>
                    <w:spacing w:line="240" w:lineRule="auto"/>
                    <w:ind w:firstLine="0" w:firstLineChars="0"/>
                    <w:jc w:val="center"/>
                    <w:rPr>
                      <w:color w:val="auto"/>
                      <w:sz w:val="21"/>
                      <w:szCs w:val="21"/>
                    </w:rPr>
                  </w:pPr>
                </w:p>
              </w:tc>
              <w:tc>
                <w:tcPr>
                  <w:tcW w:w="627" w:type="dxa"/>
                  <w:vMerge w:val="continue"/>
                  <w:noWrap w:val="0"/>
                  <w:vAlign w:val="top"/>
                </w:tcPr>
                <w:p w14:paraId="4358B64E">
                  <w:pPr>
                    <w:spacing w:line="240" w:lineRule="auto"/>
                    <w:ind w:firstLine="0" w:firstLineChars="0"/>
                    <w:jc w:val="center"/>
                    <w:rPr>
                      <w:color w:val="auto"/>
                      <w:sz w:val="21"/>
                      <w:szCs w:val="21"/>
                    </w:rPr>
                  </w:pPr>
                </w:p>
              </w:tc>
              <w:tc>
                <w:tcPr>
                  <w:tcW w:w="627" w:type="dxa"/>
                  <w:vMerge w:val="continue"/>
                  <w:noWrap w:val="0"/>
                  <w:vAlign w:val="top"/>
                </w:tcPr>
                <w:p w14:paraId="7CBB8CC2">
                  <w:pPr>
                    <w:spacing w:line="240" w:lineRule="auto"/>
                    <w:ind w:firstLine="0" w:firstLineChars="0"/>
                    <w:jc w:val="center"/>
                    <w:rPr>
                      <w:color w:val="auto"/>
                      <w:sz w:val="21"/>
                      <w:szCs w:val="21"/>
                    </w:rPr>
                  </w:pPr>
                </w:p>
              </w:tc>
              <w:tc>
                <w:tcPr>
                  <w:tcW w:w="1941" w:type="dxa"/>
                  <w:vMerge w:val="continue"/>
                  <w:noWrap w:val="0"/>
                  <w:vAlign w:val="top"/>
                </w:tcPr>
                <w:p w14:paraId="773EC98D">
                  <w:pPr>
                    <w:spacing w:line="240" w:lineRule="auto"/>
                    <w:ind w:firstLine="0" w:firstLineChars="0"/>
                    <w:jc w:val="center"/>
                    <w:rPr>
                      <w:color w:val="auto"/>
                      <w:sz w:val="21"/>
                      <w:szCs w:val="21"/>
                    </w:rPr>
                  </w:pPr>
                </w:p>
              </w:tc>
              <w:tc>
                <w:tcPr>
                  <w:tcW w:w="2054" w:type="dxa"/>
                  <w:vMerge w:val="continue"/>
                  <w:noWrap w:val="0"/>
                  <w:vAlign w:val="center"/>
                </w:tcPr>
                <w:p w14:paraId="3C90445B">
                  <w:pPr>
                    <w:spacing w:line="240" w:lineRule="auto"/>
                    <w:ind w:firstLine="0" w:firstLineChars="0"/>
                    <w:jc w:val="center"/>
                    <w:rPr>
                      <w:color w:val="auto"/>
                      <w:sz w:val="21"/>
                      <w:szCs w:val="21"/>
                    </w:rPr>
                  </w:pPr>
                </w:p>
              </w:tc>
              <w:tc>
                <w:tcPr>
                  <w:tcW w:w="627" w:type="dxa"/>
                  <w:vMerge w:val="continue"/>
                  <w:noWrap w:val="0"/>
                  <w:vAlign w:val="center"/>
                </w:tcPr>
                <w:p w14:paraId="3175AFBE">
                  <w:pPr>
                    <w:spacing w:line="240" w:lineRule="auto"/>
                    <w:ind w:firstLine="0" w:firstLineChars="0"/>
                    <w:jc w:val="center"/>
                    <w:rPr>
                      <w:color w:val="auto"/>
                      <w:sz w:val="21"/>
                      <w:szCs w:val="21"/>
                    </w:rPr>
                  </w:pPr>
                </w:p>
              </w:tc>
              <w:tc>
                <w:tcPr>
                  <w:tcW w:w="0" w:type="auto"/>
                  <w:noWrap w:val="0"/>
                  <w:vAlign w:val="center"/>
                </w:tcPr>
                <w:p w14:paraId="7276FAD6">
                  <w:pPr>
                    <w:widowControl/>
                    <w:spacing w:line="240" w:lineRule="auto"/>
                    <w:ind w:firstLine="0" w:firstLineChars="0"/>
                    <w:jc w:val="center"/>
                    <w:textAlignment w:val="center"/>
                    <w:rPr>
                      <w:color w:val="auto"/>
                      <w:sz w:val="21"/>
                      <w:szCs w:val="21"/>
                      <w:lang w:bidi="ar"/>
                    </w:rPr>
                  </w:pPr>
                  <w:r>
                    <w:rPr>
                      <w:rStyle w:val="57"/>
                      <w:rFonts w:hint="default" w:ascii="Times New Roman" w:hAnsi="Times New Roman" w:cs="Times New Roman"/>
                      <w:color w:val="auto"/>
                      <w:lang w:bidi="ar"/>
                    </w:rPr>
                    <w:t>总磷（TP）</w:t>
                  </w:r>
                </w:p>
              </w:tc>
              <w:tc>
                <w:tcPr>
                  <w:tcW w:w="0" w:type="auto"/>
                  <w:noWrap w:val="0"/>
                  <w:vAlign w:val="center"/>
                </w:tcPr>
                <w:p w14:paraId="617DD00E">
                  <w:pPr>
                    <w:widowControl/>
                    <w:spacing w:line="240" w:lineRule="auto"/>
                    <w:ind w:firstLine="0" w:firstLineChars="0"/>
                    <w:jc w:val="center"/>
                    <w:textAlignment w:val="center"/>
                    <w:rPr>
                      <w:color w:val="auto"/>
                      <w:kern w:val="0"/>
                      <w:sz w:val="21"/>
                      <w:szCs w:val="18"/>
                      <w:lang w:bidi="ar"/>
                    </w:rPr>
                  </w:pPr>
                  <w:r>
                    <w:rPr>
                      <w:color w:val="auto"/>
                      <w:kern w:val="0"/>
                      <w:sz w:val="21"/>
                      <w:szCs w:val="18"/>
                      <w:lang w:bidi="ar"/>
                    </w:rPr>
                    <w:t>6</w:t>
                  </w:r>
                </w:p>
              </w:tc>
              <w:tc>
                <w:tcPr>
                  <w:tcW w:w="1049" w:type="dxa"/>
                  <w:vMerge w:val="continue"/>
                  <w:noWrap w:val="0"/>
                  <w:vAlign w:val="center"/>
                </w:tcPr>
                <w:p w14:paraId="3E4CE7E8">
                  <w:pPr>
                    <w:spacing w:line="240" w:lineRule="auto"/>
                    <w:ind w:firstLine="0" w:firstLineChars="0"/>
                    <w:jc w:val="center"/>
                    <w:rPr>
                      <w:color w:val="auto"/>
                      <w:sz w:val="21"/>
                      <w:szCs w:val="21"/>
                    </w:rPr>
                  </w:pPr>
                </w:p>
              </w:tc>
              <w:tc>
                <w:tcPr>
                  <w:tcW w:w="1775" w:type="dxa"/>
                  <w:noWrap w:val="0"/>
                  <w:vAlign w:val="center"/>
                </w:tcPr>
                <w:p w14:paraId="2908D52E">
                  <w:pPr>
                    <w:widowControl/>
                    <w:spacing w:line="240" w:lineRule="auto"/>
                    <w:ind w:firstLine="0" w:firstLineChars="0"/>
                    <w:jc w:val="center"/>
                    <w:textAlignment w:val="center"/>
                    <w:rPr>
                      <w:color w:val="auto"/>
                      <w:sz w:val="21"/>
                      <w:szCs w:val="21"/>
                      <w:lang w:bidi="ar"/>
                    </w:rPr>
                  </w:pPr>
                  <w:r>
                    <w:rPr>
                      <w:rStyle w:val="57"/>
                      <w:rFonts w:hint="default" w:ascii="Times New Roman" w:hAnsi="Times New Roman" w:cs="Times New Roman"/>
                      <w:color w:val="auto"/>
                      <w:lang w:bidi="ar"/>
                    </w:rPr>
                    <w:t>总磷（TP）</w:t>
                  </w:r>
                </w:p>
              </w:tc>
              <w:tc>
                <w:tcPr>
                  <w:tcW w:w="1491" w:type="dxa"/>
                  <w:noWrap w:val="0"/>
                  <w:vAlign w:val="center"/>
                </w:tcPr>
                <w:p w14:paraId="67CD7DD2">
                  <w:pPr>
                    <w:spacing w:line="240" w:lineRule="auto"/>
                    <w:ind w:firstLine="0" w:firstLineChars="0"/>
                    <w:jc w:val="center"/>
                    <w:rPr>
                      <w:color w:val="auto"/>
                      <w:sz w:val="21"/>
                      <w:szCs w:val="21"/>
                    </w:rPr>
                  </w:pPr>
                  <w:r>
                    <w:rPr>
                      <w:color w:val="auto"/>
                      <w:sz w:val="21"/>
                      <w:szCs w:val="21"/>
                    </w:rPr>
                    <w:t>年/次</w:t>
                  </w:r>
                </w:p>
              </w:tc>
            </w:tr>
            <w:tr w14:paraId="69A72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vMerge w:val="continue"/>
                  <w:noWrap w:val="0"/>
                  <w:vAlign w:val="top"/>
                </w:tcPr>
                <w:p w14:paraId="0937E8AE">
                  <w:pPr>
                    <w:spacing w:line="240" w:lineRule="auto"/>
                    <w:ind w:firstLine="0" w:firstLineChars="0"/>
                    <w:jc w:val="center"/>
                    <w:rPr>
                      <w:color w:val="auto"/>
                      <w:sz w:val="21"/>
                      <w:szCs w:val="21"/>
                    </w:rPr>
                  </w:pPr>
                </w:p>
              </w:tc>
              <w:tc>
                <w:tcPr>
                  <w:tcW w:w="935" w:type="dxa"/>
                  <w:vMerge w:val="continue"/>
                  <w:noWrap w:val="0"/>
                  <w:vAlign w:val="top"/>
                </w:tcPr>
                <w:p w14:paraId="01B45BCC">
                  <w:pPr>
                    <w:spacing w:line="240" w:lineRule="auto"/>
                    <w:ind w:firstLine="0" w:firstLineChars="0"/>
                    <w:jc w:val="center"/>
                    <w:rPr>
                      <w:color w:val="auto"/>
                      <w:sz w:val="21"/>
                      <w:szCs w:val="21"/>
                    </w:rPr>
                  </w:pPr>
                </w:p>
              </w:tc>
              <w:tc>
                <w:tcPr>
                  <w:tcW w:w="627" w:type="dxa"/>
                  <w:vMerge w:val="continue"/>
                  <w:noWrap w:val="0"/>
                  <w:vAlign w:val="top"/>
                </w:tcPr>
                <w:p w14:paraId="27047258">
                  <w:pPr>
                    <w:spacing w:line="240" w:lineRule="auto"/>
                    <w:ind w:firstLine="0" w:firstLineChars="0"/>
                    <w:jc w:val="center"/>
                    <w:rPr>
                      <w:color w:val="auto"/>
                      <w:sz w:val="21"/>
                      <w:szCs w:val="21"/>
                    </w:rPr>
                  </w:pPr>
                </w:p>
              </w:tc>
              <w:tc>
                <w:tcPr>
                  <w:tcW w:w="627" w:type="dxa"/>
                  <w:vMerge w:val="continue"/>
                  <w:noWrap w:val="0"/>
                  <w:vAlign w:val="top"/>
                </w:tcPr>
                <w:p w14:paraId="65ADF678">
                  <w:pPr>
                    <w:spacing w:line="240" w:lineRule="auto"/>
                    <w:ind w:firstLine="0" w:firstLineChars="0"/>
                    <w:jc w:val="center"/>
                    <w:rPr>
                      <w:color w:val="auto"/>
                      <w:sz w:val="21"/>
                      <w:szCs w:val="21"/>
                    </w:rPr>
                  </w:pPr>
                </w:p>
              </w:tc>
              <w:tc>
                <w:tcPr>
                  <w:tcW w:w="1941" w:type="dxa"/>
                  <w:vMerge w:val="continue"/>
                  <w:noWrap w:val="0"/>
                  <w:vAlign w:val="top"/>
                </w:tcPr>
                <w:p w14:paraId="4CF09051">
                  <w:pPr>
                    <w:spacing w:line="240" w:lineRule="auto"/>
                    <w:ind w:firstLine="0" w:firstLineChars="0"/>
                    <w:jc w:val="center"/>
                    <w:rPr>
                      <w:color w:val="auto"/>
                      <w:sz w:val="21"/>
                      <w:szCs w:val="21"/>
                    </w:rPr>
                  </w:pPr>
                </w:p>
              </w:tc>
              <w:tc>
                <w:tcPr>
                  <w:tcW w:w="2054" w:type="dxa"/>
                  <w:vMerge w:val="continue"/>
                  <w:noWrap w:val="0"/>
                  <w:vAlign w:val="center"/>
                </w:tcPr>
                <w:p w14:paraId="20C1AD36">
                  <w:pPr>
                    <w:spacing w:line="240" w:lineRule="auto"/>
                    <w:ind w:firstLine="0" w:firstLineChars="0"/>
                    <w:jc w:val="center"/>
                    <w:rPr>
                      <w:color w:val="auto"/>
                      <w:sz w:val="21"/>
                      <w:szCs w:val="21"/>
                    </w:rPr>
                  </w:pPr>
                </w:p>
              </w:tc>
              <w:tc>
                <w:tcPr>
                  <w:tcW w:w="627" w:type="dxa"/>
                  <w:vMerge w:val="continue"/>
                  <w:noWrap w:val="0"/>
                  <w:vAlign w:val="center"/>
                </w:tcPr>
                <w:p w14:paraId="2F5B75CB">
                  <w:pPr>
                    <w:spacing w:line="240" w:lineRule="auto"/>
                    <w:ind w:firstLine="0" w:firstLineChars="0"/>
                    <w:jc w:val="center"/>
                    <w:rPr>
                      <w:color w:val="auto"/>
                      <w:sz w:val="21"/>
                      <w:szCs w:val="21"/>
                    </w:rPr>
                  </w:pPr>
                </w:p>
              </w:tc>
              <w:tc>
                <w:tcPr>
                  <w:tcW w:w="0" w:type="auto"/>
                  <w:noWrap w:val="0"/>
                  <w:vAlign w:val="center"/>
                </w:tcPr>
                <w:p w14:paraId="5F3C905E">
                  <w:pPr>
                    <w:widowControl/>
                    <w:spacing w:line="240" w:lineRule="auto"/>
                    <w:ind w:firstLine="0" w:firstLineChars="0"/>
                    <w:jc w:val="center"/>
                    <w:textAlignment w:val="center"/>
                    <w:rPr>
                      <w:color w:val="auto"/>
                      <w:sz w:val="21"/>
                      <w:szCs w:val="21"/>
                      <w:lang w:bidi="ar"/>
                    </w:rPr>
                  </w:pPr>
                  <w:r>
                    <w:rPr>
                      <w:rStyle w:val="57"/>
                      <w:rFonts w:hint="default" w:ascii="Times New Roman" w:hAnsi="Times New Roman" w:cs="Times New Roman"/>
                      <w:color w:val="auto"/>
                      <w:lang w:bidi="ar"/>
                    </w:rPr>
                    <w:t>总氮（TN）</w:t>
                  </w:r>
                </w:p>
              </w:tc>
              <w:tc>
                <w:tcPr>
                  <w:tcW w:w="0" w:type="auto"/>
                  <w:noWrap w:val="0"/>
                  <w:vAlign w:val="center"/>
                </w:tcPr>
                <w:p w14:paraId="452548EC">
                  <w:pPr>
                    <w:widowControl/>
                    <w:spacing w:line="240" w:lineRule="auto"/>
                    <w:ind w:firstLine="0" w:firstLineChars="0"/>
                    <w:jc w:val="center"/>
                    <w:textAlignment w:val="center"/>
                    <w:rPr>
                      <w:color w:val="auto"/>
                      <w:kern w:val="0"/>
                      <w:sz w:val="21"/>
                      <w:szCs w:val="18"/>
                      <w:lang w:bidi="ar"/>
                    </w:rPr>
                  </w:pPr>
                  <w:r>
                    <w:rPr>
                      <w:color w:val="auto"/>
                      <w:kern w:val="0"/>
                      <w:sz w:val="21"/>
                      <w:szCs w:val="18"/>
                      <w:lang w:bidi="ar"/>
                    </w:rPr>
                    <w:t>50</w:t>
                  </w:r>
                </w:p>
              </w:tc>
              <w:tc>
                <w:tcPr>
                  <w:tcW w:w="1049" w:type="dxa"/>
                  <w:vMerge w:val="continue"/>
                  <w:noWrap w:val="0"/>
                  <w:vAlign w:val="center"/>
                </w:tcPr>
                <w:p w14:paraId="6C45EA01">
                  <w:pPr>
                    <w:spacing w:line="240" w:lineRule="auto"/>
                    <w:ind w:firstLine="0" w:firstLineChars="0"/>
                    <w:jc w:val="center"/>
                    <w:rPr>
                      <w:color w:val="auto"/>
                      <w:sz w:val="21"/>
                      <w:szCs w:val="21"/>
                    </w:rPr>
                  </w:pPr>
                </w:p>
              </w:tc>
              <w:tc>
                <w:tcPr>
                  <w:tcW w:w="1775" w:type="dxa"/>
                  <w:noWrap w:val="0"/>
                  <w:vAlign w:val="center"/>
                </w:tcPr>
                <w:p w14:paraId="4ADA7568">
                  <w:pPr>
                    <w:widowControl/>
                    <w:spacing w:line="240" w:lineRule="auto"/>
                    <w:ind w:firstLine="0" w:firstLineChars="0"/>
                    <w:jc w:val="center"/>
                    <w:textAlignment w:val="center"/>
                    <w:rPr>
                      <w:color w:val="auto"/>
                      <w:sz w:val="21"/>
                      <w:szCs w:val="21"/>
                      <w:lang w:bidi="ar"/>
                    </w:rPr>
                  </w:pPr>
                  <w:r>
                    <w:rPr>
                      <w:rStyle w:val="57"/>
                      <w:rFonts w:hint="default" w:ascii="Times New Roman" w:hAnsi="Times New Roman" w:cs="Times New Roman"/>
                      <w:color w:val="auto"/>
                      <w:lang w:bidi="ar"/>
                    </w:rPr>
                    <w:t>总氮（TN）</w:t>
                  </w:r>
                </w:p>
              </w:tc>
              <w:tc>
                <w:tcPr>
                  <w:tcW w:w="1491" w:type="dxa"/>
                  <w:noWrap w:val="0"/>
                  <w:vAlign w:val="center"/>
                </w:tcPr>
                <w:p w14:paraId="7C4C3A5E">
                  <w:pPr>
                    <w:spacing w:line="240" w:lineRule="auto"/>
                    <w:ind w:firstLine="0" w:firstLineChars="0"/>
                    <w:jc w:val="center"/>
                    <w:rPr>
                      <w:color w:val="auto"/>
                      <w:sz w:val="21"/>
                      <w:szCs w:val="21"/>
                    </w:rPr>
                  </w:pPr>
                  <w:r>
                    <w:rPr>
                      <w:color w:val="auto"/>
                      <w:sz w:val="21"/>
                      <w:szCs w:val="21"/>
                    </w:rPr>
                    <w:t>年/次</w:t>
                  </w:r>
                </w:p>
              </w:tc>
            </w:tr>
          </w:tbl>
          <w:p w14:paraId="2F572BD7">
            <w:pPr>
              <w:ind w:firstLine="0" w:firstLineChars="0"/>
              <w:rPr>
                <w:color w:val="auto"/>
              </w:rPr>
            </w:pPr>
          </w:p>
        </w:tc>
      </w:tr>
    </w:tbl>
    <w:p w14:paraId="31216823">
      <w:pPr>
        <w:ind w:firstLine="0" w:firstLineChars="0"/>
        <w:rPr>
          <w:rFonts w:hint="eastAsia"/>
          <w:color w:val="auto"/>
        </w:rPr>
        <w:sectPr>
          <w:pgSz w:w="16838" w:h="11905" w:orient="landscape"/>
          <w:pgMar w:top="1531" w:right="850" w:bottom="1531" w:left="850" w:header="851" w:footer="850" w:gutter="0"/>
          <w:pgNumType w:fmt="decimal"/>
          <w:cols w:space="720" w:num="1"/>
          <w:docGrid w:type="linesAndChars" w:linePitch="312" w:charSpace="0"/>
        </w:sectPr>
      </w:pPr>
    </w:p>
    <w:tbl>
      <w:tblPr>
        <w:tblStyle w:val="23"/>
        <w:tblW w:w="9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8540"/>
      </w:tblGrid>
      <w:tr w14:paraId="71869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trPr>
        <w:tc>
          <w:tcPr>
            <w:tcW w:w="579" w:type="dxa"/>
            <w:noWrap w:val="0"/>
            <w:vAlign w:val="top"/>
          </w:tcPr>
          <w:p w14:paraId="25CCFDA6">
            <w:pPr>
              <w:ind w:firstLine="480"/>
              <w:rPr>
                <w:rFonts w:hint="eastAsia"/>
                <w:color w:val="auto"/>
              </w:rPr>
            </w:pPr>
          </w:p>
        </w:tc>
        <w:tc>
          <w:tcPr>
            <w:tcW w:w="8540" w:type="dxa"/>
            <w:noWrap w:val="0"/>
            <w:vAlign w:val="top"/>
          </w:tcPr>
          <w:p w14:paraId="667673FF">
            <w:pPr>
              <w:ind w:firstLine="480"/>
              <w:rPr>
                <w:rFonts w:hint="eastAsia"/>
                <w:b/>
                <w:bCs/>
                <w:color w:val="auto"/>
                <w:szCs w:val="21"/>
              </w:rPr>
            </w:pPr>
            <w:r>
              <w:rPr>
                <w:rFonts w:hint="eastAsia"/>
                <w:b/>
                <w:bCs/>
                <w:color w:val="auto"/>
                <w:szCs w:val="21"/>
              </w:rPr>
              <w:t>地表水环境影响分析：</w:t>
            </w:r>
          </w:p>
          <w:p w14:paraId="186B4AFA">
            <w:pPr>
              <w:ind w:firstLine="480"/>
              <w:rPr>
                <w:rFonts w:hint="eastAsia"/>
                <w:b/>
                <w:bCs/>
                <w:color w:val="auto"/>
                <w:szCs w:val="21"/>
              </w:rPr>
            </w:pPr>
            <w:r>
              <w:rPr>
                <w:rFonts w:hint="eastAsia"/>
                <w:b/>
                <w:bCs/>
                <w:color w:val="auto"/>
                <w:szCs w:val="21"/>
              </w:rPr>
              <w:t>1）废水处理措施可行性分析</w:t>
            </w:r>
          </w:p>
          <w:p w14:paraId="528D448C">
            <w:pPr>
              <w:ind w:firstLine="480"/>
              <w:rPr>
                <w:rFonts w:hint="eastAsia"/>
                <w:color w:val="auto"/>
                <w:szCs w:val="21"/>
              </w:rPr>
            </w:pPr>
            <w:r>
              <w:rPr>
                <w:rFonts w:hint="eastAsia"/>
                <w:color w:val="auto"/>
                <w:szCs w:val="21"/>
              </w:rPr>
              <w:t>根据表</w:t>
            </w:r>
            <w:r>
              <w:rPr>
                <w:rFonts w:hint="eastAsia"/>
                <w:color w:val="auto"/>
                <w:szCs w:val="21"/>
                <w:lang w:val="en-US" w:eastAsia="zh-CN"/>
              </w:rPr>
              <w:t>4-7</w:t>
            </w:r>
            <w:r>
              <w:rPr>
                <w:rFonts w:hint="eastAsia"/>
                <w:color w:val="auto"/>
                <w:szCs w:val="21"/>
              </w:rPr>
              <w:t>废水污染物源强、治理措施、污染物去除效率及废水排放计算结果，本项目处理后废水污染物浓度能够满足</w:t>
            </w:r>
            <w:r>
              <w:rPr>
                <w:rFonts w:hint="eastAsia"/>
                <w:color w:val="auto"/>
                <w:szCs w:val="21"/>
                <w:lang w:eastAsia="zh-CN"/>
              </w:rPr>
              <w:t>淮北龙湖污水处理厂</w:t>
            </w:r>
            <w:r>
              <w:rPr>
                <w:rFonts w:hint="eastAsia"/>
                <w:color w:val="auto"/>
                <w:szCs w:val="21"/>
              </w:rPr>
              <w:t>接管限值及《污水综合排放标准》（GB8978-1996）表4中三级标准要求，因此本项目废水处理措施可行。</w:t>
            </w:r>
          </w:p>
          <w:p w14:paraId="6B62B342">
            <w:pPr>
              <w:ind w:firstLine="480"/>
              <w:rPr>
                <w:rFonts w:hint="eastAsia"/>
                <w:color w:val="auto"/>
                <w:szCs w:val="21"/>
              </w:rPr>
            </w:pPr>
            <w:r>
              <w:rPr>
                <w:rFonts w:hint="eastAsia"/>
                <w:color w:val="auto"/>
                <w:szCs w:val="21"/>
              </w:rPr>
              <w:t>2）接管可行性分析：</w:t>
            </w:r>
          </w:p>
          <w:p w14:paraId="33B58368">
            <w:pPr>
              <w:ind w:firstLine="480"/>
              <w:rPr>
                <w:rFonts w:hint="eastAsia"/>
                <w:color w:val="auto"/>
                <w:szCs w:val="21"/>
              </w:rPr>
            </w:pPr>
            <w:r>
              <w:rPr>
                <w:rFonts w:hint="eastAsia"/>
                <w:color w:val="auto"/>
                <w:szCs w:val="21"/>
                <w:lang w:eastAsia="zh-CN"/>
              </w:rPr>
              <w:t>淮北龙湖污水处理厂</w:t>
            </w:r>
            <w:r>
              <w:rPr>
                <w:rFonts w:hint="eastAsia"/>
                <w:color w:val="auto"/>
                <w:szCs w:val="21"/>
              </w:rPr>
              <w:t>于2018年建设，设计处理规模为40000m</w:t>
            </w:r>
            <w:r>
              <w:rPr>
                <w:rFonts w:hint="eastAsia"/>
                <w:color w:val="auto"/>
                <w:szCs w:val="21"/>
                <w:vertAlign w:val="superscript"/>
              </w:rPr>
              <w:t>3</w:t>
            </w:r>
            <w:r>
              <w:rPr>
                <w:rFonts w:hint="eastAsia"/>
                <w:color w:val="auto"/>
                <w:szCs w:val="21"/>
              </w:rPr>
              <w:t>/d（一期处理规模20000m</w:t>
            </w:r>
            <w:r>
              <w:rPr>
                <w:rFonts w:hint="eastAsia"/>
                <w:color w:val="auto"/>
                <w:szCs w:val="21"/>
                <w:vertAlign w:val="superscript"/>
              </w:rPr>
              <w:t>3</w:t>
            </w:r>
            <w:r>
              <w:rPr>
                <w:rFonts w:hint="eastAsia"/>
                <w:color w:val="auto"/>
                <w:szCs w:val="21"/>
              </w:rPr>
              <w:t>/d，二期处理规模20000m</w:t>
            </w:r>
            <w:r>
              <w:rPr>
                <w:rFonts w:hint="eastAsia"/>
                <w:color w:val="auto"/>
                <w:szCs w:val="21"/>
                <w:vertAlign w:val="superscript"/>
              </w:rPr>
              <w:t>3</w:t>
            </w:r>
            <w:r>
              <w:rPr>
                <w:rFonts w:hint="eastAsia"/>
                <w:color w:val="auto"/>
                <w:szCs w:val="21"/>
              </w:rPr>
              <w:t>/d），其中一期已建设完成。采用奥贝尔氧化沟+絮凝沉淀深度处理工艺，设计出水达到《城镇污水处理厂污染物排放标准》（GB18918-2002）中一级A标准，出水排入龙河。</w:t>
            </w:r>
          </w:p>
          <w:p w14:paraId="3F5CCF8B">
            <w:pPr>
              <w:ind w:firstLine="480"/>
              <w:rPr>
                <w:rFonts w:hint="eastAsia"/>
                <w:color w:val="auto"/>
                <w:szCs w:val="21"/>
              </w:rPr>
            </w:pPr>
            <w:r>
              <w:rPr>
                <w:rFonts w:hint="eastAsia"/>
                <w:color w:val="auto"/>
                <w:szCs w:val="21"/>
              </w:rPr>
              <w:fldChar w:fldCharType="begin" w:fldLock="1"/>
            </w:r>
            <w:r>
              <w:rPr>
                <w:rFonts w:hint="eastAsia"/>
                <w:color w:val="auto"/>
                <w:szCs w:val="21"/>
              </w:rPr>
              <w:instrText xml:space="preserve"> INCLUDEPICTURE "E:\\环评资料\\审核\\0426相泰汽车轻量化铝合金底盘零部件项目\\Documents\\tencent files\\282167095\\FileRecv\\AppData\\Local\\Temp\\baiduyunguanjia\\Documents%20and%20Settings\\Administrator\\Application%20Data\\linghui\\AppData\\Roaming\\Tencent\\Users\\272028720\\QQ\\WinTemp\\RichOle\\LM714S$GIQ$3BW%25@A$B__@L.png" \* MERGEFORMAT \d </w:instrText>
            </w:r>
            <w:r>
              <w:rPr>
                <w:rFonts w:hint="eastAsia"/>
                <w:color w:val="auto"/>
                <w:szCs w:val="21"/>
              </w:rPr>
              <w:fldChar w:fldCharType="separate"/>
            </w:r>
            <w:r>
              <w:rPr>
                <w:rFonts w:hint="eastAsia"/>
                <w:color w:val="auto"/>
                <w:szCs w:val="21"/>
              </w:rPr>
              <w:drawing>
                <wp:inline distT="0" distB="0" distL="114300" distR="114300">
                  <wp:extent cx="5011420" cy="2878455"/>
                  <wp:effectExtent l="0" t="0" r="17780" b="17145"/>
                  <wp:docPr id="5"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descr="IMG_256"/>
                          <pic:cNvPicPr>
                            <a:picLocks noChangeAspect="1"/>
                          </pic:cNvPicPr>
                        </pic:nvPicPr>
                        <pic:blipFill>
                          <a:blip r:embed="rId20"/>
                          <a:srcRect r="9047"/>
                          <a:stretch>
                            <a:fillRect/>
                          </a:stretch>
                        </pic:blipFill>
                        <pic:spPr>
                          <a:xfrm>
                            <a:off x="0" y="0"/>
                            <a:ext cx="5011420" cy="2878455"/>
                          </a:xfrm>
                          <a:prstGeom prst="rect">
                            <a:avLst/>
                          </a:prstGeom>
                          <a:noFill/>
                          <a:ln>
                            <a:noFill/>
                          </a:ln>
                        </pic:spPr>
                      </pic:pic>
                    </a:graphicData>
                  </a:graphic>
                </wp:inline>
              </w:drawing>
            </w:r>
            <w:r>
              <w:rPr>
                <w:rFonts w:hint="eastAsia"/>
                <w:color w:val="auto"/>
                <w:szCs w:val="21"/>
              </w:rPr>
              <w:fldChar w:fldCharType="end"/>
            </w:r>
          </w:p>
          <w:p w14:paraId="2D7255DE">
            <w:pPr>
              <w:jc w:val="center"/>
              <w:rPr>
                <w:rFonts w:hint="eastAsia"/>
                <w:b/>
                <w:bCs/>
                <w:color w:val="auto"/>
                <w:szCs w:val="21"/>
              </w:rPr>
            </w:pPr>
            <w:r>
              <w:rPr>
                <w:rFonts w:hint="eastAsia"/>
                <w:b/>
                <w:bCs/>
                <w:color w:val="auto"/>
                <w:szCs w:val="21"/>
              </w:rPr>
              <w:t>图</w:t>
            </w:r>
            <w:r>
              <w:rPr>
                <w:rFonts w:hint="eastAsia"/>
                <w:b/>
                <w:bCs/>
                <w:color w:val="auto"/>
                <w:szCs w:val="21"/>
                <w:lang w:val="en-US" w:eastAsia="zh-CN"/>
              </w:rPr>
              <w:t>4-1</w:t>
            </w:r>
            <w:r>
              <w:rPr>
                <w:rFonts w:hint="eastAsia"/>
                <w:b/>
                <w:bCs/>
                <w:color w:val="auto"/>
                <w:szCs w:val="21"/>
              </w:rPr>
              <w:t xml:space="preserve"> </w:t>
            </w:r>
            <w:r>
              <w:rPr>
                <w:rFonts w:hint="eastAsia"/>
                <w:b/>
                <w:bCs/>
                <w:color w:val="auto"/>
                <w:szCs w:val="21"/>
                <w:lang w:eastAsia="zh-CN"/>
              </w:rPr>
              <w:t>淮北龙湖污水处理厂</w:t>
            </w:r>
            <w:r>
              <w:rPr>
                <w:rFonts w:hint="eastAsia"/>
                <w:b/>
                <w:bCs/>
                <w:color w:val="auto"/>
                <w:szCs w:val="21"/>
              </w:rPr>
              <w:t>处理工艺流程图</w:t>
            </w:r>
          </w:p>
          <w:p w14:paraId="53CF5529">
            <w:pPr>
              <w:ind w:firstLine="480"/>
              <w:rPr>
                <w:rFonts w:hint="eastAsia"/>
                <w:color w:val="auto"/>
                <w:szCs w:val="21"/>
              </w:rPr>
            </w:pPr>
            <w:r>
              <w:rPr>
                <w:rFonts w:hint="eastAsia"/>
                <w:color w:val="auto"/>
                <w:szCs w:val="21"/>
              </w:rPr>
              <w:t>本项目</w:t>
            </w:r>
            <w:r>
              <w:rPr>
                <w:rFonts w:hint="eastAsia"/>
                <w:color w:val="auto"/>
                <w:szCs w:val="21"/>
                <w:lang w:val="zh-CN"/>
              </w:rPr>
              <w:t>所在地属于淮北龙湖污水处理厂收水范围，废水经预处理后</w:t>
            </w:r>
            <w:r>
              <w:rPr>
                <w:rFonts w:hint="eastAsia"/>
                <w:color w:val="auto"/>
                <w:szCs w:val="21"/>
              </w:rPr>
              <w:t>满足</w:t>
            </w:r>
            <w:r>
              <w:rPr>
                <w:rFonts w:hint="eastAsia"/>
                <w:color w:val="auto"/>
                <w:szCs w:val="21"/>
                <w:lang w:eastAsia="zh-CN"/>
              </w:rPr>
              <w:t>淮北龙湖污水处理厂</w:t>
            </w:r>
            <w:r>
              <w:rPr>
                <w:rFonts w:hint="eastAsia"/>
                <w:color w:val="auto"/>
                <w:szCs w:val="21"/>
              </w:rPr>
              <w:t>接管限值要求，本项目废水量为</w:t>
            </w:r>
            <w:r>
              <w:rPr>
                <w:rFonts w:hint="eastAsia"/>
                <w:color w:val="auto"/>
                <w:szCs w:val="21"/>
                <w:lang w:val="en-US" w:eastAsia="zh-CN"/>
              </w:rPr>
              <w:t>6.943</w:t>
            </w:r>
            <w:r>
              <w:rPr>
                <w:rFonts w:hint="eastAsia"/>
                <w:color w:val="auto"/>
                <w:szCs w:val="21"/>
              </w:rPr>
              <w:t>t/d，</w:t>
            </w:r>
            <w:r>
              <w:rPr>
                <w:rFonts w:hint="eastAsia"/>
                <w:color w:val="auto"/>
                <w:szCs w:val="21"/>
                <w:lang w:eastAsia="zh-CN"/>
              </w:rPr>
              <w:t>淮北龙湖污水处理厂</w:t>
            </w:r>
            <w:r>
              <w:rPr>
                <w:rFonts w:hint="eastAsia"/>
                <w:color w:val="auto"/>
                <w:szCs w:val="21"/>
              </w:rPr>
              <w:t>一期实际接纳污水量约20000m</w:t>
            </w:r>
            <w:r>
              <w:rPr>
                <w:rFonts w:hint="eastAsia"/>
                <w:color w:val="auto"/>
                <w:szCs w:val="21"/>
                <w:vertAlign w:val="superscript"/>
              </w:rPr>
              <w:t>3</w:t>
            </w:r>
            <w:r>
              <w:rPr>
                <w:rFonts w:hint="eastAsia"/>
                <w:color w:val="auto"/>
                <w:szCs w:val="21"/>
              </w:rPr>
              <w:t>/d，则废水进入</w:t>
            </w:r>
            <w:r>
              <w:rPr>
                <w:rFonts w:hint="eastAsia"/>
                <w:color w:val="auto"/>
                <w:szCs w:val="21"/>
                <w:lang w:eastAsia="zh-CN"/>
              </w:rPr>
              <w:t>淮北龙湖污水处理厂</w:t>
            </w:r>
            <w:r>
              <w:rPr>
                <w:rFonts w:hint="eastAsia"/>
                <w:color w:val="auto"/>
                <w:szCs w:val="21"/>
              </w:rPr>
              <w:t>处理可行。</w:t>
            </w:r>
          </w:p>
          <w:p w14:paraId="33275916">
            <w:pPr>
              <w:ind w:firstLine="480"/>
              <w:rPr>
                <w:rFonts w:hint="eastAsia"/>
                <w:color w:val="auto"/>
                <w:szCs w:val="21"/>
              </w:rPr>
            </w:pPr>
            <w:r>
              <w:rPr>
                <w:rFonts w:hint="eastAsia"/>
                <w:color w:val="auto"/>
                <w:szCs w:val="21"/>
              </w:rPr>
              <w:t>本项目排放的污水满足</w:t>
            </w:r>
            <w:r>
              <w:rPr>
                <w:rFonts w:hint="eastAsia"/>
                <w:color w:val="auto"/>
                <w:szCs w:val="21"/>
                <w:lang w:eastAsia="zh-CN"/>
              </w:rPr>
              <w:t>淮北龙湖污水处理厂</w:t>
            </w:r>
            <w:r>
              <w:rPr>
                <w:rFonts w:hint="eastAsia"/>
                <w:color w:val="auto"/>
                <w:szCs w:val="21"/>
              </w:rPr>
              <w:t>的进水水质及水量的要求，不会对</w:t>
            </w:r>
            <w:r>
              <w:rPr>
                <w:rFonts w:hint="eastAsia"/>
                <w:color w:val="auto"/>
                <w:szCs w:val="21"/>
                <w:lang w:eastAsia="zh-CN"/>
              </w:rPr>
              <w:t>淮北龙湖污水处理厂</w:t>
            </w:r>
            <w:r>
              <w:rPr>
                <w:rFonts w:hint="eastAsia"/>
                <w:color w:val="auto"/>
                <w:szCs w:val="21"/>
              </w:rPr>
              <w:t>造成冲击影响，</w:t>
            </w:r>
            <w:r>
              <w:rPr>
                <w:rFonts w:hint="eastAsia"/>
                <w:color w:val="auto"/>
                <w:szCs w:val="21"/>
                <w:lang w:val="en-GB"/>
              </w:rPr>
              <w:t>因此本项目排水方式可行。项目污水经采取合理措施后对地表水环境影响很小，不会降低项目所在区域水环境现有功能。</w:t>
            </w:r>
          </w:p>
          <w:p w14:paraId="22B63B46">
            <w:pPr>
              <w:numPr>
                <w:ilvl w:val="0"/>
                <w:numId w:val="8"/>
              </w:numPr>
              <w:ind w:firstLine="0" w:firstLineChars="0"/>
              <w:rPr>
                <w:b/>
                <w:bCs/>
                <w:color w:val="auto"/>
                <w:szCs w:val="21"/>
              </w:rPr>
            </w:pPr>
            <w:r>
              <w:rPr>
                <w:rFonts w:hint="eastAsia"/>
                <w:b/>
                <w:bCs/>
                <w:color w:val="auto"/>
                <w:szCs w:val="21"/>
              </w:rPr>
              <w:t>噪声</w:t>
            </w:r>
          </w:p>
          <w:p w14:paraId="40311765">
            <w:pPr>
              <w:ind w:firstLine="482"/>
              <w:rPr>
                <w:rFonts w:hint="eastAsia"/>
                <w:b/>
                <w:bCs/>
                <w:color w:val="auto"/>
                <w:szCs w:val="21"/>
              </w:rPr>
            </w:pPr>
            <w:r>
              <w:rPr>
                <w:rFonts w:hint="eastAsia" w:ascii="宋体" w:hAnsi="宋体" w:cs="宋体"/>
                <w:b/>
                <w:bCs/>
                <w:color w:val="auto"/>
                <w:szCs w:val="21"/>
              </w:rPr>
              <w:t>①</w:t>
            </w:r>
            <w:r>
              <w:rPr>
                <w:rFonts w:hint="eastAsia"/>
                <w:b/>
                <w:bCs/>
                <w:color w:val="auto"/>
                <w:szCs w:val="21"/>
              </w:rPr>
              <w:t>噪声源强</w:t>
            </w:r>
          </w:p>
          <w:p w14:paraId="0008568B">
            <w:pPr>
              <w:ind w:firstLine="480"/>
              <w:rPr>
                <w:rFonts w:hint="eastAsia"/>
                <w:color w:val="auto"/>
                <w:kern w:val="0"/>
                <w:szCs w:val="20"/>
              </w:rPr>
            </w:pPr>
            <w:r>
              <w:rPr>
                <w:rFonts w:hint="eastAsia"/>
                <w:color w:val="auto"/>
              </w:rPr>
              <w:t>本项目</w:t>
            </w:r>
            <w:r>
              <w:rPr>
                <w:color w:val="auto"/>
              </w:rPr>
              <w:t>主要的噪声源为生产设备运行时的噪声，噪声</w:t>
            </w:r>
            <w:r>
              <w:rPr>
                <w:rFonts w:hint="eastAsia"/>
                <w:color w:val="auto"/>
              </w:rPr>
              <w:t>源强</w:t>
            </w:r>
            <w:r>
              <w:rPr>
                <w:color w:val="auto"/>
              </w:rPr>
              <w:t>约</w:t>
            </w:r>
            <w:r>
              <w:rPr>
                <w:rFonts w:hint="eastAsia"/>
                <w:color w:val="auto"/>
                <w:lang w:val="en-US" w:eastAsia="zh-CN"/>
              </w:rPr>
              <w:t>80~85</w:t>
            </w:r>
            <w:r>
              <w:rPr>
                <w:color w:val="auto"/>
              </w:rPr>
              <w:t>dB（A）。</w:t>
            </w:r>
            <w:r>
              <w:rPr>
                <w:color w:val="auto"/>
                <w:kern w:val="0"/>
                <w:szCs w:val="20"/>
              </w:rPr>
              <w:t>本项目主要噪声设备及其</w:t>
            </w:r>
            <w:r>
              <w:rPr>
                <w:rFonts w:hint="eastAsia"/>
                <w:color w:val="auto"/>
                <w:kern w:val="0"/>
                <w:szCs w:val="20"/>
              </w:rPr>
              <w:t>源强见下</w:t>
            </w:r>
            <w:r>
              <w:rPr>
                <w:color w:val="auto"/>
                <w:kern w:val="0"/>
                <w:szCs w:val="20"/>
              </w:rPr>
              <w:t>表</w:t>
            </w:r>
            <w:r>
              <w:rPr>
                <w:rFonts w:hint="eastAsia"/>
                <w:color w:val="auto"/>
                <w:kern w:val="0"/>
                <w:szCs w:val="20"/>
              </w:rPr>
              <w:t>。</w:t>
            </w:r>
          </w:p>
          <w:p w14:paraId="5657B005">
            <w:pPr>
              <w:jc w:val="center"/>
              <w:rPr>
                <w:rFonts w:hint="default" w:ascii="Times New Roman" w:hAnsi="Times New Roman" w:cs="Times New Roman"/>
                <w:b/>
                <w:bCs/>
                <w:color w:val="auto"/>
                <w:kern w:val="0"/>
                <w:szCs w:val="20"/>
              </w:rPr>
            </w:pPr>
            <w:r>
              <w:rPr>
                <w:rFonts w:hint="eastAsia"/>
                <w:b/>
                <w:bCs/>
                <w:color w:val="auto"/>
                <w:kern w:val="0"/>
                <w:szCs w:val="20"/>
              </w:rPr>
              <w:t>表</w:t>
            </w:r>
            <w:r>
              <w:rPr>
                <w:rFonts w:hint="eastAsia"/>
                <w:b/>
                <w:bCs/>
                <w:color w:val="auto"/>
                <w:szCs w:val="21"/>
                <w:lang w:val="en-US" w:eastAsia="zh-CN"/>
              </w:rPr>
              <w:t>4-9</w:t>
            </w:r>
            <w:r>
              <w:rPr>
                <w:rFonts w:hint="eastAsia"/>
                <w:b/>
                <w:bCs/>
                <w:color w:val="auto"/>
                <w:kern w:val="0"/>
                <w:szCs w:val="20"/>
              </w:rPr>
              <w:t xml:space="preserve"> </w:t>
            </w:r>
            <w:r>
              <w:rPr>
                <w:rFonts w:hint="default" w:ascii="Times New Roman" w:hAnsi="Times New Roman" w:cs="Times New Roman"/>
                <w:b/>
                <w:bCs/>
                <w:color w:val="auto"/>
                <w:kern w:val="0"/>
                <w:szCs w:val="20"/>
              </w:rPr>
              <w:t>项目主要噪声源强一览表（室内声源）</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565"/>
              <w:gridCol w:w="1076"/>
              <w:gridCol w:w="761"/>
              <w:gridCol w:w="636"/>
              <w:gridCol w:w="481"/>
              <w:gridCol w:w="481"/>
              <w:gridCol w:w="479"/>
              <w:gridCol w:w="556"/>
              <w:gridCol w:w="586"/>
              <w:gridCol w:w="434"/>
              <w:gridCol w:w="656"/>
              <w:gridCol w:w="540"/>
              <w:gridCol w:w="579"/>
            </w:tblGrid>
            <w:tr w14:paraId="613C3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Merge w:val="restart"/>
                  <w:noWrap w:val="0"/>
                  <w:vAlign w:val="center"/>
                </w:tcPr>
                <w:p w14:paraId="3ACB19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16"/>
                    </w:rPr>
                  </w:pPr>
                  <w:r>
                    <w:rPr>
                      <w:rFonts w:hint="default" w:ascii="Times New Roman" w:hAnsi="Times New Roman" w:cs="Times New Roman"/>
                      <w:b/>
                      <w:bCs/>
                      <w:color w:val="auto"/>
                      <w:kern w:val="0"/>
                      <w:sz w:val="21"/>
                      <w:szCs w:val="16"/>
                    </w:rPr>
                    <w:t>序号</w:t>
                  </w:r>
                </w:p>
              </w:tc>
              <w:tc>
                <w:tcPr>
                  <w:tcW w:w="565" w:type="dxa"/>
                  <w:vMerge w:val="restart"/>
                  <w:noWrap w:val="0"/>
                  <w:vAlign w:val="center"/>
                </w:tcPr>
                <w:p w14:paraId="3F05FF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16"/>
                    </w:rPr>
                  </w:pPr>
                  <w:r>
                    <w:rPr>
                      <w:rFonts w:hint="default" w:ascii="Times New Roman" w:hAnsi="Times New Roman" w:cs="Times New Roman"/>
                      <w:b/>
                      <w:bCs/>
                      <w:color w:val="auto"/>
                      <w:kern w:val="0"/>
                      <w:sz w:val="21"/>
                      <w:szCs w:val="16"/>
                    </w:rPr>
                    <w:t>建筑物名称</w:t>
                  </w:r>
                </w:p>
              </w:tc>
              <w:tc>
                <w:tcPr>
                  <w:tcW w:w="1076" w:type="dxa"/>
                  <w:vMerge w:val="restart"/>
                  <w:noWrap w:val="0"/>
                  <w:vAlign w:val="center"/>
                </w:tcPr>
                <w:p w14:paraId="1D576B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16"/>
                    </w:rPr>
                  </w:pPr>
                  <w:r>
                    <w:rPr>
                      <w:rFonts w:hint="default" w:ascii="Times New Roman" w:hAnsi="Times New Roman" w:cs="Times New Roman"/>
                      <w:b/>
                      <w:bCs/>
                      <w:color w:val="auto"/>
                      <w:kern w:val="0"/>
                      <w:sz w:val="21"/>
                      <w:szCs w:val="16"/>
                    </w:rPr>
                    <w:t>声源名称</w:t>
                  </w:r>
                </w:p>
              </w:tc>
              <w:tc>
                <w:tcPr>
                  <w:tcW w:w="761" w:type="dxa"/>
                  <w:vMerge w:val="restart"/>
                  <w:noWrap w:val="0"/>
                  <w:vAlign w:val="center"/>
                </w:tcPr>
                <w:p w14:paraId="3EE13C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16"/>
                    </w:rPr>
                  </w:pPr>
                  <w:r>
                    <w:rPr>
                      <w:rFonts w:hint="default" w:ascii="Times New Roman" w:hAnsi="Times New Roman" w:cs="Times New Roman"/>
                      <w:b/>
                      <w:bCs/>
                      <w:color w:val="auto"/>
                      <w:kern w:val="0"/>
                      <w:sz w:val="21"/>
                      <w:szCs w:val="16"/>
                    </w:rPr>
                    <w:t>声源源强</w:t>
                  </w:r>
                </w:p>
              </w:tc>
              <w:tc>
                <w:tcPr>
                  <w:tcW w:w="636" w:type="dxa"/>
                  <w:vMerge w:val="restart"/>
                  <w:noWrap w:val="0"/>
                  <w:vAlign w:val="center"/>
                </w:tcPr>
                <w:p w14:paraId="12CB90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16"/>
                    </w:rPr>
                  </w:pPr>
                  <w:r>
                    <w:rPr>
                      <w:rFonts w:hint="default" w:ascii="Times New Roman" w:hAnsi="Times New Roman" w:cs="Times New Roman"/>
                      <w:b/>
                      <w:bCs/>
                      <w:color w:val="auto"/>
                      <w:kern w:val="0"/>
                      <w:sz w:val="21"/>
                      <w:szCs w:val="16"/>
                    </w:rPr>
                    <w:t>声源控制措施</w:t>
                  </w:r>
                </w:p>
              </w:tc>
              <w:tc>
                <w:tcPr>
                  <w:tcW w:w="1441" w:type="dxa"/>
                  <w:gridSpan w:val="3"/>
                  <w:noWrap w:val="0"/>
                  <w:vAlign w:val="center"/>
                </w:tcPr>
                <w:p w14:paraId="1492A6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16"/>
                    </w:rPr>
                  </w:pPr>
                  <w:r>
                    <w:rPr>
                      <w:rFonts w:hint="default" w:ascii="Times New Roman" w:hAnsi="Times New Roman" w:cs="Times New Roman"/>
                      <w:b/>
                      <w:bCs/>
                      <w:color w:val="auto"/>
                      <w:kern w:val="0"/>
                      <w:sz w:val="21"/>
                      <w:szCs w:val="16"/>
                    </w:rPr>
                    <w:t>空间相对位置</w:t>
                  </w:r>
                </w:p>
              </w:tc>
              <w:tc>
                <w:tcPr>
                  <w:tcW w:w="556" w:type="dxa"/>
                  <w:vMerge w:val="restart"/>
                  <w:noWrap w:val="0"/>
                  <w:vAlign w:val="center"/>
                </w:tcPr>
                <w:p w14:paraId="1CA874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16"/>
                    </w:rPr>
                  </w:pPr>
                  <w:r>
                    <w:rPr>
                      <w:rFonts w:hint="default" w:ascii="Times New Roman" w:hAnsi="Times New Roman" w:cs="Times New Roman"/>
                      <w:b/>
                      <w:bCs/>
                      <w:color w:val="auto"/>
                      <w:kern w:val="0"/>
                      <w:sz w:val="21"/>
                      <w:szCs w:val="16"/>
                    </w:rPr>
                    <w:t>距室内边界距离</w:t>
                  </w:r>
                </w:p>
              </w:tc>
              <w:tc>
                <w:tcPr>
                  <w:tcW w:w="586" w:type="dxa"/>
                  <w:vMerge w:val="restart"/>
                  <w:noWrap w:val="0"/>
                  <w:vAlign w:val="center"/>
                </w:tcPr>
                <w:p w14:paraId="6C7FA1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16"/>
                    </w:rPr>
                  </w:pPr>
                  <w:r>
                    <w:rPr>
                      <w:rFonts w:hint="default" w:ascii="Times New Roman" w:hAnsi="Times New Roman" w:cs="Times New Roman"/>
                      <w:b/>
                      <w:bCs/>
                      <w:color w:val="auto"/>
                      <w:kern w:val="0"/>
                      <w:sz w:val="21"/>
                      <w:szCs w:val="16"/>
                    </w:rPr>
                    <w:t>室内边界声</w:t>
                  </w:r>
                  <w:r>
                    <w:rPr>
                      <w:rFonts w:hint="eastAsia" w:cs="Times New Roman"/>
                      <w:b/>
                      <w:bCs/>
                      <w:color w:val="auto"/>
                      <w:kern w:val="0"/>
                      <w:sz w:val="21"/>
                      <w:szCs w:val="16"/>
                      <w:lang w:val="en-US" w:eastAsia="zh-CN"/>
                    </w:rPr>
                    <w:t>压</w:t>
                  </w:r>
                  <w:r>
                    <w:rPr>
                      <w:rFonts w:hint="default" w:ascii="Times New Roman" w:hAnsi="Times New Roman" w:cs="Times New Roman"/>
                      <w:b/>
                      <w:bCs/>
                      <w:color w:val="auto"/>
                      <w:kern w:val="0"/>
                      <w:sz w:val="21"/>
                      <w:szCs w:val="16"/>
                    </w:rPr>
                    <w:t>级</w:t>
                  </w:r>
                </w:p>
              </w:tc>
              <w:tc>
                <w:tcPr>
                  <w:tcW w:w="434" w:type="dxa"/>
                  <w:vMerge w:val="restart"/>
                  <w:noWrap w:val="0"/>
                  <w:vAlign w:val="center"/>
                </w:tcPr>
                <w:p w14:paraId="1434C2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16"/>
                    </w:rPr>
                  </w:pPr>
                  <w:r>
                    <w:rPr>
                      <w:rFonts w:hint="default" w:ascii="Times New Roman" w:hAnsi="Times New Roman" w:cs="Times New Roman"/>
                      <w:b/>
                      <w:bCs/>
                      <w:color w:val="auto"/>
                      <w:kern w:val="0"/>
                      <w:sz w:val="21"/>
                      <w:szCs w:val="16"/>
                    </w:rPr>
                    <w:t>运行时段</w:t>
                  </w:r>
                </w:p>
              </w:tc>
              <w:tc>
                <w:tcPr>
                  <w:tcW w:w="656" w:type="dxa"/>
                  <w:vMerge w:val="restart"/>
                  <w:noWrap w:val="0"/>
                  <w:vAlign w:val="center"/>
                </w:tcPr>
                <w:p w14:paraId="4949D5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16"/>
                    </w:rPr>
                  </w:pPr>
                  <w:r>
                    <w:rPr>
                      <w:rFonts w:hint="default" w:ascii="Times New Roman" w:hAnsi="Times New Roman" w:cs="Times New Roman"/>
                      <w:b/>
                      <w:bCs/>
                      <w:color w:val="auto"/>
                      <w:kern w:val="0"/>
                      <w:sz w:val="21"/>
                      <w:szCs w:val="16"/>
                    </w:rPr>
                    <w:t>建筑物插入损失</w:t>
                  </w:r>
                </w:p>
              </w:tc>
              <w:tc>
                <w:tcPr>
                  <w:tcW w:w="1119" w:type="dxa"/>
                  <w:gridSpan w:val="2"/>
                  <w:noWrap w:val="0"/>
                  <w:vAlign w:val="center"/>
                </w:tcPr>
                <w:p w14:paraId="211A6A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16"/>
                    </w:rPr>
                  </w:pPr>
                  <w:r>
                    <w:rPr>
                      <w:rFonts w:hint="default" w:ascii="Times New Roman" w:hAnsi="Times New Roman" w:cs="Times New Roman"/>
                      <w:b/>
                      <w:bCs/>
                      <w:color w:val="auto"/>
                      <w:kern w:val="0"/>
                      <w:sz w:val="21"/>
                      <w:szCs w:val="16"/>
                    </w:rPr>
                    <w:t>建筑物外噪声</w:t>
                  </w:r>
                </w:p>
              </w:tc>
            </w:tr>
            <w:tr w14:paraId="1E91C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Merge w:val="continue"/>
                  <w:noWrap w:val="0"/>
                  <w:vAlign w:val="center"/>
                </w:tcPr>
                <w:p w14:paraId="0473BF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16"/>
                    </w:rPr>
                  </w:pPr>
                </w:p>
              </w:tc>
              <w:tc>
                <w:tcPr>
                  <w:tcW w:w="565" w:type="dxa"/>
                  <w:vMerge w:val="continue"/>
                  <w:noWrap w:val="0"/>
                  <w:vAlign w:val="center"/>
                </w:tcPr>
                <w:p w14:paraId="5560AF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16"/>
                    </w:rPr>
                  </w:pPr>
                </w:p>
              </w:tc>
              <w:tc>
                <w:tcPr>
                  <w:tcW w:w="1076" w:type="dxa"/>
                  <w:vMerge w:val="continue"/>
                  <w:noWrap w:val="0"/>
                  <w:vAlign w:val="center"/>
                </w:tcPr>
                <w:p w14:paraId="564C82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16"/>
                    </w:rPr>
                  </w:pPr>
                </w:p>
              </w:tc>
              <w:tc>
                <w:tcPr>
                  <w:tcW w:w="761" w:type="dxa"/>
                  <w:vMerge w:val="continue"/>
                  <w:noWrap w:val="0"/>
                  <w:vAlign w:val="center"/>
                </w:tcPr>
                <w:p w14:paraId="53D044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16"/>
                    </w:rPr>
                  </w:pPr>
                </w:p>
              </w:tc>
              <w:tc>
                <w:tcPr>
                  <w:tcW w:w="636" w:type="dxa"/>
                  <w:vMerge w:val="continue"/>
                  <w:noWrap w:val="0"/>
                  <w:vAlign w:val="center"/>
                </w:tcPr>
                <w:p w14:paraId="13FFE6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16"/>
                    </w:rPr>
                  </w:pPr>
                </w:p>
              </w:tc>
              <w:tc>
                <w:tcPr>
                  <w:tcW w:w="481" w:type="dxa"/>
                  <w:noWrap w:val="0"/>
                  <w:vAlign w:val="center"/>
                </w:tcPr>
                <w:p w14:paraId="02F7BB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16"/>
                    </w:rPr>
                  </w:pPr>
                  <w:r>
                    <w:rPr>
                      <w:rFonts w:hint="default" w:ascii="Times New Roman" w:hAnsi="Times New Roman" w:cs="Times New Roman"/>
                      <w:b/>
                      <w:bCs/>
                      <w:color w:val="auto"/>
                      <w:kern w:val="0"/>
                      <w:sz w:val="21"/>
                      <w:szCs w:val="16"/>
                    </w:rPr>
                    <w:t>X</w:t>
                  </w:r>
                </w:p>
              </w:tc>
              <w:tc>
                <w:tcPr>
                  <w:tcW w:w="481" w:type="dxa"/>
                  <w:noWrap w:val="0"/>
                  <w:vAlign w:val="center"/>
                </w:tcPr>
                <w:p w14:paraId="3B0038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16"/>
                    </w:rPr>
                  </w:pPr>
                  <w:r>
                    <w:rPr>
                      <w:rFonts w:hint="default" w:ascii="Times New Roman" w:hAnsi="Times New Roman" w:cs="Times New Roman"/>
                      <w:b/>
                      <w:bCs/>
                      <w:color w:val="auto"/>
                      <w:kern w:val="0"/>
                      <w:sz w:val="21"/>
                      <w:szCs w:val="16"/>
                    </w:rPr>
                    <w:t>Y</w:t>
                  </w:r>
                </w:p>
              </w:tc>
              <w:tc>
                <w:tcPr>
                  <w:tcW w:w="479" w:type="dxa"/>
                  <w:noWrap w:val="0"/>
                  <w:vAlign w:val="center"/>
                </w:tcPr>
                <w:p w14:paraId="17406F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16"/>
                    </w:rPr>
                  </w:pPr>
                  <w:r>
                    <w:rPr>
                      <w:rFonts w:hint="default" w:ascii="Times New Roman" w:hAnsi="Times New Roman" w:cs="Times New Roman"/>
                      <w:b/>
                      <w:bCs/>
                      <w:color w:val="auto"/>
                      <w:kern w:val="0"/>
                      <w:sz w:val="21"/>
                      <w:szCs w:val="16"/>
                    </w:rPr>
                    <w:t>Z</w:t>
                  </w:r>
                </w:p>
              </w:tc>
              <w:tc>
                <w:tcPr>
                  <w:tcW w:w="556" w:type="dxa"/>
                  <w:vMerge w:val="continue"/>
                  <w:noWrap w:val="0"/>
                  <w:vAlign w:val="center"/>
                </w:tcPr>
                <w:p w14:paraId="00D753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16"/>
                    </w:rPr>
                  </w:pPr>
                </w:p>
              </w:tc>
              <w:tc>
                <w:tcPr>
                  <w:tcW w:w="586" w:type="dxa"/>
                  <w:vMerge w:val="continue"/>
                  <w:noWrap w:val="0"/>
                  <w:vAlign w:val="center"/>
                </w:tcPr>
                <w:p w14:paraId="30EDEF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16"/>
                    </w:rPr>
                  </w:pPr>
                </w:p>
              </w:tc>
              <w:tc>
                <w:tcPr>
                  <w:tcW w:w="434" w:type="dxa"/>
                  <w:vMerge w:val="continue"/>
                  <w:noWrap w:val="0"/>
                  <w:vAlign w:val="center"/>
                </w:tcPr>
                <w:p w14:paraId="421098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16"/>
                    </w:rPr>
                  </w:pPr>
                </w:p>
              </w:tc>
              <w:tc>
                <w:tcPr>
                  <w:tcW w:w="656" w:type="dxa"/>
                  <w:vMerge w:val="continue"/>
                  <w:noWrap w:val="0"/>
                  <w:vAlign w:val="center"/>
                </w:tcPr>
                <w:p w14:paraId="39FB28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16"/>
                    </w:rPr>
                  </w:pPr>
                </w:p>
              </w:tc>
              <w:tc>
                <w:tcPr>
                  <w:tcW w:w="540" w:type="dxa"/>
                  <w:noWrap w:val="0"/>
                  <w:vAlign w:val="center"/>
                </w:tcPr>
                <w:p w14:paraId="178203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16"/>
                    </w:rPr>
                  </w:pPr>
                  <w:r>
                    <w:rPr>
                      <w:rFonts w:hint="default" w:ascii="Times New Roman" w:hAnsi="Times New Roman" w:cs="Times New Roman"/>
                      <w:b/>
                      <w:bCs/>
                      <w:color w:val="auto"/>
                      <w:kern w:val="0"/>
                      <w:sz w:val="21"/>
                      <w:szCs w:val="16"/>
                    </w:rPr>
                    <w:t>声压级</w:t>
                  </w:r>
                </w:p>
              </w:tc>
              <w:tc>
                <w:tcPr>
                  <w:tcW w:w="579" w:type="dxa"/>
                  <w:noWrap w:val="0"/>
                  <w:vAlign w:val="center"/>
                </w:tcPr>
                <w:p w14:paraId="4FA28A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16"/>
                    </w:rPr>
                  </w:pPr>
                  <w:r>
                    <w:rPr>
                      <w:rFonts w:hint="default" w:ascii="Times New Roman" w:hAnsi="Times New Roman" w:cs="Times New Roman"/>
                      <w:b/>
                      <w:bCs/>
                      <w:color w:val="auto"/>
                      <w:kern w:val="0"/>
                      <w:sz w:val="21"/>
                      <w:szCs w:val="16"/>
                    </w:rPr>
                    <w:t>建筑物外距离</w:t>
                  </w:r>
                </w:p>
              </w:tc>
            </w:tr>
            <w:tr w14:paraId="25BF4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noWrap w:val="0"/>
                  <w:vAlign w:val="center"/>
                </w:tcPr>
                <w:p w14:paraId="0FBCFE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1</w:t>
                  </w:r>
                </w:p>
              </w:tc>
              <w:tc>
                <w:tcPr>
                  <w:tcW w:w="565" w:type="dxa"/>
                  <w:vMerge w:val="restart"/>
                  <w:noWrap w:val="0"/>
                  <w:vAlign w:val="center"/>
                </w:tcPr>
                <w:p w14:paraId="40EEB1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16"/>
                      <w:lang w:eastAsia="zh-CN"/>
                    </w:rPr>
                  </w:pPr>
                  <w:r>
                    <w:rPr>
                      <w:rFonts w:hint="eastAsia" w:ascii="Times New Roman" w:hAnsi="Times New Roman" w:eastAsia="宋体" w:cs="Times New Roman"/>
                      <w:color w:val="auto"/>
                      <w:kern w:val="0"/>
                      <w:sz w:val="21"/>
                      <w:szCs w:val="16"/>
                      <w:lang w:val="en-US" w:eastAsia="zh-CN"/>
                    </w:rPr>
                    <w:t>机加工车间</w:t>
                  </w:r>
                </w:p>
              </w:tc>
              <w:tc>
                <w:tcPr>
                  <w:tcW w:w="1076" w:type="dxa"/>
                  <w:noWrap w:val="0"/>
                  <w:vAlign w:val="center"/>
                </w:tcPr>
                <w:p w14:paraId="716B51C4">
                  <w:pPr>
                    <w:spacing w:line="240" w:lineRule="auto"/>
                    <w:ind w:firstLine="0" w:firstLineChars="0"/>
                    <w:jc w:val="center"/>
                    <w:rPr>
                      <w:rFonts w:hint="default"/>
                      <w:color w:val="auto"/>
                      <w:kern w:val="2"/>
                      <w:sz w:val="21"/>
                      <w:szCs w:val="21"/>
                      <w:lang w:val="en-US" w:eastAsia="zh-CN" w:bidi="ar-SA"/>
                    </w:rPr>
                  </w:pPr>
                  <w:r>
                    <w:rPr>
                      <w:rFonts w:hint="eastAsia" w:cs="Times New Roman"/>
                      <w:color w:val="auto"/>
                      <w:kern w:val="2"/>
                      <w:sz w:val="21"/>
                      <w:szCs w:val="21"/>
                      <w:lang w:val="en-US" w:eastAsia="zh-CN" w:bidi="ar-SA"/>
                    </w:rPr>
                    <w:t>车床1</w:t>
                  </w:r>
                </w:p>
              </w:tc>
              <w:tc>
                <w:tcPr>
                  <w:tcW w:w="761" w:type="dxa"/>
                  <w:noWrap w:val="0"/>
                  <w:vAlign w:val="center"/>
                </w:tcPr>
                <w:p w14:paraId="5B481B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80</w:t>
                  </w:r>
                </w:p>
              </w:tc>
              <w:tc>
                <w:tcPr>
                  <w:tcW w:w="636" w:type="dxa"/>
                  <w:vMerge w:val="restart"/>
                  <w:noWrap w:val="0"/>
                  <w:vAlign w:val="center"/>
                </w:tcPr>
                <w:p w14:paraId="60C201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合理布局，建筑隔声，基础减振</w:t>
                  </w:r>
                </w:p>
              </w:tc>
              <w:tc>
                <w:tcPr>
                  <w:tcW w:w="481" w:type="dxa"/>
                  <w:noWrap w:val="0"/>
                  <w:vAlign w:val="center"/>
                </w:tcPr>
                <w:p w14:paraId="72ECF6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10</w:t>
                  </w:r>
                </w:p>
              </w:tc>
              <w:tc>
                <w:tcPr>
                  <w:tcW w:w="481" w:type="dxa"/>
                  <w:noWrap w:val="0"/>
                  <w:vAlign w:val="center"/>
                </w:tcPr>
                <w:p w14:paraId="604CEE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30</w:t>
                  </w:r>
                </w:p>
              </w:tc>
              <w:tc>
                <w:tcPr>
                  <w:tcW w:w="479" w:type="dxa"/>
                  <w:noWrap w:val="0"/>
                  <w:vAlign w:val="center"/>
                </w:tcPr>
                <w:p w14:paraId="7F83B6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1</w:t>
                  </w:r>
                </w:p>
              </w:tc>
              <w:tc>
                <w:tcPr>
                  <w:tcW w:w="556" w:type="dxa"/>
                  <w:noWrap w:val="0"/>
                  <w:vAlign w:val="center"/>
                </w:tcPr>
                <w:p w14:paraId="773F09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20</w:t>
                  </w:r>
                </w:p>
              </w:tc>
              <w:tc>
                <w:tcPr>
                  <w:tcW w:w="586" w:type="dxa"/>
                  <w:noWrap w:val="0"/>
                  <w:vAlign w:val="center"/>
                </w:tcPr>
                <w:p w14:paraId="285DB1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76</w:t>
                  </w:r>
                </w:p>
              </w:tc>
              <w:tc>
                <w:tcPr>
                  <w:tcW w:w="434" w:type="dxa"/>
                  <w:vMerge w:val="restart"/>
                  <w:noWrap w:val="0"/>
                  <w:vAlign w:val="center"/>
                </w:tcPr>
                <w:p w14:paraId="67C0F3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eastAsia" w:cs="Times New Roman"/>
                      <w:color w:val="auto"/>
                      <w:kern w:val="0"/>
                      <w:sz w:val="21"/>
                      <w:szCs w:val="16"/>
                      <w:lang w:val="en-US" w:eastAsia="zh-CN"/>
                    </w:rPr>
                    <w:t>16</w:t>
                  </w:r>
                  <w:r>
                    <w:rPr>
                      <w:rFonts w:hint="default" w:ascii="Times New Roman" w:hAnsi="Times New Roman" w:cs="Times New Roman"/>
                      <w:color w:val="auto"/>
                      <w:kern w:val="0"/>
                      <w:sz w:val="21"/>
                      <w:szCs w:val="16"/>
                    </w:rPr>
                    <w:t>h</w:t>
                  </w:r>
                </w:p>
              </w:tc>
              <w:tc>
                <w:tcPr>
                  <w:tcW w:w="656" w:type="dxa"/>
                  <w:noWrap w:val="0"/>
                  <w:vAlign w:val="center"/>
                </w:tcPr>
                <w:p w14:paraId="64B76D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18</w:t>
                  </w:r>
                </w:p>
              </w:tc>
              <w:tc>
                <w:tcPr>
                  <w:tcW w:w="540" w:type="dxa"/>
                  <w:noWrap w:val="0"/>
                  <w:vAlign w:val="center"/>
                </w:tcPr>
                <w:p w14:paraId="35C67D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58</w:t>
                  </w:r>
                </w:p>
              </w:tc>
              <w:tc>
                <w:tcPr>
                  <w:tcW w:w="579" w:type="dxa"/>
                  <w:noWrap w:val="0"/>
                  <w:vAlign w:val="center"/>
                </w:tcPr>
                <w:p w14:paraId="25DED2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15</w:t>
                  </w:r>
                </w:p>
              </w:tc>
            </w:tr>
            <w:tr w14:paraId="33A1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noWrap w:val="0"/>
                  <w:vAlign w:val="center"/>
                </w:tcPr>
                <w:p w14:paraId="568CE8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565" w:type="dxa"/>
                  <w:vMerge w:val="continue"/>
                  <w:noWrap w:val="0"/>
                  <w:vAlign w:val="center"/>
                </w:tcPr>
                <w:p w14:paraId="2D5CF9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1076" w:type="dxa"/>
                  <w:noWrap w:val="0"/>
                  <w:vAlign w:val="center"/>
                </w:tcPr>
                <w:p w14:paraId="7FE8825B">
                  <w:pPr>
                    <w:spacing w:line="240" w:lineRule="auto"/>
                    <w:ind w:firstLine="0" w:firstLineChars="0"/>
                    <w:jc w:val="center"/>
                    <w:rPr>
                      <w:rFonts w:hint="default"/>
                      <w:color w:val="auto"/>
                      <w:kern w:val="2"/>
                      <w:sz w:val="21"/>
                      <w:szCs w:val="21"/>
                      <w:lang w:val="en-US" w:eastAsia="zh-CN" w:bidi="ar-SA"/>
                    </w:rPr>
                  </w:pPr>
                  <w:r>
                    <w:rPr>
                      <w:rFonts w:hint="eastAsia" w:cs="Times New Roman"/>
                      <w:color w:val="auto"/>
                      <w:kern w:val="2"/>
                      <w:sz w:val="21"/>
                      <w:szCs w:val="21"/>
                      <w:lang w:val="en-US" w:eastAsia="zh-CN" w:bidi="ar-SA"/>
                    </w:rPr>
                    <w:t>车床2</w:t>
                  </w:r>
                </w:p>
              </w:tc>
              <w:tc>
                <w:tcPr>
                  <w:tcW w:w="761" w:type="dxa"/>
                  <w:noWrap w:val="0"/>
                  <w:vAlign w:val="center"/>
                </w:tcPr>
                <w:p w14:paraId="156621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85</w:t>
                  </w:r>
                </w:p>
              </w:tc>
              <w:tc>
                <w:tcPr>
                  <w:tcW w:w="636" w:type="dxa"/>
                  <w:vMerge w:val="continue"/>
                  <w:noWrap w:val="0"/>
                  <w:vAlign w:val="center"/>
                </w:tcPr>
                <w:p w14:paraId="272991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481" w:type="dxa"/>
                  <w:noWrap w:val="0"/>
                  <w:vAlign w:val="center"/>
                </w:tcPr>
                <w:p w14:paraId="1A372C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12</w:t>
                  </w:r>
                </w:p>
              </w:tc>
              <w:tc>
                <w:tcPr>
                  <w:tcW w:w="481" w:type="dxa"/>
                  <w:noWrap w:val="0"/>
                  <w:vAlign w:val="center"/>
                </w:tcPr>
                <w:p w14:paraId="57C688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50</w:t>
                  </w:r>
                </w:p>
              </w:tc>
              <w:tc>
                <w:tcPr>
                  <w:tcW w:w="479" w:type="dxa"/>
                  <w:noWrap w:val="0"/>
                  <w:vAlign w:val="center"/>
                </w:tcPr>
                <w:p w14:paraId="7ADDAC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5</w:t>
                  </w:r>
                </w:p>
              </w:tc>
              <w:tc>
                <w:tcPr>
                  <w:tcW w:w="556" w:type="dxa"/>
                  <w:noWrap w:val="0"/>
                  <w:vAlign w:val="center"/>
                </w:tcPr>
                <w:p w14:paraId="647F60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25</w:t>
                  </w:r>
                </w:p>
              </w:tc>
              <w:tc>
                <w:tcPr>
                  <w:tcW w:w="586" w:type="dxa"/>
                  <w:noWrap w:val="0"/>
                  <w:vAlign w:val="center"/>
                </w:tcPr>
                <w:p w14:paraId="19AA7B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79</w:t>
                  </w:r>
                </w:p>
              </w:tc>
              <w:tc>
                <w:tcPr>
                  <w:tcW w:w="434" w:type="dxa"/>
                  <w:vMerge w:val="continue"/>
                  <w:noWrap w:val="0"/>
                  <w:vAlign w:val="center"/>
                </w:tcPr>
                <w:p w14:paraId="716D1D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656" w:type="dxa"/>
                  <w:noWrap w:val="0"/>
                  <w:vAlign w:val="center"/>
                </w:tcPr>
                <w:p w14:paraId="3C9620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20</w:t>
                  </w:r>
                </w:p>
              </w:tc>
              <w:tc>
                <w:tcPr>
                  <w:tcW w:w="540" w:type="dxa"/>
                  <w:noWrap w:val="0"/>
                  <w:vAlign w:val="center"/>
                </w:tcPr>
                <w:p w14:paraId="4646D0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59</w:t>
                  </w:r>
                </w:p>
              </w:tc>
              <w:tc>
                <w:tcPr>
                  <w:tcW w:w="579" w:type="dxa"/>
                  <w:noWrap w:val="0"/>
                  <w:vAlign w:val="center"/>
                </w:tcPr>
                <w:p w14:paraId="322F06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15</w:t>
                  </w:r>
                </w:p>
              </w:tc>
            </w:tr>
            <w:tr w14:paraId="50950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noWrap w:val="0"/>
                  <w:vAlign w:val="center"/>
                </w:tcPr>
                <w:p w14:paraId="5F7A42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565" w:type="dxa"/>
                  <w:vMerge w:val="continue"/>
                  <w:noWrap w:val="0"/>
                  <w:vAlign w:val="center"/>
                </w:tcPr>
                <w:p w14:paraId="724D38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1076" w:type="dxa"/>
                  <w:noWrap w:val="0"/>
                  <w:vAlign w:val="center"/>
                </w:tcPr>
                <w:p w14:paraId="185085A0">
                  <w:pPr>
                    <w:spacing w:line="240" w:lineRule="auto"/>
                    <w:ind w:firstLine="0" w:firstLineChars="0"/>
                    <w:jc w:val="center"/>
                    <w:rPr>
                      <w:rFonts w:hint="default"/>
                      <w:color w:val="auto"/>
                      <w:kern w:val="2"/>
                      <w:sz w:val="21"/>
                      <w:szCs w:val="21"/>
                      <w:lang w:val="en-US" w:eastAsia="zh-CN" w:bidi="ar-SA"/>
                    </w:rPr>
                  </w:pPr>
                  <w:r>
                    <w:rPr>
                      <w:rFonts w:hint="eastAsia" w:cs="Times New Roman"/>
                      <w:color w:val="auto"/>
                      <w:kern w:val="2"/>
                      <w:sz w:val="21"/>
                      <w:szCs w:val="21"/>
                      <w:lang w:val="en-US" w:eastAsia="zh-CN" w:bidi="ar-SA"/>
                    </w:rPr>
                    <w:t>车床3</w:t>
                  </w:r>
                </w:p>
              </w:tc>
              <w:tc>
                <w:tcPr>
                  <w:tcW w:w="761" w:type="dxa"/>
                  <w:noWrap w:val="0"/>
                  <w:vAlign w:val="center"/>
                </w:tcPr>
                <w:p w14:paraId="0374DE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85</w:t>
                  </w:r>
                </w:p>
              </w:tc>
              <w:tc>
                <w:tcPr>
                  <w:tcW w:w="636" w:type="dxa"/>
                  <w:vMerge w:val="continue"/>
                  <w:noWrap w:val="0"/>
                  <w:vAlign w:val="center"/>
                </w:tcPr>
                <w:p w14:paraId="28BE6F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481" w:type="dxa"/>
                  <w:noWrap w:val="0"/>
                  <w:vAlign w:val="center"/>
                </w:tcPr>
                <w:p w14:paraId="602CB2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30</w:t>
                  </w:r>
                </w:p>
              </w:tc>
              <w:tc>
                <w:tcPr>
                  <w:tcW w:w="481" w:type="dxa"/>
                  <w:noWrap w:val="0"/>
                  <w:vAlign w:val="center"/>
                </w:tcPr>
                <w:p w14:paraId="432AC2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40</w:t>
                  </w:r>
                </w:p>
              </w:tc>
              <w:tc>
                <w:tcPr>
                  <w:tcW w:w="479" w:type="dxa"/>
                  <w:noWrap w:val="0"/>
                  <w:vAlign w:val="center"/>
                </w:tcPr>
                <w:p w14:paraId="52CD98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5</w:t>
                  </w:r>
                </w:p>
              </w:tc>
              <w:tc>
                <w:tcPr>
                  <w:tcW w:w="556" w:type="dxa"/>
                  <w:noWrap w:val="0"/>
                  <w:vAlign w:val="center"/>
                </w:tcPr>
                <w:p w14:paraId="084952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22</w:t>
                  </w:r>
                </w:p>
              </w:tc>
              <w:tc>
                <w:tcPr>
                  <w:tcW w:w="586" w:type="dxa"/>
                  <w:noWrap w:val="0"/>
                  <w:vAlign w:val="center"/>
                </w:tcPr>
                <w:p w14:paraId="038D5A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76</w:t>
                  </w:r>
                </w:p>
              </w:tc>
              <w:tc>
                <w:tcPr>
                  <w:tcW w:w="434" w:type="dxa"/>
                  <w:vMerge w:val="continue"/>
                  <w:noWrap w:val="0"/>
                  <w:vAlign w:val="center"/>
                </w:tcPr>
                <w:p w14:paraId="02E705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656" w:type="dxa"/>
                  <w:noWrap w:val="0"/>
                  <w:vAlign w:val="center"/>
                </w:tcPr>
                <w:p w14:paraId="685FC2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20</w:t>
                  </w:r>
                </w:p>
              </w:tc>
              <w:tc>
                <w:tcPr>
                  <w:tcW w:w="540" w:type="dxa"/>
                  <w:noWrap w:val="0"/>
                  <w:vAlign w:val="center"/>
                </w:tcPr>
                <w:p w14:paraId="5B937B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59</w:t>
                  </w:r>
                </w:p>
              </w:tc>
              <w:tc>
                <w:tcPr>
                  <w:tcW w:w="579" w:type="dxa"/>
                  <w:noWrap w:val="0"/>
                  <w:vAlign w:val="center"/>
                </w:tcPr>
                <w:p w14:paraId="42DABA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15</w:t>
                  </w:r>
                </w:p>
              </w:tc>
            </w:tr>
            <w:tr w14:paraId="2A1BA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noWrap w:val="0"/>
                  <w:vAlign w:val="center"/>
                </w:tcPr>
                <w:p w14:paraId="668A24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565" w:type="dxa"/>
                  <w:vMerge w:val="continue"/>
                  <w:noWrap w:val="0"/>
                  <w:vAlign w:val="center"/>
                </w:tcPr>
                <w:p w14:paraId="4ED815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1076" w:type="dxa"/>
                  <w:noWrap w:val="0"/>
                  <w:vAlign w:val="center"/>
                </w:tcPr>
                <w:p w14:paraId="1C58DF2F">
                  <w:pPr>
                    <w:spacing w:line="240" w:lineRule="auto"/>
                    <w:ind w:firstLine="0" w:firstLineChars="0"/>
                    <w:jc w:val="center"/>
                    <w:rPr>
                      <w:rFonts w:hint="default"/>
                      <w:color w:val="auto"/>
                      <w:kern w:val="2"/>
                      <w:sz w:val="21"/>
                      <w:szCs w:val="21"/>
                      <w:lang w:val="en-US" w:eastAsia="zh-CN" w:bidi="ar-SA"/>
                    </w:rPr>
                  </w:pPr>
                  <w:r>
                    <w:rPr>
                      <w:rFonts w:hint="eastAsia" w:cs="Times New Roman"/>
                      <w:color w:val="auto"/>
                      <w:kern w:val="2"/>
                      <w:sz w:val="21"/>
                      <w:szCs w:val="21"/>
                      <w:lang w:val="en-US" w:eastAsia="zh-CN" w:bidi="ar-SA"/>
                    </w:rPr>
                    <w:t>车床4</w:t>
                  </w:r>
                </w:p>
              </w:tc>
              <w:tc>
                <w:tcPr>
                  <w:tcW w:w="761" w:type="dxa"/>
                  <w:noWrap w:val="0"/>
                  <w:vAlign w:val="center"/>
                </w:tcPr>
                <w:p w14:paraId="1D5AF7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85</w:t>
                  </w:r>
                </w:p>
              </w:tc>
              <w:tc>
                <w:tcPr>
                  <w:tcW w:w="636" w:type="dxa"/>
                  <w:vMerge w:val="continue"/>
                  <w:noWrap w:val="0"/>
                  <w:vAlign w:val="center"/>
                </w:tcPr>
                <w:p w14:paraId="427B7C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481" w:type="dxa"/>
                  <w:noWrap w:val="0"/>
                  <w:vAlign w:val="center"/>
                </w:tcPr>
                <w:p w14:paraId="366A77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40</w:t>
                  </w:r>
                </w:p>
              </w:tc>
              <w:tc>
                <w:tcPr>
                  <w:tcW w:w="481" w:type="dxa"/>
                  <w:noWrap w:val="0"/>
                  <w:vAlign w:val="center"/>
                </w:tcPr>
                <w:p w14:paraId="78786D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20</w:t>
                  </w:r>
                </w:p>
              </w:tc>
              <w:tc>
                <w:tcPr>
                  <w:tcW w:w="479" w:type="dxa"/>
                  <w:noWrap w:val="0"/>
                  <w:vAlign w:val="center"/>
                </w:tcPr>
                <w:p w14:paraId="088B72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5</w:t>
                  </w:r>
                </w:p>
              </w:tc>
              <w:tc>
                <w:tcPr>
                  <w:tcW w:w="556" w:type="dxa"/>
                  <w:noWrap w:val="0"/>
                  <w:vAlign w:val="center"/>
                </w:tcPr>
                <w:p w14:paraId="69A53E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20</w:t>
                  </w:r>
                </w:p>
              </w:tc>
              <w:tc>
                <w:tcPr>
                  <w:tcW w:w="586" w:type="dxa"/>
                  <w:noWrap w:val="0"/>
                  <w:vAlign w:val="center"/>
                </w:tcPr>
                <w:p w14:paraId="33482D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76</w:t>
                  </w:r>
                </w:p>
              </w:tc>
              <w:tc>
                <w:tcPr>
                  <w:tcW w:w="434" w:type="dxa"/>
                  <w:vMerge w:val="continue"/>
                  <w:noWrap w:val="0"/>
                  <w:vAlign w:val="center"/>
                </w:tcPr>
                <w:p w14:paraId="54437B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656" w:type="dxa"/>
                  <w:noWrap w:val="0"/>
                  <w:vAlign w:val="center"/>
                </w:tcPr>
                <w:p w14:paraId="516645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20</w:t>
                  </w:r>
                </w:p>
              </w:tc>
              <w:tc>
                <w:tcPr>
                  <w:tcW w:w="540" w:type="dxa"/>
                  <w:noWrap w:val="0"/>
                  <w:vAlign w:val="center"/>
                </w:tcPr>
                <w:p w14:paraId="3BF408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59</w:t>
                  </w:r>
                </w:p>
              </w:tc>
              <w:tc>
                <w:tcPr>
                  <w:tcW w:w="579" w:type="dxa"/>
                  <w:noWrap w:val="0"/>
                  <w:vAlign w:val="center"/>
                </w:tcPr>
                <w:p w14:paraId="26DAC0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15</w:t>
                  </w:r>
                </w:p>
              </w:tc>
            </w:tr>
            <w:tr w14:paraId="11867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noWrap w:val="0"/>
                  <w:vAlign w:val="center"/>
                </w:tcPr>
                <w:p w14:paraId="00A91D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565" w:type="dxa"/>
                  <w:vMerge w:val="continue"/>
                  <w:noWrap w:val="0"/>
                  <w:vAlign w:val="center"/>
                </w:tcPr>
                <w:p w14:paraId="5DE019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1076" w:type="dxa"/>
                  <w:noWrap w:val="0"/>
                  <w:vAlign w:val="center"/>
                </w:tcPr>
                <w:p w14:paraId="10E864F1">
                  <w:pPr>
                    <w:spacing w:line="240" w:lineRule="auto"/>
                    <w:ind w:firstLine="0" w:firstLineChars="0"/>
                    <w:jc w:val="center"/>
                    <w:rPr>
                      <w:rFonts w:hint="default"/>
                      <w:color w:val="auto"/>
                      <w:kern w:val="2"/>
                      <w:sz w:val="21"/>
                      <w:szCs w:val="21"/>
                      <w:lang w:val="en-US" w:eastAsia="zh-CN" w:bidi="ar-SA"/>
                    </w:rPr>
                  </w:pPr>
                  <w:r>
                    <w:rPr>
                      <w:rFonts w:hint="eastAsia" w:cs="Times New Roman"/>
                      <w:color w:val="auto"/>
                      <w:kern w:val="2"/>
                      <w:sz w:val="21"/>
                      <w:szCs w:val="21"/>
                      <w:lang w:val="en-US" w:eastAsia="zh-CN" w:bidi="ar-SA"/>
                    </w:rPr>
                    <w:t>车床5</w:t>
                  </w:r>
                </w:p>
              </w:tc>
              <w:tc>
                <w:tcPr>
                  <w:tcW w:w="761" w:type="dxa"/>
                  <w:noWrap w:val="0"/>
                  <w:vAlign w:val="center"/>
                </w:tcPr>
                <w:p w14:paraId="1DEB8B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85</w:t>
                  </w:r>
                </w:p>
              </w:tc>
              <w:tc>
                <w:tcPr>
                  <w:tcW w:w="636" w:type="dxa"/>
                  <w:vMerge w:val="continue"/>
                  <w:noWrap w:val="0"/>
                  <w:vAlign w:val="center"/>
                </w:tcPr>
                <w:p w14:paraId="19BBE3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481" w:type="dxa"/>
                  <w:noWrap w:val="0"/>
                  <w:vAlign w:val="center"/>
                </w:tcPr>
                <w:p w14:paraId="4B8CE3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80</w:t>
                  </w:r>
                </w:p>
              </w:tc>
              <w:tc>
                <w:tcPr>
                  <w:tcW w:w="481" w:type="dxa"/>
                  <w:noWrap w:val="0"/>
                  <w:vAlign w:val="center"/>
                </w:tcPr>
                <w:p w14:paraId="397248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20</w:t>
                  </w:r>
                </w:p>
              </w:tc>
              <w:tc>
                <w:tcPr>
                  <w:tcW w:w="479" w:type="dxa"/>
                  <w:noWrap w:val="0"/>
                  <w:vAlign w:val="center"/>
                </w:tcPr>
                <w:p w14:paraId="347194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5</w:t>
                  </w:r>
                </w:p>
              </w:tc>
              <w:tc>
                <w:tcPr>
                  <w:tcW w:w="556" w:type="dxa"/>
                  <w:noWrap w:val="0"/>
                  <w:vAlign w:val="center"/>
                </w:tcPr>
                <w:p w14:paraId="1D9D0F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25</w:t>
                  </w:r>
                </w:p>
              </w:tc>
              <w:tc>
                <w:tcPr>
                  <w:tcW w:w="586" w:type="dxa"/>
                  <w:noWrap w:val="0"/>
                  <w:vAlign w:val="center"/>
                </w:tcPr>
                <w:p w14:paraId="2F40AC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76</w:t>
                  </w:r>
                </w:p>
              </w:tc>
              <w:tc>
                <w:tcPr>
                  <w:tcW w:w="434" w:type="dxa"/>
                  <w:vMerge w:val="continue"/>
                  <w:noWrap w:val="0"/>
                  <w:vAlign w:val="center"/>
                </w:tcPr>
                <w:p w14:paraId="3DEFB3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656" w:type="dxa"/>
                  <w:noWrap w:val="0"/>
                  <w:vAlign w:val="center"/>
                </w:tcPr>
                <w:p w14:paraId="3DBDBC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20</w:t>
                  </w:r>
                </w:p>
              </w:tc>
              <w:tc>
                <w:tcPr>
                  <w:tcW w:w="540" w:type="dxa"/>
                  <w:noWrap w:val="0"/>
                  <w:vAlign w:val="center"/>
                </w:tcPr>
                <w:p w14:paraId="02A023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59</w:t>
                  </w:r>
                </w:p>
              </w:tc>
              <w:tc>
                <w:tcPr>
                  <w:tcW w:w="579" w:type="dxa"/>
                  <w:noWrap w:val="0"/>
                  <w:vAlign w:val="center"/>
                </w:tcPr>
                <w:p w14:paraId="552E79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15</w:t>
                  </w:r>
                </w:p>
              </w:tc>
            </w:tr>
            <w:tr w14:paraId="63362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noWrap w:val="0"/>
                  <w:vAlign w:val="center"/>
                </w:tcPr>
                <w:p w14:paraId="1CFCA3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565" w:type="dxa"/>
                  <w:vMerge w:val="continue"/>
                  <w:noWrap w:val="0"/>
                  <w:vAlign w:val="center"/>
                </w:tcPr>
                <w:p w14:paraId="567A3F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1076" w:type="dxa"/>
                  <w:noWrap w:val="0"/>
                  <w:vAlign w:val="center"/>
                </w:tcPr>
                <w:p w14:paraId="0328D911">
                  <w:pPr>
                    <w:spacing w:line="240" w:lineRule="auto"/>
                    <w:ind w:firstLine="0" w:firstLineChars="0"/>
                    <w:jc w:val="center"/>
                    <w:rPr>
                      <w:rFonts w:hint="default"/>
                      <w:color w:val="auto"/>
                      <w:kern w:val="2"/>
                      <w:sz w:val="21"/>
                      <w:szCs w:val="21"/>
                      <w:lang w:val="en-US" w:eastAsia="zh-CN" w:bidi="ar-SA"/>
                    </w:rPr>
                  </w:pPr>
                  <w:r>
                    <w:rPr>
                      <w:rFonts w:hint="eastAsia" w:cs="Times New Roman"/>
                      <w:color w:val="auto"/>
                      <w:kern w:val="2"/>
                      <w:sz w:val="21"/>
                      <w:szCs w:val="21"/>
                      <w:lang w:val="en-US" w:eastAsia="zh-CN" w:bidi="ar-SA"/>
                    </w:rPr>
                    <w:t>车床6</w:t>
                  </w:r>
                </w:p>
              </w:tc>
              <w:tc>
                <w:tcPr>
                  <w:tcW w:w="761" w:type="dxa"/>
                  <w:noWrap w:val="0"/>
                  <w:vAlign w:val="center"/>
                </w:tcPr>
                <w:p w14:paraId="7E087D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80</w:t>
                  </w:r>
                </w:p>
              </w:tc>
              <w:tc>
                <w:tcPr>
                  <w:tcW w:w="636" w:type="dxa"/>
                  <w:vMerge w:val="continue"/>
                  <w:noWrap w:val="0"/>
                  <w:vAlign w:val="center"/>
                </w:tcPr>
                <w:p w14:paraId="5CE70B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481" w:type="dxa"/>
                  <w:noWrap w:val="0"/>
                  <w:vAlign w:val="center"/>
                </w:tcPr>
                <w:p w14:paraId="6A69E7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80</w:t>
                  </w:r>
                </w:p>
              </w:tc>
              <w:tc>
                <w:tcPr>
                  <w:tcW w:w="481" w:type="dxa"/>
                  <w:noWrap w:val="0"/>
                  <w:vAlign w:val="center"/>
                </w:tcPr>
                <w:p w14:paraId="018BEC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30</w:t>
                  </w:r>
                </w:p>
              </w:tc>
              <w:tc>
                <w:tcPr>
                  <w:tcW w:w="479" w:type="dxa"/>
                  <w:noWrap w:val="0"/>
                  <w:vAlign w:val="center"/>
                </w:tcPr>
                <w:p w14:paraId="5B306E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3</w:t>
                  </w:r>
                </w:p>
              </w:tc>
              <w:tc>
                <w:tcPr>
                  <w:tcW w:w="556" w:type="dxa"/>
                  <w:noWrap w:val="0"/>
                  <w:vAlign w:val="center"/>
                </w:tcPr>
                <w:p w14:paraId="59C8DE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22</w:t>
                  </w:r>
                </w:p>
              </w:tc>
              <w:tc>
                <w:tcPr>
                  <w:tcW w:w="586" w:type="dxa"/>
                  <w:noWrap w:val="0"/>
                  <w:vAlign w:val="center"/>
                </w:tcPr>
                <w:p w14:paraId="03DEB3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76</w:t>
                  </w:r>
                </w:p>
              </w:tc>
              <w:tc>
                <w:tcPr>
                  <w:tcW w:w="434" w:type="dxa"/>
                  <w:vMerge w:val="continue"/>
                  <w:noWrap w:val="0"/>
                  <w:vAlign w:val="center"/>
                </w:tcPr>
                <w:p w14:paraId="6D8D57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656" w:type="dxa"/>
                  <w:noWrap w:val="0"/>
                  <w:vAlign w:val="center"/>
                </w:tcPr>
                <w:p w14:paraId="439A11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18</w:t>
                  </w:r>
                </w:p>
              </w:tc>
              <w:tc>
                <w:tcPr>
                  <w:tcW w:w="540" w:type="dxa"/>
                  <w:noWrap w:val="0"/>
                  <w:vAlign w:val="center"/>
                </w:tcPr>
                <w:p w14:paraId="29E390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58</w:t>
                  </w:r>
                </w:p>
              </w:tc>
              <w:tc>
                <w:tcPr>
                  <w:tcW w:w="579" w:type="dxa"/>
                  <w:noWrap w:val="0"/>
                  <w:vAlign w:val="center"/>
                </w:tcPr>
                <w:p w14:paraId="4B3B5F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15</w:t>
                  </w:r>
                </w:p>
              </w:tc>
            </w:tr>
            <w:tr w14:paraId="045D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noWrap w:val="0"/>
                  <w:vAlign w:val="center"/>
                </w:tcPr>
                <w:p w14:paraId="45B0CE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565" w:type="dxa"/>
                  <w:vMerge w:val="continue"/>
                  <w:noWrap w:val="0"/>
                  <w:vAlign w:val="center"/>
                </w:tcPr>
                <w:p w14:paraId="193A9E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1076" w:type="dxa"/>
                  <w:noWrap w:val="0"/>
                  <w:vAlign w:val="center"/>
                </w:tcPr>
                <w:p w14:paraId="6EBBEEC3">
                  <w:pPr>
                    <w:spacing w:line="240" w:lineRule="auto"/>
                    <w:ind w:firstLine="0" w:firstLineChars="0"/>
                    <w:jc w:val="center"/>
                    <w:rPr>
                      <w:rFonts w:hint="default"/>
                      <w:color w:val="auto"/>
                      <w:kern w:val="2"/>
                      <w:sz w:val="21"/>
                      <w:szCs w:val="21"/>
                      <w:lang w:val="en-US" w:eastAsia="zh-CN" w:bidi="ar-SA"/>
                    </w:rPr>
                  </w:pPr>
                  <w:r>
                    <w:rPr>
                      <w:rFonts w:hint="eastAsia" w:cs="Times New Roman"/>
                      <w:color w:val="auto"/>
                      <w:kern w:val="2"/>
                      <w:sz w:val="21"/>
                      <w:szCs w:val="21"/>
                      <w:lang w:val="en-US" w:eastAsia="zh-CN" w:bidi="ar-SA"/>
                    </w:rPr>
                    <w:t>锯床</w:t>
                  </w:r>
                </w:p>
              </w:tc>
              <w:tc>
                <w:tcPr>
                  <w:tcW w:w="761" w:type="dxa"/>
                  <w:noWrap w:val="0"/>
                  <w:vAlign w:val="center"/>
                </w:tcPr>
                <w:p w14:paraId="435D56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80</w:t>
                  </w:r>
                </w:p>
              </w:tc>
              <w:tc>
                <w:tcPr>
                  <w:tcW w:w="636" w:type="dxa"/>
                  <w:vMerge w:val="continue"/>
                  <w:noWrap w:val="0"/>
                  <w:vAlign w:val="center"/>
                </w:tcPr>
                <w:p w14:paraId="2064C7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481" w:type="dxa"/>
                  <w:noWrap w:val="0"/>
                  <w:vAlign w:val="center"/>
                </w:tcPr>
                <w:p w14:paraId="70E38B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75</w:t>
                  </w:r>
                </w:p>
              </w:tc>
              <w:tc>
                <w:tcPr>
                  <w:tcW w:w="481" w:type="dxa"/>
                  <w:noWrap w:val="0"/>
                  <w:vAlign w:val="center"/>
                </w:tcPr>
                <w:p w14:paraId="36DBC2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30</w:t>
                  </w:r>
                </w:p>
              </w:tc>
              <w:tc>
                <w:tcPr>
                  <w:tcW w:w="479" w:type="dxa"/>
                  <w:noWrap w:val="0"/>
                  <w:vAlign w:val="center"/>
                </w:tcPr>
                <w:p w14:paraId="23DACE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1</w:t>
                  </w:r>
                </w:p>
              </w:tc>
              <w:tc>
                <w:tcPr>
                  <w:tcW w:w="556" w:type="dxa"/>
                  <w:noWrap w:val="0"/>
                  <w:vAlign w:val="center"/>
                </w:tcPr>
                <w:p w14:paraId="17BAD8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20</w:t>
                  </w:r>
                </w:p>
              </w:tc>
              <w:tc>
                <w:tcPr>
                  <w:tcW w:w="586" w:type="dxa"/>
                  <w:noWrap w:val="0"/>
                  <w:vAlign w:val="center"/>
                </w:tcPr>
                <w:p w14:paraId="4C1365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76</w:t>
                  </w:r>
                </w:p>
              </w:tc>
              <w:tc>
                <w:tcPr>
                  <w:tcW w:w="434" w:type="dxa"/>
                  <w:vMerge w:val="continue"/>
                  <w:noWrap w:val="0"/>
                  <w:vAlign w:val="center"/>
                </w:tcPr>
                <w:p w14:paraId="4D74B9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656" w:type="dxa"/>
                  <w:noWrap w:val="0"/>
                  <w:vAlign w:val="center"/>
                </w:tcPr>
                <w:p w14:paraId="4C3EED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18</w:t>
                  </w:r>
                </w:p>
              </w:tc>
              <w:tc>
                <w:tcPr>
                  <w:tcW w:w="540" w:type="dxa"/>
                  <w:noWrap w:val="0"/>
                  <w:vAlign w:val="center"/>
                </w:tcPr>
                <w:p w14:paraId="1BDF98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58</w:t>
                  </w:r>
                </w:p>
              </w:tc>
              <w:tc>
                <w:tcPr>
                  <w:tcW w:w="579" w:type="dxa"/>
                  <w:noWrap w:val="0"/>
                  <w:vAlign w:val="center"/>
                </w:tcPr>
                <w:p w14:paraId="7F050E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15</w:t>
                  </w:r>
                </w:p>
              </w:tc>
            </w:tr>
            <w:tr w14:paraId="1CD93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noWrap w:val="0"/>
                  <w:vAlign w:val="center"/>
                </w:tcPr>
                <w:p w14:paraId="6A3305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565" w:type="dxa"/>
                  <w:vMerge w:val="continue"/>
                  <w:noWrap w:val="0"/>
                  <w:vAlign w:val="center"/>
                </w:tcPr>
                <w:p w14:paraId="58F2D7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1076" w:type="dxa"/>
                  <w:noWrap w:val="0"/>
                  <w:vAlign w:val="center"/>
                </w:tcPr>
                <w:p w14:paraId="51982ED6">
                  <w:pPr>
                    <w:spacing w:line="240" w:lineRule="auto"/>
                    <w:ind w:firstLine="0" w:firstLineChars="0"/>
                    <w:jc w:val="center"/>
                    <w:rPr>
                      <w:rFonts w:hint="default"/>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喷砂机1</w:t>
                  </w:r>
                </w:p>
              </w:tc>
              <w:tc>
                <w:tcPr>
                  <w:tcW w:w="761" w:type="dxa"/>
                  <w:noWrap w:val="0"/>
                  <w:vAlign w:val="center"/>
                </w:tcPr>
                <w:p w14:paraId="5B8661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85</w:t>
                  </w:r>
                </w:p>
              </w:tc>
              <w:tc>
                <w:tcPr>
                  <w:tcW w:w="636" w:type="dxa"/>
                  <w:vMerge w:val="continue"/>
                  <w:noWrap w:val="0"/>
                  <w:vAlign w:val="center"/>
                </w:tcPr>
                <w:p w14:paraId="33BF58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481" w:type="dxa"/>
                  <w:noWrap w:val="0"/>
                  <w:vAlign w:val="center"/>
                </w:tcPr>
                <w:p w14:paraId="2047FA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85</w:t>
                  </w:r>
                </w:p>
              </w:tc>
              <w:tc>
                <w:tcPr>
                  <w:tcW w:w="481" w:type="dxa"/>
                  <w:noWrap w:val="0"/>
                  <w:vAlign w:val="center"/>
                </w:tcPr>
                <w:p w14:paraId="50034E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25</w:t>
                  </w:r>
                </w:p>
              </w:tc>
              <w:tc>
                <w:tcPr>
                  <w:tcW w:w="479" w:type="dxa"/>
                  <w:noWrap w:val="0"/>
                  <w:vAlign w:val="center"/>
                </w:tcPr>
                <w:p w14:paraId="6127FF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5</w:t>
                  </w:r>
                </w:p>
              </w:tc>
              <w:tc>
                <w:tcPr>
                  <w:tcW w:w="556" w:type="dxa"/>
                  <w:noWrap w:val="0"/>
                  <w:vAlign w:val="center"/>
                </w:tcPr>
                <w:p w14:paraId="439CEE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25</w:t>
                  </w:r>
                </w:p>
              </w:tc>
              <w:tc>
                <w:tcPr>
                  <w:tcW w:w="586" w:type="dxa"/>
                  <w:noWrap w:val="0"/>
                  <w:vAlign w:val="center"/>
                </w:tcPr>
                <w:p w14:paraId="3A9608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79</w:t>
                  </w:r>
                </w:p>
              </w:tc>
              <w:tc>
                <w:tcPr>
                  <w:tcW w:w="434" w:type="dxa"/>
                  <w:vMerge w:val="continue"/>
                  <w:noWrap w:val="0"/>
                  <w:vAlign w:val="center"/>
                </w:tcPr>
                <w:p w14:paraId="018447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656" w:type="dxa"/>
                  <w:noWrap w:val="0"/>
                  <w:vAlign w:val="center"/>
                </w:tcPr>
                <w:p w14:paraId="3DB1FF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20</w:t>
                  </w:r>
                </w:p>
              </w:tc>
              <w:tc>
                <w:tcPr>
                  <w:tcW w:w="540" w:type="dxa"/>
                  <w:noWrap w:val="0"/>
                  <w:vAlign w:val="center"/>
                </w:tcPr>
                <w:p w14:paraId="1B3BF1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59</w:t>
                  </w:r>
                </w:p>
              </w:tc>
              <w:tc>
                <w:tcPr>
                  <w:tcW w:w="579" w:type="dxa"/>
                  <w:noWrap w:val="0"/>
                  <w:vAlign w:val="center"/>
                </w:tcPr>
                <w:p w14:paraId="0BF6AE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15</w:t>
                  </w:r>
                </w:p>
              </w:tc>
            </w:tr>
            <w:tr w14:paraId="5D943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noWrap w:val="0"/>
                  <w:vAlign w:val="center"/>
                </w:tcPr>
                <w:p w14:paraId="558577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565" w:type="dxa"/>
                  <w:vMerge w:val="continue"/>
                  <w:noWrap w:val="0"/>
                  <w:vAlign w:val="center"/>
                </w:tcPr>
                <w:p w14:paraId="65E1C4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1076" w:type="dxa"/>
                  <w:noWrap w:val="0"/>
                  <w:vAlign w:val="center"/>
                </w:tcPr>
                <w:p w14:paraId="50FB3DF3">
                  <w:pPr>
                    <w:spacing w:line="240" w:lineRule="auto"/>
                    <w:ind w:firstLine="0" w:firstLineChars="0"/>
                    <w:jc w:val="center"/>
                    <w:rPr>
                      <w:rFonts w:hint="default"/>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喷砂机2</w:t>
                  </w:r>
                </w:p>
              </w:tc>
              <w:tc>
                <w:tcPr>
                  <w:tcW w:w="761" w:type="dxa"/>
                  <w:noWrap w:val="0"/>
                  <w:vAlign w:val="center"/>
                </w:tcPr>
                <w:p w14:paraId="75AB4B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80</w:t>
                  </w:r>
                </w:p>
              </w:tc>
              <w:tc>
                <w:tcPr>
                  <w:tcW w:w="636" w:type="dxa"/>
                  <w:vMerge w:val="continue"/>
                  <w:noWrap w:val="0"/>
                  <w:vAlign w:val="center"/>
                </w:tcPr>
                <w:p w14:paraId="3C00E3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481" w:type="dxa"/>
                  <w:noWrap w:val="0"/>
                  <w:vAlign w:val="center"/>
                </w:tcPr>
                <w:p w14:paraId="6C11CD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85</w:t>
                  </w:r>
                </w:p>
              </w:tc>
              <w:tc>
                <w:tcPr>
                  <w:tcW w:w="481" w:type="dxa"/>
                  <w:noWrap w:val="0"/>
                  <w:vAlign w:val="center"/>
                </w:tcPr>
                <w:p w14:paraId="066B18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30</w:t>
                  </w:r>
                </w:p>
              </w:tc>
              <w:tc>
                <w:tcPr>
                  <w:tcW w:w="479" w:type="dxa"/>
                  <w:noWrap w:val="0"/>
                  <w:vAlign w:val="center"/>
                </w:tcPr>
                <w:p w14:paraId="697DF2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3</w:t>
                  </w:r>
                </w:p>
              </w:tc>
              <w:tc>
                <w:tcPr>
                  <w:tcW w:w="556" w:type="dxa"/>
                  <w:noWrap w:val="0"/>
                  <w:vAlign w:val="center"/>
                </w:tcPr>
                <w:p w14:paraId="6E067A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22</w:t>
                  </w:r>
                </w:p>
              </w:tc>
              <w:tc>
                <w:tcPr>
                  <w:tcW w:w="586" w:type="dxa"/>
                  <w:noWrap w:val="0"/>
                  <w:vAlign w:val="center"/>
                </w:tcPr>
                <w:p w14:paraId="1C2DAE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76</w:t>
                  </w:r>
                </w:p>
              </w:tc>
              <w:tc>
                <w:tcPr>
                  <w:tcW w:w="434" w:type="dxa"/>
                  <w:vMerge w:val="continue"/>
                  <w:noWrap w:val="0"/>
                  <w:vAlign w:val="center"/>
                </w:tcPr>
                <w:p w14:paraId="168EB0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656" w:type="dxa"/>
                  <w:noWrap w:val="0"/>
                  <w:vAlign w:val="center"/>
                </w:tcPr>
                <w:p w14:paraId="3684A0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18</w:t>
                  </w:r>
                </w:p>
              </w:tc>
              <w:tc>
                <w:tcPr>
                  <w:tcW w:w="540" w:type="dxa"/>
                  <w:noWrap w:val="0"/>
                  <w:vAlign w:val="center"/>
                </w:tcPr>
                <w:p w14:paraId="3CB1D7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58</w:t>
                  </w:r>
                </w:p>
              </w:tc>
              <w:tc>
                <w:tcPr>
                  <w:tcW w:w="579" w:type="dxa"/>
                  <w:noWrap w:val="0"/>
                  <w:vAlign w:val="center"/>
                </w:tcPr>
                <w:p w14:paraId="4C1252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15</w:t>
                  </w:r>
                </w:p>
              </w:tc>
            </w:tr>
            <w:tr w14:paraId="37D54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noWrap w:val="0"/>
                  <w:vAlign w:val="center"/>
                </w:tcPr>
                <w:p w14:paraId="512296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565" w:type="dxa"/>
                  <w:vMerge w:val="continue"/>
                  <w:noWrap w:val="0"/>
                  <w:vAlign w:val="center"/>
                </w:tcPr>
                <w:p w14:paraId="5743CA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1076" w:type="dxa"/>
                  <w:noWrap w:val="0"/>
                  <w:vAlign w:val="center"/>
                </w:tcPr>
                <w:p w14:paraId="16E72F23">
                  <w:pPr>
                    <w:spacing w:line="240" w:lineRule="auto"/>
                    <w:ind w:firstLine="0" w:firstLineChars="0"/>
                    <w:jc w:val="center"/>
                    <w:rPr>
                      <w:rFonts w:hint="default"/>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喷砂机3</w:t>
                  </w:r>
                </w:p>
              </w:tc>
              <w:tc>
                <w:tcPr>
                  <w:tcW w:w="761" w:type="dxa"/>
                  <w:noWrap w:val="0"/>
                  <w:vAlign w:val="center"/>
                </w:tcPr>
                <w:p w14:paraId="7C2EBD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80</w:t>
                  </w:r>
                </w:p>
              </w:tc>
              <w:tc>
                <w:tcPr>
                  <w:tcW w:w="636" w:type="dxa"/>
                  <w:vMerge w:val="continue"/>
                  <w:noWrap w:val="0"/>
                  <w:vAlign w:val="center"/>
                </w:tcPr>
                <w:p w14:paraId="7BA5B4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481" w:type="dxa"/>
                  <w:noWrap w:val="0"/>
                  <w:vAlign w:val="center"/>
                </w:tcPr>
                <w:p w14:paraId="74A2A9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90</w:t>
                  </w:r>
                </w:p>
              </w:tc>
              <w:tc>
                <w:tcPr>
                  <w:tcW w:w="481" w:type="dxa"/>
                  <w:noWrap w:val="0"/>
                  <w:vAlign w:val="center"/>
                </w:tcPr>
                <w:p w14:paraId="1EC828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35</w:t>
                  </w:r>
                </w:p>
              </w:tc>
              <w:tc>
                <w:tcPr>
                  <w:tcW w:w="479" w:type="dxa"/>
                  <w:noWrap w:val="0"/>
                  <w:vAlign w:val="center"/>
                </w:tcPr>
                <w:p w14:paraId="1AD7D7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4</w:t>
                  </w:r>
                </w:p>
              </w:tc>
              <w:tc>
                <w:tcPr>
                  <w:tcW w:w="556" w:type="dxa"/>
                  <w:noWrap w:val="0"/>
                  <w:vAlign w:val="center"/>
                </w:tcPr>
                <w:p w14:paraId="2EC706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20</w:t>
                  </w:r>
                </w:p>
              </w:tc>
              <w:tc>
                <w:tcPr>
                  <w:tcW w:w="586" w:type="dxa"/>
                  <w:noWrap w:val="0"/>
                  <w:vAlign w:val="center"/>
                </w:tcPr>
                <w:p w14:paraId="56FBB3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76</w:t>
                  </w:r>
                </w:p>
              </w:tc>
              <w:tc>
                <w:tcPr>
                  <w:tcW w:w="434" w:type="dxa"/>
                  <w:vMerge w:val="continue"/>
                  <w:noWrap w:val="0"/>
                  <w:vAlign w:val="center"/>
                </w:tcPr>
                <w:p w14:paraId="14FE81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656" w:type="dxa"/>
                  <w:noWrap w:val="0"/>
                  <w:vAlign w:val="center"/>
                </w:tcPr>
                <w:p w14:paraId="1285EC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18</w:t>
                  </w:r>
                </w:p>
              </w:tc>
              <w:tc>
                <w:tcPr>
                  <w:tcW w:w="540" w:type="dxa"/>
                  <w:noWrap w:val="0"/>
                  <w:vAlign w:val="center"/>
                </w:tcPr>
                <w:p w14:paraId="6134C1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58</w:t>
                  </w:r>
                </w:p>
              </w:tc>
              <w:tc>
                <w:tcPr>
                  <w:tcW w:w="579" w:type="dxa"/>
                  <w:noWrap w:val="0"/>
                  <w:vAlign w:val="center"/>
                </w:tcPr>
                <w:p w14:paraId="478EA7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rPr>
                    <w:t>15</w:t>
                  </w:r>
                </w:p>
              </w:tc>
            </w:tr>
            <w:tr w14:paraId="7122C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noWrap w:val="0"/>
                  <w:vAlign w:val="center"/>
                </w:tcPr>
                <w:p w14:paraId="6B9335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w:t>
                  </w:r>
                </w:p>
              </w:tc>
              <w:tc>
                <w:tcPr>
                  <w:tcW w:w="565" w:type="dxa"/>
                  <w:vMerge w:val="continue"/>
                  <w:noWrap w:val="0"/>
                  <w:vAlign w:val="center"/>
                </w:tcPr>
                <w:p w14:paraId="7438AD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1076" w:type="dxa"/>
                  <w:noWrap w:val="0"/>
                  <w:vAlign w:val="center"/>
                </w:tcPr>
                <w:p w14:paraId="66599EAA">
                  <w:pPr>
                    <w:spacing w:line="240" w:lineRule="auto"/>
                    <w:ind w:firstLine="0" w:firstLineChars="0"/>
                    <w:jc w:val="center"/>
                    <w:rPr>
                      <w:rFonts w:hint="eastAsia"/>
                      <w:color w:val="auto"/>
                      <w:sz w:val="21"/>
                      <w:szCs w:val="21"/>
                    </w:rPr>
                  </w:pPr>
                  <w:r>
                    <w:rPr>
                      <w:rFonts w:hint="eastAsia" w:ascii="Times New Roman" w:hAnsi="Times New Roman" w:eastAsia="宋体" w:cs="Times New Roman"/>
                      <w:color w:val="auto"/>
                      <w:sz w:val="21"/>
                      <w:szCs w:val="21"/>
                      <w:lang w:val="en-US" w:eastAsia="zh-CN"/>
                    </w:rPr>
                    <w:t>喷砂机4</w:t>
                  </w:r>
                </w:p>
              </w:tc>
              <w:tc>
                <w:tcPr>
                  <w:tcW w:w="761" w:type="dxa"/>
                  <w:shd w:val="clear" w:color="auto" w:fill="auto"/>
                  <w:noWrap w:val="0"/>
                  <w:vAlign w:val="center"/>
                </w:tcPr>
                <w:p w14:paraId="62B81F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80</w:t>
                  </w:r>
                </w:p>
              </w:tc>
              <w:tc>
                <w:tcPr>
                  <w:tcW w:w="636" w:type="dxa"/>
                  <w:vMerge w:val="continue"/>
                  <w:noWrap w:val="0"/>
                  <w:vAlign w:val="center"/>
                </w:tcPr>
                <w:p w14:paraId="7103A7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481" w:type="dxa"/>
                  <w:shd w:val="clear" w:color="auto" w:fill="auto"/>
                  <w:noWrap w:val="0"/>
                  <w:vAlign w:val="center"/>
                </w:tcPr>
                <w:p w14:paraId="487C66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10</w:t>
                  </w:r>
                </w:p>
              </w:tc>
              <w:tc>
                <w:tcPr>
                  <w:tcW w:w="481" w:type="dxa"/>
                  <w:shd w:val="clear" w:color="auto" w:fill="auto"/>
                  <w:noWrap w:val="0"/>
                  <w:vAlign w:val="center"/>
                </w:tcPr>
                <w:p w14:paraId="790174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30</w:t>
                  </w:r>
                </w:p>
              </w:tc>
              <w:tc>
                <w:tcPr>
                  <w:tcW w:w="479" w:type="dxa"/>
                  <w:shd w:val="clear" w:color="auto" w:fill="auto"/>
                  <w:noWrap w:val="0"/>
                  <w:vAlign w:val="center"/>
                </w:tcPr>
                <w:p w14:paraId="11DBF5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1</w:t>
                  </w:r>
                </w:p>
              </w:tc>
              <w:tc>
                <w:tcPr>
                  <w:tcW w:w="556" w:type="dxa"/>
                  <w:shd w:val="clear" w:color="auto" w:fill="auto"/>
                  <w:noWrap w:val="0"/>
                  <w:vAlign w:val="center"/>
                </w:tcPr>
                <w:p w14:paraId="2D3A91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20</w:t>
                  </w:r>
                </w:p>
              </w:tc>
              <w:tc>
                <w:tcPr>
                  <w:tcW w:w="586" w:type="dxa"/>
                  <w:shd w:val="clear" w:color="auto" w:fill="auto"/>
                  <w:noWrap w:val="0"/>
                  <w:vAlign w:val="center"/>
                </w:tcPr>
                <w:p w14:paraId="48A1A0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76</w:t>
                  </w:r>
                </w:p>
              </w:tc>
              <w:tc>
                <w:tcPr>
                  <w:tcW w:w="434" w:type="dxa"/>
                  <w:vMerge w:val="continue"/>
                  <w:noWrap w:val="0"/>
                  <w:vAlign w:val="center"/>
                </w:tcPr>
                <w:p w14:paraId="5F6357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656" w:type="dxa"/>
                  <w:shd w:val="clear" w:color="auto" w:fill="auto"/>
                  <w:noWrap w:val="0"/>
                  <w:vAlign w:val="center"/>
                </w:tcPr>
                <w:p w14:paraId="634641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18</w:t>
                  </w:r>
                </w:p>
              </w:tc>
              <w:tc>
                <w:tcPr>
                  <w:tcW w:w="540" w:type="dxa"/>
                  <w:shd w:val="clear" w:color="auto" w:fill="auto"/>
                  <w:noWrap w:val="0"/>
                  <w:vAlign w:val="center"/>
                </w:tcPr>
                <w:p w14:paraId="79BB7B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58</w:t>
                  </w:r>
                </w:p>
              </w:tc>
              <w:tc>
                <w:tcPr>
                  <w:tcW w:w="579" w:type="dxa"/>
                  <w:shd w:val="clear" w:color="auto" w:fill="auto"/>
                  <w:noWrap w:val="0"/>
                  <w:vAlign w:val="center"/>
                </w:tcPr>
                <w:p w14:paraId="7C78EE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15</w:t>
                  </w:r>
                </w:p>
              </w:tc>
            </w:tr>
            <w:tr w14:paraId="456A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noWrap w:val="0"/>
                  <w:vAlign w:val="center"/>
                </w:tcPr>
                <w:p w14:paraId="7488E3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p>
              </w:tc>
              <w:tc>
                <w:tcPr>
                  <w:tcW w:w="565" w:type="dxa"/>
                  <w:vMerge w:val="continue"/>
                  <w:noWrap w:val="0"/>
                  <w:vAlign w:val="center"/>
                </w:tcPr>
                <w:p w14:paraId="145D77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1076" w:type="dxa"/>
                  <w:noWrap w:val="0"/>
                  <w:vAlign w:val="center"/>
                </w:tcPr>
                <w:p w14:paraId="392E8591">
                  <w:pPr>
                    <w:spacing w:line="240" w:lineRule="auto"/>
                    <w:ind w:firstLine="0" w:firstLineChars="0"/>
                    <w:jc w:val="center"/>
                    <w:rPr>
                      <w:rFonts w:hint="eastAsia"/>
                      <w:color w:val="auto"/>
                      <w:sz w:val="21"/>
                      <w:szCs w:val="21"/>
                    </w:rPr>
                  </w:pPr>
                  <w:r>
                    <w:rPr>
                      <w:rFonts w:hint="eastAsia" w:ascii="Times New Roman" w:hAnsi="Times New Roman" w:eastAsia="宋体" w:cs="Times New Roman"/>
                      <w:color w:val="auto"/>
                      <w:sz w:val="21"/>
                      <w:szCs w:val="21"/>
                      <w:lang w:val="en-US" w:eastAsia="zh-CN"/>
                    </w:rPr>
                    <w:t>喷砂机5</w:t>
                  </w:r>
                </w:p>
              </w:tc>
              <w:tc>
                <w:tcPr>
                  <w:tcW w:w="761" w:type="dxa"/>
                  <w:shd w:val="clear" w:color="auto" w:fill="auto"/>
                  <w:noWrap w:val="0"/>
                  <w:vAlign w:val="center"/>
                </w:tcPr>
                <w:p w14:paraId="64A7A0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85</w:t>
                  </w:r>
                </w:p>
              </w:tc>
              <w:tc>
                <w:tcPr>
                  <w:tcW w:w="636" w:type="dxa"/>
                  <w:vMerge w:val="continue"/>
                  <w:noWrap w:val="0"/>
                  <w:vAlign w:val="center"/>
                </w:tcPr>
                <w:p w14:paraId="50BC79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481" w:type="dxa"/>
                  <w:shd w:val="clear" w:color="auto" w:fill="auto"/>
                  <w:noWrap w:val="0"/>
                  <w:vAlign w:val="center"/>
                </w:tcPr>
                <w:p w14:paraId="0BE103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12</w:t>
                  </w:r>
                </w:p>
              </w:tc>
              <w:tc>
                <w:tcPr>
                  <w:tcW w:w="481" w:type="dxa"/>
                  <w:shd w:val="clear" w:color="auto" w:fill="auto"/>
                  <w:noWrap w:val="0"/>
                  <w:vAlign w:val="center"/>
                </w:tcPr>
                <w:p w14:paraId="144CDA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50</w:t>
                  </w:r>
                </w:p>
              </w:tc>
              <w:tc>
                <w:tcPr>
                  <w:tcW w:w="479" w:type="dxa"/>
                  <w:shd w:val="clear" w:color="auto" w:fill="auto"/>
                  <w:noWrap w:val="0"/>
                  <w:vAlign w:val="center"/>
                </w:tcPr>
                <w:p w14:paraId="0FAAC0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5</w:t>
                  </w:r>
                </w:p>
              </w:tc>
              <w:tc>
                <w:tcPr>
                  <w:tcW w:w="556" w:type="dxa"/>
                  <w:shd w:val="clear" w:color="auto" w:fill="auto"/>
                  <w:noWrap w:val="0"/>
                  <w:vAlign w:val="center"/>
                </w:tcPr>
                <w:p w14:paraId="4353A1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25</w:t>
                  </w:r>
                </w:p>
              </w:tc>
              <w:tc>
                <w:tcPr>
                  <w:tcW w:w="586" w:type="dxa"/>
                  <w:shd w:val="clear" w:color="auto" w:fill="auto"/>
                  <w:noWrap w:val="0"/>
                  <w:vAlign w:val="center"/>
                </w:tcPr>
                <w:p w14:paraId="60647E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79</w:t>
                  </w:r>
                </w:p>
              </w:tc>
              <w:tc>
                <w:tcPr>
                  <w:tcW w:w="434" w:type="dxa"/>
                  <w:vMerge w:val="continue"/>
                  <w:noWrap w:val="0"/>
                  <w:vAlign w:val="center"/>
                </w:tcPr>
                <w:p w14:paraId="4654CA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656" w:type="dxa"/>
                  <w:shd w:val="clear" w:color="auto" w:fill="auto"/>
                  <w:noWrap w:val="0"/>
                  <w:vAlign w:val="center"/>
                </w:tcPr>
                <w:p w14:paraId="2B78B8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20</w:t>
                  </w:r>
                </w:p>
              </w:tc>
              <w:tc>
                <w:tcPr>
                  <w:tcW w:w="540" w:type="dxa"/>
                  <w:shd w:val="clear" w:color="auto" w:fill="auto"/>
                  <w:noWrap w:val="0"/>
                  <w:vAlign w:val="center"/>
                </w:tcPr>
                <w:p w14:paraId="1052B6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59</w:t>
                  </w:r>
                </w:p>
              </w:tc>
              <w:tc>
                <w:tcPr>
                  <w:tcW w:w="579" w:type="dxa"/>
                  <w:shd w:val="clear" w:color="auto" w:fill="auto"/>
                  <w:noWrap w:val="0"/>
                  <w:vAlign w:val="center"/>
                </w:tcPr>
                <w:p w14:paraId="602A7A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15</w:t>
                  </w:r>
                </w:p>
              </w:tc>
            </w:tr>
            <w:tr w14:paraId="66456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noWrap w:val="0"/>
                  <w:vAlign w:val="center"/>
                </w:tcPr>
                <w:p w14:paraId="21BC39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w:t>
                  </w:r>
                </w:p>
              </w:tc>
              <w:tc>
                <w:tcPr>
                  <w:tcW w:w="565" w:type="dxa"/>
                  <w:vMerge w:val="continue"/>
                  <w:noWrap w:val="0"/>
                  <w:vAlign w:val="center"/>
                </w:tcPr>
                <w:p w14:paraId="373915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1076" w:type="dxa"/>
                  <w:noWrap w:val="0"/>
                  <w:vAlign w:val="center"/>
                </w:tcPr>
                <w:p w14:paraId="50035F09">
                  <w:pPr>
                    <w:spacing w:line="240" w:lineRule="auto"/>
                    <w:ind w:firstLine="0" w:firstLineChars="0"/>
                    <w:jc w:val="center"/>
                    <w:rPr>
                      <w:rFonts w:hint="eastAsia"/>
                      <w:color w:val="auto"/>
                      <w:sz w:val="21"/>
                      <w:szCs w:val="21"/>
                    </w:rPr>
                  </w:pPr>
                  <w:r>
                    <w:rPr>
                      <w:rFonts w:hint="eastAsia" w:ascii="Times New Roman" w:hAnsi="Times New Roman" w:eastAsia="宋体" w:cs="Times New Roman"/>
                      <w:color w:val="auto"/>
                      <w:sz w:val="21"/>
                      <w:szCs w:val="21"/>
                      <w:lang w:val="en-US" w:eastAsia="zh-CN"/>
                    </w:rPr>
                    <w:t>喷砂机6</w:t>
                  </w:r>
                </w:p>
              </w:tc>
              <w:tc>
                <w:tcPr>
                  <w:tcW w:w="761" w:type="dxa"/>
                  <w:shd w:val="clear" w:color="auto" w:fill="auto"/>
                  <w:noWrap w:val="0"/>
                  <w:vAlign w:val="center"/>
                </w:tcPr>
                <w:p w14:paraId="4DBD4B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85</w:t>
                  </w:r>
                </w:p>
              </w:tc>
              <w:tc>
                <w:tcPr>
                  <w:tcW w:w="636" w:type="dxa"/>
                  <w:vMerge w:val="continue"/>
                  <w:noWrap w:val="0"/>
                  <w:vAlign w:val="center"/>
                </w:tcPr>
                <w:p w14:paraId="00FAA1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481" w:type="dxa"/>
                  <w:shd w:val="clear" w:color="auto" w:fill="auto"/>
                  <w:noWrap w:val="0"/>
                  <w:vAlign w:val="center"/>
                </w:tcPr>
                <w:p w14:paraId="40C963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30</w:t>
                  </w:r>
                </w:p>
              </w:tc>
              <w:tc>
                <w:tcPr>
                  <w:tcW w:w="481" w:type="dxa"/>
                  <w:shd w:val="clear" w:color="auto" w:fill="auto"/>
                  <w:noWrap w:val="0"/>
                  <w:vAlign w:val="center"/>
                </w:tcPr>
                <w:p w14:paraId="796B27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40</w:t>
                  </w:r>
                </w:p>
              </w:tc>
              <w:tc>
                <w:tcPr>
                  <w:tcW w:w="479" w:type="dxa"/>
                  <w:shd w:val="clear" w:color="auto" w:fill="auto"/>
                  <w:noWrap w:val="0"/>
                  <w:vAlign w:val="center"/>
                </w:tcPr>
                <w:p w14:paraId="534236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5</w:t>
                  </w:r>
                </w:p>
              </w:tc>
              <w:tc>
                <w:tcPr>
                  <w:tcW w:w="556" w:type="dxa"/>
                  <w:shd w:val="clear" w:color="auto" w:fill="auto"/>
                  <w:noWrap w:val="0"/>
                  <w:vAlign w:val="center"/>
                </w:tcPr>
                <w:p w14:paraId="161AF8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22</w:t>
                  </w:r>
                </w:p>
              </w:tc>
              <w:tc>
                <w:tcPr>
                  <w:tcW w:w="586" w:type="dxa"/>
                  <w:shd w:val="clear" w:color="auto" w:fill="auto"/>
                  <w:noWrap w:val="0"/>
                  <w:vAlign w:val="center"/>
                </w:tcPr>
                <w:p w14:paraId="1C8DDD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76</w:t>
                  </w:r>
                </w:p>
              </w:tc>
              <w:tc>
                <w:tcPr>
                  <w:tcW w:w="434" w:type="dxa"/>
                  <w:vMerge w:val="continue"/>
                  <w:noWrap w:val="0"/>
                  <w:vAlign w:val="center"/>
                </w:tcPr>
                <w:p w14:paraId="53EA56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656" w:type="dxa"/>
                  <w:shd w:val="clear" w:color="auto" w:fill="auto"/>
                  <w:noWrap w:val="0"/>
                  <w:vAlign w:val="center"/>
                </w:tcPr>
                <w:p w14:paraId="27118C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20</w:t>
                  </w:r>
                </w:p>
              </w:tc>
              <w:tc>
                <w:tcPr>
                  <w:tcW w:w="540" w:type="dxa"/>
                  <w:shd w:val="clear" w:color="auto" w:fill="auto"/>
                  <w:noWrap w:val="0"/>
                  <w:vAlign w:val="center"/>
                </w:tcPr>
                <w:p w14:paraId="69444F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59</w:t>
                  </w:r>
                </w:p>
              </w:tc>
              <w:tc>
                <w:tcPr>
                  <w:tcW w:w="579" w:type="dxa"/>
                  <w:shd w:val="clear" w:color="auto" w:fill="auto"/>
                  <w:noWrap w:val="0"/>
                  <w:vAlign w:val="center"/>
                </w:tcPr>
                <w:p w14:paraId="40B452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15</w:t>
                  </w:r>
                </w:p>
              </w:tc>
            </w:tr>
            <w:tr w14:paraId="2718C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noWrap w:val="0"/>
                  <w:vAlign w:val="center"/>
                </w:tcPr>
                <w:p w14:paraId="2E4644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w:t>
                  </w:r>
                </w:p>
              </w:tc>
              <w:tc>
                <w:tcPr>
                  <w:tcW w:w="565" w:type="dxa"/>
                  <w:vMerge w:val="continue"/>
                  <w:noWrap w:val="0"/>
                  <w:vAlign w:val="center"/>
                </w:tcPr>
                <w:p w14:paraId="3A7145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1076" w:type="dxa"/>
                  <w:noWrap w:val="0"/>
                  <w:vAlign w:val="center"/>
                </w:tcPr>
                <w:p w14:paraId="7ADE0FFA">
                  <w:pPr>
                    <w:spacing w:line="240" w:lineRule="auto"/>
                    <w:ind w:firstLine="0" w:firstLineChars="0"/>
                    <w:jc w:val="center"/>
                    <w:rPr>
                      <w:rFonts w:hint="eastAsia"/>
                      <w:color w:val="auto"/>
                      <w:sz w:val="21"/>
                      <w:szCs w:val="21"/>
                    </w:rPr>
                  </w:pPr>
                  <w:r>
                    <w:rPr>
                      <w:rFonts w:hint="eastAsia" w:ascii="Times New Roman" w:hAnsi="Times New Roman" w:eastAsia="宋体" w:cs="Times New Roman"/>
                      <w:color w:val="auto"/>
                      <w:sz w:val="21"/>
                      <w:szCs w:val="21"/>
                      <w:lang w:val="en-US" w:eastAsia="zh-CN"/>
                    </w:rPr>
                    <w:t>喷砂机7</w:t>
                  </w:r>
                </w:p>
              </w:tc>
              <w:tc>
                <w:tcPr>
                  <w:tcW w:w="761" w:type="dxa"/>
                  <w:shd w:val="clear" w:color="auto" w:fill="auto"/>
                  <w:noWrap w:val="0"/>
                  <w:vAlign w:val="center"/>
                </w:tcPr>
                <w:p w14:paraId="5BF5F0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85</w:t>
                  </w:r>
                </w:p>
              </w:tc>
              <w:tc>
                <w:tcPr>
                  <w:tcW w:w="636" w:type="dxa"/>
                  <w:vMerge w:val="continue"/>
                  <w:noWrap w:val="0"/>
                  <w:vAlign w:val="center"/>
                </w:tcPr>
                <w:p w14:paraId="52C3C0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481" w:type="dxa"/>
                  <w:shd w:val="clear" w:color="auto" w:fill="auto"/>
                  <w:noWrap w:val="0"/>
                  <w:vAlign w:val="center"/>
                </w:tcPr>
                <w:p w14:paraId="509987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40</w:t>
                  </w:r>
                </w:p>
              </w:tc>
              <w:tc>
                <w:tcPr>
                  <w:tcW w:w="481" w:type="dxa"/>
                  <w:shd w:val="clear" w:color="auto" w:fill="auto"/>
                  <w:noWrap w:val="0"/>
                  <w:vAlign w:val="center"/>
                </w:tcPr>
                <w:p w14:paraId="2C207E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20</w:t>
                  </w:r>
                </w:p>
              </w:tc>
              <w:tc>
                <w:tcPr>
                  <w:tcW w:w="479" w:type="dxa"/>
                  <w:shd w:val="clear" w:color="auto" w:fill="auto"/>
                  <w:noWrap w:val="0"/>
                  <w:vAlign w:val="center"/>
                </w:tcPr>
                <w:p w14:paraId="2D56F1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5</w:t>
                  </w:r>
                </w:p>
              </w:tc>
              <w:tc>
                <w:tcPr>
                  <w:tcW w:w="556" w:type="dxa"/>
                  <w:shd w:val="clear" w:color="auto" w:fill="auto"/>
                  <w:noWrap w:val="0"/>
                  <w:vAlign w:val="center"/>
                </w:tcPr>
                <w:p w14:paraId="7F32FB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20</w:t>
                  </w:r>
                </w:p>
              </w:tc>
              <w:tc>
                <w:tcPr>
                  <w:tcW w:w="586" w:type="dxa"/>
                  <w:shd w:val="clear" w:color="auto" w:fill="auto"/>
                  <w:noWrap w:val="0"/>
                  <w:vAlign w:val="center"/>
                </w:tcPr>
                <w:p w14:paraId="708E7B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76</w:t>
                  </w:r>
                </w:p>
              </w:tc>
              <w:tc>
                <w:tcPr>
                  <w:tcW w:w="434" w:type="dxa"/>
                  <w:vMerge w:val="continue"/>
                  <w:noWrap w:val="0"/>
                  <w:vAlign w:val="center"/>
                </w:tcPr>
                <w:p w14:paraId="155F84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656" w:type="dxa"/>
                  <w:shd w:val="clear" w:color="auto" w:fill="auto"/>
                  <w:noWrap w:val="0"/>
                  <w:vAlign w:val="center"/>
                </w:tcPr>
                <w:p w14:paraId="33DBF7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20</w:t>
                  </w:r>
                </w:p>
              </w:tc>
              <w:tc>
                <w:tcPr>
                  <w:tcW w:w="540" w:type="dxa"/>
                  <w:shd w:val="clear" w:color="auto" w:fill="auto"/>
                  <w:noWrap w:val="0"/>
                  <w:vAlign w:val="center"/>
                </w:tcPr>
                <w:p w14:paraId="5EE9FB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59</w:t>
                  </w:r>
                </w:p>
              </w:tc>
              <w:tc>
                <w:tcPr>
                  <w:tcW w:w="579" w:type="dxa"/>
                  <w:shd w:val="clear" w:color="auto" w:fill="auto"/>
                  <w:noWrap w:val="0"/>
                  <w:vAlign w:val="center"/>
                </w:tcPr>
                <w:p w14:paraId="46C0B0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15</w:t>
                  </w:r>
                </w:p>
              </w:tc>
            </w:tr>
            <w:tr w14:paraId="56249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noWrap w:val="0"/>
                  <w:vAlign w:val="center"/>
                </w:tcPr>
                <w:p w14:paraId="6B256A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c>
                <w:tcPr>
                  <w:tcW w:w="565" w:type="dxa"/>
                  <w:vMerge w:val="continue"/>
                  <w:noWrap w:val="0"/>
                  <w:vAlign w:val="center"/>
                </w:tcPr>
                <w:p w14:paraId="240247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1076" w:type="dxa"/>
                  <w:noWrap w:val="0"/>
                  <w:vAlign w:val="center"/>
                </w:tcPr>
                <w:p w14:paraId="00FD4682">
                  <w:pPr>
                    <w:spacing w:line="240" w:lineRule="auto"/>
                    <w:ind w:firstLine="0" w:firstLineChars="0"/>
                    <w:jc w:val="center"/>
                    <w:rPr>
                      <w:rFonts w:hint="eastAsia"/>
                      <w:color w:val="auto"/>
                      <w:sz w:val="21"/>
                      <w:szCs w:val="21"/>
                    </w:rPr>
                  </w:pPr>
                  <w:r>
                    <w:rPr>
                      <w:rFonts w:hint="eastAsia" w:ascii="Times New Roman" w:hAnsi="Times New Roman" w:eastAsia="宋体" w:cs="Times New Roman"/>
                      <w:color w:val="auto"/>
                      <w:sz w:val="21"/>
                      <w:szCs w:val="21"/>
                      <w:lang w:val="en-US" w:eastAsia="zh-CN"/>
                    </w:rPr>
                    <w:t>喷砂机8</w:t>
                  </w:r>
                </w:p>
              </w:tc>
              <w:tc>
                <w:tcPr>
                  <w:tcW w:w="761" w:type="dxa"/>
                  <w:shd w:val="clear" w:color="auto" w:fill="auto"/>
                  <w:noWrap w:val="0"/>
                  <w:vAlign w:val="center"/>
                </w:tcPr>
                <w:p w14:paraId="00B182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85</w:t>
                  </w:r>
                </w:p>
              </w:tc>
              <w:tc>
                <w:tcPr>
                  <w:tcW w:w="636" w:type="dxa"/>
                  <w:vMerge w:val="continue"/>
                  <w:noWrap w:val="0"/>
                  <w:vAlign w:val="center"/>
                </w:tcPr>
                <w:p w14:paraId="5AA1D3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481" w:type="dxa"/>
                  <w:shd w:val="clear" w:color="auto" w:fill="auto"/>
                  <w:noWrap w:val="0"/>
                  <w:vAlign w:val="center"/>
                </w:tcPr>
                <w:p w14:paraId="346FCF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80</w:t>
                  </w:r>
                </w:p>
              </w:tc>
              <w:tc>
                <w:tcPr>
                  <w:tcW w:w="481" w:type="dxa"/>
                  <w:shd w:val="clear" w:color="auto" w:fill="auto"/>
                  <w:noWrap w:val="0"/>
                  <w:vAlign w:val="center"/>
                </w:tcPr>
                <w:p w14:paraId="25A4F5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20</w:t>
                  </w:r>
                </w:p>
              </w:tc>
              <w:tc>
                <w:tcPr>
                  <w:tcW w:w="479" w:type="dxa"/>
                  <w:shd w:val="clear" w:color="auto" w:fill="auto"/>
                  <w:noWrap w:val="0"/>
                  <w:vAlign w:val="center"/>
                </w:tcPr>
                <w:p w14:paraId="7B2ABF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5</w:t>
                  </w:r>
                </w:p>
              </w:tc>
              <w:tc>
                <w:tcPr>
                  <w:tcW w:w="556" w:type="dxa"/>
                  <w:shd w:val="clear" w:color="auto" w:fill="auto"/>
                  <w:noWrap w:val="0"/>
                  <w:vAlign w:val="center"/>
                </w:tcPr>
                <w:p w14:paraId="7BD3F9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25</w:t>
                  </w:r>
                </w:p>
              </w:tc>
              <w:tc>
                <w:tcPr>
                  <w:tcW w:w="586" w:type="dxa"/>
                  <w:shd w:val="clear" w:color="auto" w:fill="auto"/>
                  <w:noWrap w:val="0"/>
                  <w:vAlign w:val="center"/>
                </w:tcPr>
                <w:p w14:paraId="38E305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76</w:t>
                  </w:r>
                </w:p>
              </w:tc>
              <w:tc>
                <w:tcPr>
                  <w:tcW w:w="434" w:type="dxa"/>
                  <w:vMerge w:val="continue"/>
                  <w:noWrap w:val="0"/>
                  <w:vAlign w:val="center"/>
                </w:tcPr>
                <w:p w14:paraId="36A35C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656" w:type="dxa"/>
                  <w:shd w:val="clear" w:color="auto" w:fill="auto"/>
                  <w:noWrap w:val="0"/>
                  <w:vAlign w:val="center"/>
                </w:tcPr>
                <w:p w14:paraId="4F733D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20</w:t>
                  </w:r>
                </w:p>
              </w:tc>
              <w:tc>
                <w:tcPr>
                  <w:tcW w:w="540" w:type="dxa"/>
                  <w:shd w:val="clear" w:color="auto" w:fill="auto"/>
                  <w:noWrap w:val="0"/>
                  <w:vAlign w:val="center"/>
                </w:tcPr>
                <w:p w14:paraId="7CF2B3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59</w:t>
                  </w:r>
                </w:p>
              </w:tc>
              <w:tc>
                <w:tcPr>
                  <w:tcW w:w="579" w:type="dxa"/>
                  <w:shd w:val="clear" w:color="auto" w:fill="auto"/>
                  <w:noWrap w:val="0"/>
                  <w:vAlign w:val="center"/>
                </w:tcPr>
                <w:p w14:paraId="380584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15</w:t>
                  </w:r>
                </w:p>
              </w:tc>
            </w:tr>
            <w:tr w14:paraId="6F5BF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noWrap w:val="0"/>
                  <w:vAlign w:val="center"/>
                </w:tcPr>
                <w:p w14:paraId="79065E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16</w:t>
                  </w:r>
                </w:p>
              </w:tc>
              <w:tc>
                <w:tcPr>
                  <w:tcW w:w="565" w:type="dxa"/>
                  <w:vMerge w:val="continue"/>
                  <w:noWrap w:val="0"/>
                  <w:vAlign w:val="center"/>
                </w:tcPr>
                <w:p w14:paraId="0147B4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1076" w:type="dxa"/>
                  <w:noWrap w:val="0"/>
                  <w:vAlign w:val="center"/>
                </w:tcPr>
                <w:p w14:paraId="594EABF6">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风机1</w:t>
                  </w:r>
                </w:p>
              </w:tc>
              <w:tc>
                <w:tcPr>
                  <w:tcW w:w="761" w:type="dxa"/>
                  <w:shd w:val="clear" w:color="auto" w:fill="auto"/>
                  <w:noWrap w:val="0"/>
                  <w:vAlign w:val="center"/>
                </w:tcPr>
                <w:p w14:paraId="4132B9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80</w:t>
                  </w:r>
                </w:p>
              </w:tc>
              <w:tc>
                <w:tcPr>
                  <w:tcW w:w="636" w:type="dxa"/>
                  <w:vMerge w:val="continue"/>
                  <w:noWrap w:val="0"/>
                  <w:vAlign w:val="center"/>
                </w:tcPr>
                <w:p w14:paraId="152673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481" w:type="dxa"/>
                  <w:shd w:val="clear" w:color="auto" w:fill="auto"/>
                  <w:noWrap w:val="0"/>
                  <w:vAlign w:val="center"/>
                </w:tcPr>
                <w:p w14:paraId="1DD218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80</w:t>
                  </w:r>
                </w:p>
              </w:tc>
              <w:tc>
                <w:tcPr>
                  <w:tcW w:w="481" w:type="dxa"/>
                  <w:shd w:val="clear" w:color="auto" w:fill="auto"/>
                  <w:noWrap w:val="0"/>
                  <w:vAlign w:val="center"/>
                </w:tcPr>
                <w:p w14:paraId="03EAF9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30</w:t>
                  </w:r>
                </w:p>
              </w:tc>
              <w:tc>
                <w:tcPr>
                  <w:tcW w:w="479" w:type="dxa"/>
                  <w:shd w:val="clear" w:color="auto" w:fill="auto"/>
                  <w:noWrap w:val="0"/>
                  <w:vAlign w:val="center"/>
                </w:tcPr>
                <w:p w14:paraId="0D67C5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3</w:t>
                  </w:r>
                </w:p>
              </w:tc>
              <w:tc>
                <w:tcPr>
                  <w:tcW w:w="556" w:type="dxa"/>
                  <w:shd w:val="clear" w:color="auto" w:fill="auto"/>
                  <w:noWrap w:val="0"/>
                  <w:vAlign w:val="center"/>
                </w:tcPr>
                <w:p w14:paraId="6098D2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22</w:t>
                  </w:r>
                </w:p>
              </w:tc>
              <w:tc>
                <w:tcPr>
                  <w:tcW w:w="586" w:type="dxa"/>
                  <w:shd w:val="clear" w:color="auto" w:fill="auto"/>
                  <w:noWrap w:val="0"/>
                  <w:vAlign w:val="center"/>
                </w:tcPr>
                <w:p w14:paraId="55A51F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76</w:t>
                  </w:r>
                </w:p>
              </w:tc>
              <w:tc>
                <w:tcPr>
                  <w:tcW w:w="434" w:type="dxa"/>
                  <w:vMerge w:val="continue"/>
                  <w:noWrap w:val="0"/>
                  <w:vAlign w:val="center"/>
                </w:tcPr>
                <w:p w14:paraId="1E39B0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656" w:type="dxa"/>
                  <w:shd w:val="clear" w:color="auto" w:fill="auto"/>
                  <w:noWrap w:val="0"/>
                  <w:vAlign w:val="center"/>
                </w:tcPr>
                <w:p w14:paraId="1F2F1A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18</w:t>
                  </w:r>
                </w:p>
              </w:tc>
              <w:tc>
                <w:tcPr>
                  <w:tcW w:w="540" w:type="dxa"/>
                  <w:shd w:val="clear" w:color="auto" w:fill="auto"/>
                  <w:noWrap w:val="0"/>
                  <w:vAlign w:val="center"/>
                </w:tcPr>
                <w:p w14:paraId="075904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58</w:t>
                  </w:r>
                </w:p>
              </w:tc>
              <w:tc>
                <w:tcPr>
                  <w:tcW w:w="579" w:type="dxa"/>
                  <w:shd w:val="clear" w:color="auto" w:fill="auto"/>
                  <w:noWrap w:val="0"/>
                  <w:vAlign w:val="center"/>
                </w:tcPr>
                <w:p w14:paraId="56212D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15</w:t>
                  </w:r>
                </w:p>
              </w:tc>
            </w:tr>
            <w:tr w14:paraId="1C0EC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shd w:val="clear" w:color="auto" w:fill="auto"/>
                  <w:noWrap w:val="0"/>
                  <w:vAlign w:val="center"/>
                </w:tcPr>
                <w:p w14:paraId="6641AB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17</w:t>
                  </w:r>
                </w:p>
              </w:tc>
              <w:tc>
                <w:tcPr>
                  <w:tcW w:w="565" w:type="dxa"/>
                  <w:vMerge w:val="restart"/>
                  <w:noWrap w:val="0"/>
                  <w:vAlign w:val="center"/>
                </w:tcPr>
                <w:p w14:paraId="4F9911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lang w:val="en-US" w:eastAsia="zh-CN"/>
                    </w:rPr>
                    <w:t>密炼车间</w:t>
                  </w:r>
                </w:p>
              </w:tc>
              <w:tc>
                <w:tcPr>
                  <w:tcW w:w="1076" w:type="dxa"/>
                  <w:noWrap w:val="0"/>
                  <w:vAlign w:val="center"/>
                </w:tcPr>
                <w:p w14:paraId="78AE3CD5">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水泵1</w:t>
                  </w:r>
                </w:p>
              </w:tc>
              <w:tc>
                <w:tcPr>
                  <w:tcW w:w="761" w:type="dxa"/>
                  <w:shd w:val="clear" w:color="auto" w:fill="auto"/>
                  <w:noWrap w:val="0"/>
                  <w:vAlign w:val="center"/>
                </w:tcPr>
                <w:p w14:paraId="124BB3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80</w:t>
                  </w:r>
                </w:p>
              </w:tc>
              <w:tc>
                <w:tcPr>
                  <w:tcW w:w="636" w:type="dxa"/>
                  <w:vMerge w:val="continue"/>
                  <w:noWrap w:val="0"/>
                  <w:vAlign w:val="center"/>
                </w:tcPr>
                <w:p w14:paraId="0A4630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481" w:type="dxa"/>
                  <w:shd w:val="clear" w:color="auto" w:fill="auto"/>
                  <w:noWrap w:val="0"/>
                  <w:vAlign w:val="center"/>
                </w:tcPr>
                <w:p w14:paraId="75360E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75</w:t>
                  </w:r>
                </w:p>
              </w:tc>
              <w:tc>
                <w:tcPr>
                  <w:tcW w:w="481" w:type="dxa"/>
                  <w:shd w:val="clear" w:color="auto" w:fill="auto"/>
                  <w:noWrap w:val="0"/>
                  <w:vAlign w:val="center"/>
                </w:tcPr>
                <w:p w14:paraId="1B64A9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30</w:t>
                  </w:r>
                </w:p>
              </w:tc>
              <w:tc>
                <w:tcPr>
                  <w:tcW w:w="479" w:type="dxa"/>
                  <w:shd w:val="clear" w:color="auto" w:fill="auto"/>
                  <w:noWrap w:val="0"/>
                  <w:vAlign w:val="center"/>
                </w:tcPr>
                <w:p w14:paraId="6E7E71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1</w:t>
                  </w:r>
                </w:p>
              </w:tc>
              <w:tc>
                <w:tcPr>
                  <w:tcW w:w="556" w:type="dxa"/>
                  <w:shd w:val="clear" w:color="auto" w:fill="auto"/>
                  <w:noWrap w:val="0"/>
                  <w:vAlign w:val="center"/>
                </w:tcPr>
                <w:p w14:paraId="6EF79D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20</w:t>
                  </w:r>
                </w:p>
              </w:tc>
              <w:tc>
                <w:tcPr>
                  <w:tcW w:w="586" w:type="dxa"/>
                  <w:shd w:val="clear" w:color="auto" w:fill="auto"/>
                  <w:noWrap w:val="0"/>
                  <w:vAlign w:val="center"/>
                </w:tcPr>
                <w:p w14:paraId="30B89F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76</w:t>
                  </w:r>
                </w:p>
              </w:tc>
              <w:tc>
                <w:tcPr>
                  <w:tcW w:w="434" w:type="dxa"/>
                  <w:vMerge w:val="continue"/>
                  <w:noWrap w:val="0"/>
                  <w:vAlign w:val="center"/>
                </w:tcPr>
                <w:p w14:paraId="751DC2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656" w:type="dxa"/>
                  <w:shd w:val="clear" w:color="auto" w:fill="auto"/>
                  <w:noWrap w:val="0"/>
                  <w:vAlign w:val="center"/>
                </w:tcPr>
                <w:p w14:paraId="6A4389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18</w:t>
                  </w:r>
                </w:p>
              </w:tc>
              <w:tc>
                <w:tcPr>
                  <w:tcW w:w="540" w:type="dxa"/>
                  <w:shd w:val="clear" w:color="auto" w:fill="auto"/>
                  <w:noWrap w:val="0"/>
                  <w:vAlign w:val="center"/>
                </w:tcPr>
                <w:p w14:paraId="6E390F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58</w:t>
                  </w:r>
                </w:p>
              </w:tc>
              <w:tc>
                <w:tcPr>
                  <w:tcW w:w="579" w:type="dxa"/>
                  <w:shd w:val="clear" w:color="auto" w:fill="auto"/>
                  <w:noWrap w:val="0"/>
                  <w:vAlign w:val="center"/>
                </w:tcPr>
                <w:p w14:paraId="4D8CB5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15</w:t>
                  </w:r>
                </w:p>
              </w:tc>
            </w:tr>
            <w:tr w14:paraId="68576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shd w:val="clear" w:color="auto" w:fill="auto"/>
                  <w:noWrap w:val="0"/>
                  <w:vAlign w:val="center"/>
                </w:tcPr>
                <w:p w14:paraId="0EDD0D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18</w:t>
                  </w:r>
                </w:p>
              </w:tc>
              <w:tc>
                <w:tcPr>
                  <w:tcW w:w="565" w:type="dxa"/>
                  <w:vMerge w:val="continue"/>
                  <w:noWrap w:val="0"/>
                  <w:vAlign w:val="center"/>
                </w:tcPr>
                <w:p w14:paraId="5F11AA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1076" w:type="dxa"/>
                  <w:noWrap w:val="0"/>
                  <w:vAlign w:val="center"/>
                </w:tcPr>
                <w:p w14:paraId="6007DDEF">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水泵2</w:t>
                  </w:r>
                </w:p>
              </w:tc>
              <w:tc>
                <w:tcPr>
                  <w:tcW w:w="761" w:type="dxa"/>
                  <w:shd w:val="clear" w:color="auto" w:fill="auto"/>
                  <w:noWrap w:val="0"/>
                  <w:vAlign w:val="center"/>
                </w:tcPr>
                <w:p w14:paraId="2B8AD5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85</w:t>
                  </w:r>
                </w:p>
              </w:tc>
              <w:tc>
                <w:tcPr>
                  <w:tcW w:w="636" w:type="dxa"/>
                  <w:vMerge w:val="continue"/>
                  <w:noWrap w:val="0"/>
                  <w:vAlign w:val="center"/>
                </w:tcPr>
                <w:p w14:paraId="66CC26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481" w:type="dxa"/>
                  <w:shd w:val="clear" w:color="auto" w:fill="auto"/>
                  <w:noWrap w:val="0"/>
                  <w:vAlign w:val="center"/>
                </w:tcPr>
                <w:p w14:paraId="0C0497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85</w:t>
                  </w:r>
                </w:p>
              </w:tc>
              <w:tc>
                <w:tcPr>
                  <w:tcW w:w="481" w:type="dxa"/>
                  <w:shd w:val="clear" w:color="auto" w:fill="auto"/>
                  <w:noWrap w:val="0"/>
                  <w:vAlign w:val="center"/>
                </w:tcPr>
                <w:p w14:paraId="55239F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25</w:t>
                  </w:r>
                </w:p>
              </w:tc>
              <w:tc>
                <w:tcPr>
                  <w:tcW w:w="479" w:type="dxa"/>
                  <w:shd w:val="clear" w:color="auto" w:fill="auto"/>
                  <w:noWrap w:val="0"/>
                  <w:vAlign w:val="center"/>
                </w:tcPr>
                <w:p w14:paraId="553C22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5</w:t>
                  </w:r>
                </w:p>
              </w:tc>
              <w:tc>
                <w:tcPr>
                  <w:tcW w:w="556" w:type="dxa"/>
                  <w:shd w:val="clear" w:color="auto" w:fill="auto"/>
                  <w:noWrap w:val="0"/>
                  <w:vAlign w:val="center"/>
                </w:tcPr>
                <w:p w14:paraId="58CBE9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25</w:t>
                  </w:r>
                </w:p>
              </w:tc>
              <w:tc>
                <w:tcPr>
                  <w:tcW w:w="586" w:type="dxa"/>
                  <w:shd w:val="clear" w:color="auto" w:fill="auto"/>
                  <w:noWrap w:val="0"/>
                  <w:vAlign w:val="center"/>
                </w:tcPr>
                <w:p w14:paraId="67824D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79</w:t>
                  </w:r>
                </w:p>
              </w:tc>
              <w:tc>
                <w:tcPr>
                  <w:tcW w:w="434" w:type="dxa"/>
                  <w:vMerge w:val="continue"/>
                  <w:noWrap w:val="0"/>
                  <w:vAlign w:val="center"/>
                </w:tcPr>
                <w:p w14:paraId="7FB4A9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656" w:type="dxa"/>
                  <w:shd w:val="clear" w:color="auto" w:fill="auto"/>
                  <w:noWrap w:val="0"/>
                  <w:vAlign w:val="center"/>
                </w:tcPr>
                <w:p w14:paraId="0E09DD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20</w:t>
                  </w:r>
                </w:p>
              </w:tc>
              <w:tc>
                <w:tcPr>
                  <w:tcW w:w="540" w:type="dxa"/>
                  <w:shd w:val="clear" w:color="auto" w:fill="auto"/>
                  <w:noWrap w:val="0"/>
                  <w:vAlign w:val="center"/>
                </w:tcPr>
                <w:p w14:paraId="4B765C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59</w:t>
                  </w:r>
                </w:p>
              </w:tc>
              <w:tc>
                <w:tcPr>
                  <w:tcW w:w="579" w:type="dxa"/>
                  <w:shd w:val="clear" w:color="auto" w:fill="auto"/>
                  <w:noWrap w:val="0"/>
                  <w:vAlign w:val="center"/>
                </w:tcPr>
                <w:p w14:paraId="68CFA3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15</w:t>
                  </w:r>
                </w:p>
              </w:tc>
            </w:tr>
            <w:tr w14:paraId="76782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noWrap w:val="0"/>
                  <w:vAlign w:val="center"/>
                </w:tcPr>
                <w:p w14:paraId="2A35B6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19</w:t>
                  </w:r>
                </w:p>
              </w:tc>
              <w:tc>
                <w:tcPr>
                  <w:tcW w:w="565" w:type="dxa"/>
                  <w:vMerge w:val="continue"/>
                  <w:noWrap w:val="0"/>
                  <w:vAlign w:val="center"/>
                </w:tcPr>
                <w:p w14:paraId="7BC51B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1076" w:type="dxa"/>
                  <w:noWrap w:val="0"/>
                  <w:vAlign w:val="center"/>
                </w:tcPr>
                <w:p w14:paraId="5848BEB5">
                  <w:pPr>
                    <w:spacing w:line="240" w:lineRule="auto"/>
                    <w:ind w:firstLine="0" w:firstLineChars="0"/>
                    <w:jc w:val="center"/>
                    <w:rPr>
                      <w:rFonts w:hint="default"/>
                      <w:color w:val="auto"/>
                      <w:sz w:val="21"/>
                      <w:szCs w:val="21"/>
                      <w:lang w:val="en-US"/>
                    </w:rPr>
                  </w:pPr>
                  <w:r>
                    <w:rPr>
                      <w:rFonts w:hint="eastAsia" w:ascii="Times New Roman" w:hAnsi="Times New Roman" w:eastAsia="宋体" w:cs="Times New Roman"/>
                      <w:color w:val="auto"/>
                      <w:sz w:val="21"/>
                      <w:szCs w:val="21"/>
                      <w:lang w:val="en-US" w:eastAsia="zh-CN"/>
                    </w:rPr>
                    <w:t>风机2</w:t>
                  </w:r>
                </w:p>
              </w:tc>
              <w:tc>
                <w:tcPr>
                  <w:tcW w:w="761" w:type="dxa"/>
                  <w:shd w:val="clear" w:color="auto" w:fill="auto"/>
                  <w:noWrap w:val="0"/>
                  <w:vAlign w:val="center"/>
                </w:tcPr>
                <w:p w14:paraId="404CF5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80</w:t>
                  </w:r>
                </w:p>
              </w:tc>
              <w:tc>
                <w:tcPr>
                  <w:tcW w:w="636" w:type="dxa"/>
                  <w:vMerge w:val="continue"/>
                  <w:noWrap w:val="0"/>
                  <w:vAlign w:val="center"/>
                </w:tcPr>
                <w:p w14:paraId="0C34AC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481" w:type="dxa"/>
                  <w:shd w:val="clear" w:color="auto" w:fill="auto"/>
                  <w:noWrap w:val="0"/>
                  <w:vAlign w:val="center"/>
                </w:tcPr>
                <w:p w14:paraId="74E8FE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85</w:t>
                  </w:r>
                </w:p>
              </w:tc>
              <w:tc>
                <w:tcPr>
                  <w:tcW w:w="481" w:type="dxa"/>
                  <w:shd w:val="clear" w:color="auto" w:fill="auto"/>
                  <w:noWrap w:val="0"/>
                  <w:vAlign w:val="center"/>
                </w:tcPr>
                <w:p w14:paraId="08EC86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30</w:t>
                  </w:r>
                </w:p>
              </w:tc>
              <w:tc>
                <w:tcPr>
                  <w:tcW w:w="479" w:type="dxa"/>
                  <w:shd w:val="clear" w:color="auto" w:fill="auto"/>
                  <w:noWrap w:val="0"/>
                  <w:vAlign w:val="center"/>
                </w:tcPr>
                <w:p w14:paraId="521574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3</w:t>
                  </w:r>
                </w:p>
              </w:tc>
              <w:tc>
                <w:tcPr>
                  <w:tcW w:w="556" w:type="dxa"/>
                  <w:shd w:val="clear" w:color="auto" w:fill="auto"/>
                  <w:noWrap w:val="0"/>
                  <w:vAlign w:val="center"/>
                </w:tcPr>
                <w:p w14:paraId="0A0CC1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22</w:t>
                  </w:r>
                </w:p>
              </w:tc>
              <w:tc>
                <w:tcPr>
                  <w:tcW w:w="586" w:type="dxa"/>
                  <w:shd w:val="clear" w:color="auto" w:fill="auto"/>
                  <w:noWrap w:val="0"/>
                  <w:vAlign w:val="center"/>
                </w:tcPr>
                <w:p w14:paraId="7069B4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76</w:t>
                  </w:r>
                </w:p>
              </w:tc>
              <w:tc>
                <w:tcPr>
                  <w:tcW w:w="434" w:type="dxa"/>
                  <w:vMerge w:val="continue"/>
                  <w:noWrap w:val="0"/>
                  <w:vAlign w:val="center"/>
                </w:tcPr>
                <w:p w14:paraId="44A3C3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656" w:type="dxa"/>
                  <w:shd w:val="clear" w:color="auto" w:fill="auto"/>
                  <w:noWrap w:val="0"/>
                  <w:vAlign w:val="center"/>
                </w:tcPr>
                <w:p w14:paraId="287403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18</w:t>
                  </w:r>
                </w:p>
              </w:tc>
              <w:tc>
                <w:tcPr>
                  <w:tcW w:w="540" w:type="dxa"/>
                  <w:shd w:val="clear" w:color="auto" w:fill="auto"/>
                  <w:noWrap w:val="0"/>
                  <w:vAlign w:val="center"/>
                </w:tcPr>
                <w:p w14:paraId="06E7AA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58</w:t>
                  </w:r>
                </w:p>
              </w:tc>
              <w:tc>
                <w:tcPr>
                  <w:tcW w:w="579" w:type="dxa"/>
                  <w:shd w:val="clear" w:color="auto" w:fill="auto"/>
                  <w:noWrap w:val="0"/>
                  <w:vAlign w:val="center"/>
                </w:tcPr>
                <w:p w14:paraId="026395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15</w:t>
                  </w:r>
                </w:p>
              </w:tc>
            </w:tr>
            <w:tr w14:paraId="7EE6A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noWrap w:val="0"/>
                  <w:vAlign w:val="center"/>
                </w:tcPr>
                <w:p w14:paraId="7444C1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565" w:type="dxa"/>
                  <w:noWrap w:val="0"/>
                  <w:vAlign w:val="center"/>
                </w:tcPr>
                <w:p w14:paraId="341FE5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r>
                    <w:rPr>
                      <w:rFonts w:hint="default" w:ascii="Times New Roman" w:hAnsi="Times New Roman" w:cs="Times New Roman"/>
                      <w:color w:val="auto"/>
                      <w:kern w:val="0"/>
                      <w:sz w:val="21"/>
                      <w:szCs w:val="16"/>
                      <w:lang w:val="en-US" w:eastAsia="zh-CN"/>
                    </w:rPr>
                    <w:t>硫化车间</w:t>
                  </w:r>
                </w:p>
              </w:tc>
              <w:tc>
                <w:tcPr>
                  <w:tcW w:w="1076" w:type="dxa"/>
                  <w:noWrap w:val="0"/>
                  <w:vAlign w:val="center"/>
                </w:tcPr>
                <w:p w14:paraId="12126A53">
                  <w:pPr>
                    <w:spacing w:line="240" w:lineRule="auto"/>
                    <w:ind w:firstLine="0" w:firstLineChars="0"/>
                    <w:jc w:val="center"/>
                    <w:rPr>
                      <w:rFonts w:hint="default"/>
                      <w:color w:val="auto"/>
                      <w:sz w:val="21"/>
                      <w:szCs w:val="21"/>
                      <w:lang w:val="en-US"/>
                    </w:rPr>
                  </w:pPr>
                  <w:r>
                    <w:rPr>
                      <w:rFonts w:hint="eastAsia" w:ascii="Times New Roman" w:hAnsi="Times New Roman" w:eastAsia="宋体" w:cs="Times New Roman"/>
                      <w:color w:val="auto"/>
                      <w:sz w:val="21"/>
                      <w:szCs w:val="21"/>
                      <w:lang w:val="en-US" w:eastAsia="zh-CN"/>
                    </w:rPr>
                    <w:t>风机3</w:t>
                  </w:r>
                </w:p>
              </w:tc>
              <w:tc>
                <w:tcPr>
                  <w:tcW w:w="761" w:type="dxa"/>
                  <w:shd w:val="clear" w:color="auto" w:fill="auto"/>
                  <w:noWrap w:val="0"/>
                  <w:vAlign w:val="center"/>
                </w:tcPr>
                <w:p w14:paraId="2355B5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80</w:t>
                  </w:r>
                </w:p>
              </w:tc>
              <w:tc>
                <w:tcPr>
                  <w:tcW w:w="636" w:type="dxa"/>
                  <w:vMerge w:val="continue"/>
                  <w:noWrap w:val="0"/>
                  <w:vAlign w:val="center"/>
                </w:tcPr>
                <w:p w14:paraId="2CE7A7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481" w:type="dxa"/>
                  <w:shd w:val="clear" w:color="auto" w:fill="auto"/>
                  <w:noWrap w:val="0"/>
                  <w:vAlign w:val="center"/>
                </w:tcPr>
                <w:p w14:paraId="5C3476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90</w:t>
                  </w:r>
                </w:p>
              </w:tc>
              <w:tc>
                <w:tcPr>
                  <w:tcW w:w="481" w:type="dxa"/>
                  <w:shd w:val="clear" w:color="auto" w:fill="auto"/>
                  <w:noWrap w:val="0"/>
                  <w:vAlign w:val="center"/>
                </w:tcPr>
                <w:p w14:paraId="284E21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35</w:t>
                  </w:r>
                </w:p>
              </w:tc>
              <w:tc>
                <w:tcPr>
                  <w:tcW w:w="479" w:type="dxa"/>
                  <w:shd w:val="clear" w:color="auto" w:fill="auto"/>
                  <w:noWrap w:val="0"/>
                  <w:vAlign w:val="center"/>
                </w:tcPr>
                <w:p w14:paraId="393CC7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4</w:t>
                  </w:r>
                </w:p>
              </w:tc>
              <w:tc>
                <w:tcPr>
                  <w:tcW w:w="556" w:type="dxa"/>
                  <w:shd w:val="clear" w:color="auto" w:fill="auto"/>
                  <w:noWrap w:val="0"/>
                  <w:vAlign w:val="center"/>
                </w:tcPr>
                <w:p w14:paraId="547427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20</w:t>
                  </w:r>
                </w:p>
              </w:tc>
              <w:tc>
                <w:tcPr>
                  <w:tcW w:w="586" w:type="dxa"/>
                  <w:shd w:val="clear" w:color="auto" w:fill="auto"/>
                  <w:noWrap w:val="0"/>
                  <w:vAlign w:val="center"/>
                </w:tcPr>
                <w:p w14:paraId="087AB4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76</w:t>
                  </w:r>
                </w:p>
              </w:tc>
              <w:tc>
                <w:tcPr>
                  <w:tcW w:w="434" w:type="dxa"/>
                  <w:vMerge w:val="continue"/>
                  <w:noWrap w:val="0"/>
                  <w:vAlign w:val="center"/>
                </w:tcPr>
                <w:p w14:paraId="2B228D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16"/>
                    </w:rPr>
                  </w:pPr>
                </w:p>
              </w:tc>
              <w:tc>
                <w:tcPr>
                  <w:tcW w:w="656" w:type="dxa"/>
                  <w:shd w:val="clear" w:color="auto" w:fill="auto"/>
                  <w:noWrap w:val="0"/>
                  <w:vAlign w:val="center"/>
                </w:tcPr>
                <w:p w14:paraId="6CE36E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18</w:t>
                  </w:r>
                </w:p>
              </w:tc>
              <w:tc>
                <w:tcPr>
                  <w:tcW w:w="540" w:type="dxa"/>
                  <w:shd w:val="clear" w:color="auto" w:fill="auto"/>
                  <w:noWrap w:val="0"/>
                  <w:vAlign w:val="center"/>
                </w:tcPr>
                <w:p w14:paraId="147BFD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58</w:t>
                  </w:r>
                </w:p>
              </w:tc>
              <w:tc>
                <w:tcPr>
                  <w:tcW w:w="579" w:type="dxa"/>
                  <w:shd w:val="clear" w:color="auto" w:fill="auto"/>
                  <w:noWrap w:val="0"/>
                  <w:vAlign w:val="center"/>
                </w:tcPr>
                <w:p w14:paraId="04FD25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16"/>
                      <w:lang w:val="en-US" w:eastAsia="zh-CN" w:bidi="ar-SA"/>
                    </w:rPr>
                  </w:pPr>
                  <w:r>
                    <w:rPr>
                      <w:rFonts w:hint="default" w:ascii="Times New Roman" w:hAnsi="Times New Roman" w:cs="Times New Roman"/>
                      <w:color w:val="auto"/>
                      <w:kern w:val="0"/>
                      <w:sz w:val="21"/>
                      <w:szCs w:val="16"/>
                    </w:rPr>
                    <w:t>15</w:t>
                  </w:r>
                </w:p>
              </w:tc>
            </w:tr>
          </w:tbl>
          <w:p w14:paraId="5E4A7D68">
            <w:pPr>
              <w:spacing w:line="240" w:lineRule="auto"/>
              <w:rPr>
                <w:rFonts w:hint="default" w:ascii="宋体" w:hAnsi="宋体" w:eastAsia="宋体" w:cs="宋体"/>
                <w:b/>
                <w:bCs/>
                <w:color w:val="auto"/>
                <w:kern w:val="0"/>
                <w:lang w:val="en-US" w:eastAsia="zh-CN"/>
              </w:rPr>
            </w:pPr>
            <w:r>
              <w:rPr>
                <w:rFonts w:hint="eastAsia" w:ascii="宋体" w:hAnsi="宋体" w:cs="宋体"/>
                <w:b/>
                <w:bCs/>
                <w:color w:val="auto"/>
                <w:kern w:val="0"/>
                <w:sz w:val="21"/>
                <w:szCs w:val="21"/>
                <w:lang w:val="en-US" w:eastAsia="zh-CN"/>
              </w:rPr>
              <w:t>本项目环保设备及风机、循环冷却系统均位于厂房内。</w:t>
            </w:r>
          </w:p>
          <w:p w14:paraId="129DFEED">
            <w:pPr>
              <w:ind w:firstLine="482"/>
              <w:rPr>
                <w:color w:val="auto"/>
                <w:kern w:val="0"/>
              </w:rPr>
            </w:pPr>
            <w:r>
              <w:rPr>
                <w:rFonts w:hint="eastAsia" w:ascii="宋体" w:hAnsi="宋体" w:cs="宋体"/>
                <w:b/>
                <w:bCs/>
                <w:color w:val="auto"/>
                <w:kern w:val="0"/>
              </w:rPr>
              <w:t>②</w:t>
            </w:r>
            <w:r>
              <w:rPr>
                <w:rFonts w:hint="eastAsia"/>
                <w:b/>
                <w:bCs/>
                <w:color w:val="auto"/>
                <w:kern w:val="0"/>
              </w:rPr>
              <w:t>噪声环境影响分析</w:t>
            </w:r>
          </w:p>
          <w:p w14:paraId="580D96EF">
            <w:pPr>
              <w:ind w:firstLine="480"/>
              <w:rPr>
                <w:rFonts w:hint="eastAsia"/>
                <w:color w:val="auto"/>
              </w:rPr>
            </w:pPr>
            <w:r>
              <w:rPr>
                <w:rFonts w:hint="eastAsia"/>
                <w:color w:val="auto"/>
              </w:rPr>
              <w:t>本项目</w:t>
            </w:r>
            <w:r>
              <w:rPr>
                <w:rFonts w:hint="eastAsia"/>
                <w:color w:val="auto"/>
                <w:lang w:val="en-US" w:eastAsia="zh-CN"/>
              </w:rPr>
              <w:t>环保设备及风机、循环冷却系统</w:t>
            </w:r>
            <w:r>
              <w:rPr>
                <w:rFonts w:hint="eastAsia"/>
                <w:color w:val="auto"/>
              </w:rPr>
              <w:t>均布置在厂房内，通过选用低噪设备、安装减振基座，并经厂区建筑物的隔声、距离的衰减，厂界噪声排放预测模式选用《环境影响评价技术导则</w:t>
            </w:r>
            <w:r>
              <w:rPr>
                <w:color w:val="auto"/>
              </w:rPr>
              <w:t>——</w:t>
            </w:r>
            <w:r>
              <w:rPr>
                <w:rFonts w:hint="eastAsia"/>
                <w:color w:val="auto"/>
              </w:rPr>
              <w:t>声环境》（</w:t>
            </w:r>
            <w:r>
              <w:rPr>
                <w:color w:val="auto"/>
              </w:rPr>
              <w:t>HJ2.4-20</w:t>
            </w:r>
            <w:r>
              <w:rPr>
                <w:rFonts w:hint="eastAsia"/>
                <w:color w:val="auto"/>
                <w:lang w:val="en-US" w:eastAsia="zh-CN"/>
              </w:rPr>
              <w:t>21</w:t>
            </w:r>
            <w:r>
              <w:rPr>
                <w:rFonts w:hint="eastAsia"/>
                <w:color w:val="auto"/>
              </w:rPr>
              <w:t>）推荐的模式，其数学表达式如下：</w:t>
            </w:r>
          </w:p>
          <w:p w14:paraId="35C88591">
            <w:pPr>
              <w:pStyle w:val="60"/>
              <w:spacing w:line="440" w:lineRule="exact"/>
              <w:rPr>
                <w:color w:val="auto"/>
              </w:rPr>
            </w:pPr>
            <w:r>
              <w:rPr>
                <w:color w:val="auto"/>
              </w:rPr>
              <w:t>①计算某个室内声源在靠近围护结构处的倍频带声压级：</w:t>
            </w:r>
          </w:p>
          <w:p w14:paraId="61E56BC6">
            <w:pPr>
              <w:pStyle w:val="60"/>
              <w:jc w:val="center"/>
              <w:rPr>
                <w:color w:val="auto"/>
              </w:rPr>
            </w:pPr>
            <w:r>
              <w:rPr>
                <w:color w:val="auto"/>
                <w:position w:val="-32"/>
              </w:rPr>
              <w:object>
                <v:shape id="_x0000_i1025" o:spt="75" type="#_x0000_t75" style="height:38.25pt;width:150.75pt;" o:ole="t" filled="f" o:preferrelative="t" stroked="f" coordsize="21600,21600">
                  <v:path/>
                  <v:fill on="f" focussize="0,0"/>
                  <v:stroke on="f"/>
                  <v:imagedata r:id="rId22" o:title=""/>
                  <o:lock v:ext="edit" aspectratio="t"/>
                  <w10:wrap type="none"/>
                  <w10:anchorlock/>
                </v:shape>
                <o:OLEObject Type="Embed" ProgID="Equation.3" ShapeID="_x0000_i1025" DrawAspect="Content" ObjectID="_1468075725" r:id="rId21">
                  <o:LockedField>false</o:LockedField>
                </o:OLEObject>
              </w:object>
            </w:r>
          </w:p>
          <w:p w14:paraId="1DBACDFE">
            <w:pPr>
              <w:pStyle w:val="60"/>
              <w:spacing w:line="440" w:lineRule="exact"/>
              <w:rPr>
                <w:color w:val="auto"/>
              </w:rPr>
            </w:pPr>
            <w:r>
              <w:rPr>
                <w:color w:val="auto"/>
              </w:rPr>
              <w:t>式中：L</w:t>
            </w:r>
            <w:r>
              <w:rPr>
                <w:color w:val="auto"/>
                <w:vertAlign w:val="subscript"/>
              </w:rPr>
              <w:t xml:space="preserve">oct,1  </w:t>
            </w:r>
            <w:r>
              <w:rPr>
                <w:color w:val="auto"/>
              </w:rPr>
              <w:sym w:font="Symbol" w:char="F0BE"/>
            </w:r>
            <w:r>
              <w:rPr>
                <w:color w:val="auto"/>
              </w:rPr>
              <w:t xml:space="preserve"> 某个室内声源在靠近围护结构处产生的倍频带声压级，dB；</w:t>
            </w:r>
          </w:p>
          <w:p w14:paraId="2B90ACE2">
            <w:pPr>
              <w:pStyle w:val="60"/>
              <w:spacing w:line="440" w:lineRule="exact"/>
              <w:ind w:left="780"/>
              <w:rPr>
                <w:color w:val="auto"/>
              </w:rPr>
            </w:pPr>
            <w:r>
              <w:rPr>
                <w:color w:val="auto"/>
              </w:rPr>
              <w:t>L</w:t>
            </w:r>
            <w:r>
              <w:rPr>
                <w:color w:val="auto"/>
                <w:vertAlign w:val="subscript"/>
              </w:rPr>
              <w:t xml:space="preserve">w oct </w:t>
            </w:r>
            <w:r>
              <w:rPr>
                <w:color w:val="auto"/>
              </w:rPr>
              <w:sym w:font="Symbol" w:char="F0BE"/>
            </w:r>
            <w:r>
              <w:rPr>
                <w:color w:val="auto"/>
                <w:vertAlign w:val="subscript"/>
              </w:rPr>
              <w:t xml:space="preserve">  </w:t>
            </w:r>
            <w:r>
              <w:rPr>
                <w:color w:val="auto"/>
              </w:rPr>
              <w:t>某个声源的倍频带声功率级，dB（A）；</w:t>
            </w:r>
          </w:p>
          <w:p w14:paraId="320F914D">
            <w:pPr>
              <w:pStyle w:val="60"/>
              <w:spacing w:line="440" w:lineRule="exact"/>
              <w:ind w:left="780"/>
              <w:rPr>
                <w:color w:val="auto"/>
              </w:rPr>
            </w:pPr>
            <w:r>
              <w:rPr>
                <w:color w:val="auto"/>
              </w:rPr>
              <w:t>r</w:t>
            </w:r>
            <w:r>
              <w:rPr>
                <w:color w:val="auto"/>
                <w:vertAlign w:val="subscript"/>
              </w:rPr>
              <w:t>1</w:t>
            </w:r>
            <w:r>
              <w:rPr>
                <w:color w:val="auto"/>
              </w:rPr>
              <w:sym w:font="Symbol" w:char="F0BE"/>
            </w:r>
            <w:r>
              <w:rPr>
                <w:color w:val="auto"/>
                <w:vertAlign w:val="subscript"/>
              </w:rPr>
              <w:t xml:space="preserve">  </w:t>
            </w:r>
            <w:r>
              <w:rPr>
                <w:color w:val="auto"/>
              </w:rPr>
              <w:t>室内某个声源与靠近围护结构处的距离，m；</w:t>
            </w:r>
          </w:p>
          <w:p w14:paraId="0A3E24CF">
            <w:pPr>
              <w:pStyle w:val="60"/>
              <w:spacing w:line="440" w:lineRule="exact"/>
              <w:ind w:left="780"/>
              <w:rPr>
                <w:color w:val="auto"/>
              </w:rPr>
            </w:pPr>
            <w:r>
              <w:rPr>
                <w:color w:val="auto"/>
              </w:rPr>
              <w:t>R</w:t>
            </w:r>
            <w:r>
              <w:rPr>
                <w:color w:val="auto"/>
                <w:vertAlign w:val="subscript"/>
              </w:rPr>
              <w:t xml:space="preserve"> </w:t>
            </w:r>
            <w:r>
              <w:rPr>
                <w:color w:val="auto"/>
              </w:rPr>
              <w:sym w:font="Symbol" w:char="F0BE"/>
            </w:r>
            <w:r>
              <w:rPr>
                <w:color w:val="auto"/>
              </w:rPr>
              <w:t xml:space="preserve"> 房间常数，m</w:t>
            </w:r>
            <w:r>
              <w:rPr>
                <w:color w:val="auto"/>
                <w:vertAlign w:val="superscript"/>
              </w:rPr>
              <w:t>2</w:t>
            </w:r>
            <w:r>
              <w:rPr>
                <w:color w:val="auto"/>
              </w:rPr>
              <w:t>；</w:t>
            </w:r>
          </w:p>
          <w:p w14:paraId="0CF619A0">
            <w:pPr>
              <w:pStyle w:val="60"/>
              <w:spacing w:line="440" w:lineRule="exact"/>
              <w:ind w:left="780"/>
              <w:rPr>
                <w:color w:val="auto"/>
              </w:rPr>
            </w:pPr>
            <w:r>
              <w:rPr>
                <w:color w:val="auto"/>
              </w:rPr>
              <w:t>Q</w:t>
            </w:r>
            <w:r>
              <w:rPr>
                <w:color w:val="auto"/>
              </w:rPr>
              <w:sym w:font="Symbol" w:char="F0BE"/>
            </w:r>
            <w:r>
              <w:rPr>
                <w:color w:val="auto"/>
              </w:rPr>
              <w:t xml:space="preserve"> 方向性因子，无量纲值。</w:t>
            </w:r>
          </w:p>
          <w:p w14:paraId="2D0A985B">
            <w:pPr>
              <w:pStyle w:val="60"/>
              <w:spacing w:line="440" w:lineRule="exact"/>
              <w:rPr>
                <w:color w:val="auto"/>
              </w:rPr>
            </w:pPr>
            <w:r>
              <w:rPr>
                <w:color w:val="auto"/>
              </w:rPr>
              <w:t>②计算所有室内声源在靠近围护结构处产生的总倍频带声压级：</w:t>
            </w:r>
            <w:r>
              <w:rPr>
                <w:color w:val="auto"/>
              </w:rPr>
              <w:tab/>
            </w:r>
          </w:p>
          <w:p w14:paraId="6A2A9D53">
            <w:pPr>
              <w:pStyle w:val="60"/>
              <w:spacing w:line="240" w:lineRule="auto"/>
              <w:ind w:firstLine="0" w:firstLineChars="0"/>
              <w:jc w:val="center"/>
              <w:rPr>
                <w:color w:val="auto"/>
              </w:rPr>
            </w:pPr>
            <w:r>
              <w:rPr>
                <w:color w:val="auto"/>
                <w:position w:val="-30"/>
              </w:rPr>
              <w:object>
                <v:shape id="_x0000_i1026" o:spt="75" type="#_x0000_t75" style="height:36pt;width:140.25pt;" o:ole="t" filled="f" o:preferrelative="t" stroked="f" coordsize="21600,21600">
                  <v:path/>
                  <v:fill on="f" focussize="0,0"/>
                  <v:stroke on="f"/>
                  <v:imagedata r:id="rId24" o:title=""/>
                  <o:lock v:ext="edit" aspectratio="t"/>
                  <w10:wrap type="none"/>
                  <w10:anchorlock/>
                </v:shape>
                <o:OLEObject Type="Embed" ProgID="Equation.3" ShapeID="_x0000_i1026" DrawAspect="Content" ObjectID="_1468075726" r:id="rId23">
                  <o:LockedField>false</o:LockedField>
                </o:OLEObject>
              </w:object>
            </w:r>
          </w:p>
          <w:p w14:paraId="289EB95B">
            <w:pPr>
              <w:pStyle w:val="60"/>
              <w:spacing w:line="440" w:lineRule="exact"/>
              <w:rPr>
                <w:color w:val="auto"/>
              </w:rPr>
            </w:pPr>
            <w:r>
              <w:rPr>
                <w:color w:val="auto"/>
              </w:rPr>
              <w:t>③计算室外靠近围护结构处的声压级：</w:t>
            </w:r>
          </w:p>
          <w:p w14:paraId="0ED797D0">
            <w:pPr>
              <w:pStyle w:val="60"/>
              <w:spacing w:line="240" w:lineRule="auto"/>
              <w:ind w:firstLine="0" w:firstLineChars="0"/>
              <w:jc w:val="center"/>
              <w:rPr>
                <w:color w:val="auto"/>
              </w:rPr>
            </w:pPr>
            <w:r>
              <w:rPr>
                <w:color w:val="auto"/>
                <w:position w:val="-14"/>
              </w:rPr>
              <w:object>
                <v:shape id="_x0000_i1027" o:spt="75" type="#_x0000_t75" style="height:18.75pt;width:147pt;" o:ole="t" filled="f" o:preferrelative="t" stroked="f" coordsize="21600,21600">
                  <v:path/>
                  <v:fill on="f" focussize="0,0"/>
                  <v:stroke on="f"/>
                  <v:imagedata r:id="rId26" o:title=""/>
                  <o:lock v:ext="edit" aspectratio="t"/>
                  <w10:wrap type="none"/>
                  <w10:anchorlock/>
                </v:shape>
                <o:OLEObject Type="Embed" ProgID="Equation.3" ShapeID="_x0000_i1027" DrawAspect="Content" ObjectID="_1468075727" r:id="rId25">
                  <o:LockedField>false</o:LockedField>
                </o:OLEObject>
              </w:object>
            </w:r>
          </w:p>
          <w:p w14:paraId="1D89B31E">
            <w:pPr>
              <w:pStyle w:val="60"/>
              <w:spacing w:line="440" w:lineRule="exact"/>
              <w:rPr>
                <w:color w:val="auto"/>
              </w:rPr>
            </w:pPr>
            <w:r>
              <w:rPr>
                <w:color w:val="auto"/>
              </w:rPr>
              <w:t>④将室外声级 L</w:t>
            </w:r>
            <w:r>
              <w:rPr>
                <w:color w:val="auto"/>
                <w:vertAlign w:val="subscript"/>
              </w:rPr>
              <w:t xml:space="preserve">oct, 2 </w:t>
            </w:r>
            <w:r>
              <w:rPr>
                <w:color w:val="auto"/>
              </w:rPr>
              <w:t>(T) 和透声面积换算成等效的室外声源，计算等效声源第i个倍频带的声功率级 L</w:t>
            </w:r>
            <w:r>
              <w:rPr>
                <w:color w:val="auto"/>
                <w:vertAlign w:val="subscript"/>
              </w:rPr>
              <w:t xml:space="preserve">w oct </w:t>
            </w:r>
            <w:r>
              <w:rPr>
                <w:color w:val="auto"/>
              </w:rPr>
              <w:t>：</w:t>
            </w:r>
          </w:p>
          <w:p w14:paraId="53704A71">
            <w:pPr>
              <w:pStyle w:val="60"/>
              <w:spacing w:line="240" w:lineRule="auto"/>
              <w:ind w:firstLine="0" w:firstLineChars="0"/>
              <w:jc w:val="center"/>
              <w:rPr>
                <w:color w:val="auto"/>
              </w:rPr>
            </w:pPr>
            <w:r>
              <w:rPr>
                <w:color w:val="auto"/>
                <w:position w:val="-14"/>
              </w:rPr>
              <w:object>
                <v:shape id="_x0000_i1028" o:spt="75" type="#_x0000_t75" style="height:18.75pt;width:119.25pt;" o:ole="t" filled="f" o:preferrelative="t" stroked="f" coordsize="21600,21600">
                  <v:path/>
                  <v:fill on="f" focussize="0,0"/>
                  <v:stroke on="f"/>
                  <v:imagedata r:id="rId28" o:title=""/>
                  <o:lock v:ext="edit" aspectratio="t"/>
                  <w10:wrap type="none"/>
                  <w10:anchorlock/>
                </v:shape>
                <o:OLEObject Type="Embed" ProgID="Equation.3" ShapeID="_x0000_i1028" DrawAspect="Content" ObjectID="_1468075728" r:id="rId27">
                  <o:LockedField>false</o:LockedField>
                </o:OLEObject>
              </w:object>
            </w:r>
          </w:p>
          <w:p w14:paraId="501B7AF2">
            <w:pPr>
              <w:pStyle w:val="60"/>
              <w:spacing w:line="440" w:lineRule="exact"/>
              <w:rPr>
                <w:color w:val="auto"/>
              </w:rPr>
            </w:pPr>
            <w:r>
              <w:rPr>
                <w:color w:val="auto"/>
              </w:rPr>
              <w:t>式中：S — 透声面积，m</w:t>
            </w:r>
            <w:r>
              <w:rPr>
                <w:color w:val="auto"/>
                <w:vertAlign w:val="superscript"/>
              </w:rPr>
              <w:t>2</w:t>
            </w:r>
            <w:r>
              <w:rPr>
                <w:color w:val="auto"/>
              </w:rPr>
              <w:t>。</w:t>
            </w:r>
          </w:p>
          <w:p w14:paraId="5F56AE8C">
            <w:pPr>
              <w:pStyle w:val="60"/>
              <w:spacing w:line="440" w:lineRule="exact"/>
              <w:rPr>
                <w:color w:val="auto"/>
              </w:rPr>
            </w:pPr>
            <w:r>
              <w:rPr>
                <w:color w:val="auto"/>
              </w:rPr>
              <w:t>⑤等效室外声源的位置为围护结构的位置，其倍频带声功率级为L</w:t>
            </w:r>
            <w:r>
              <w:rPr>
                <w:color w:val="auto"/>
                <w:vertAlign w:val="subscript"/>
              </w:rPr>
              <w:t>w oct</w:t>
            </w:r>
            <w:r>
              <w:rPr>
                <w:color w:val="auto"/>
              </w:rPr>
              <w:t>，由此按室外声源方法计算等效室外声源在预测点产生的声级。</w:t>
            </w:r>
          </w:p>
          <w:p w14:paraId="4D5A6F05">
            <w:pPr>
              <w:pStyle w:val="60"/>
              <w:spacing w:line="440" w:lineRule="exact"/>
              <w:rPr>
                <w:color w:val="auto"/>
              </w:rPr>
            </w:pPr>
            <w:r>
              <w:rPr>
                <w:color w:val="auto"/>
              </w:rPr>
              <w:t>⑥计算某个室外声源在预测点产生的倍频带声压级：</w:t>
            </w:r>
          </w:p>
          <w:p w14:paraId="2498EA3B">
            <w:pPr>
              <w:pStyle w:val="60"/>
              <w:spacing w:line="240" w:lineRule="auto"/>
              <w:ind w:firstLine="0" w:firstLineChars="0"/>
              <w:jc w:val="center"/>
              <w:rPr>
                <w:color w:val="auto"/>
              </w:rPr>
            </w:pPr>
            <w:r>
              <w:rPr>
                <w:color w:val="auto"/>
                <w:position w:val="-12"/>
              </w:rPr>
              <w:object>
                <v:shape id="_x0000_i1029" o:spt="75" type="#_x0000_t75" style="height:18pt;width:171pt;" o:ole="t" filled="f" o:preferrelative="t" stroked="f" coordsize="21600,21600">
                  <v:path/>
                  <v:fill on="f" focussize="0,0"/>
                  <v:stroke on="f"/>
                  <v:imagedata r:id="rId30" o:title=""/>
                  <o:lock v:ext="edit" aspectratio="t"/>
                  <w10:wrap type="none"/>
                  <w10:anchorlock/>
                </v:shape>
                <o:OLEObject Type="Embed" ProgID="Equation.3" ShapeID="_x0000_i1029" DrawAspect="Content" ObjectID="_1468075729" r:id="rId29">
                  <o:LockedField>false</o:LockedField>
                </o:OLEObject>
              </w:object>
            </w:r>
          </w:p>
          <w:p w14:paraId="02D4BC39">
            <w:pPr>
              <w:pStyle w:val="60"/>
              <w:spacing w:line="440" w:lineRule="exact"/>
              <w:rPr>
                <w:color w:val="auto"/>
              </w:rPr>
            </w:pPr>
            <w:r>
              <w:rPr>
                <w:color w:val="auto"/>
              </w:rPr>
              <w:t>式中：L</w:t>
            </w:r>
            <w:r>
              <w:rPr>
                <w:color w:val="auto"/>
                <w:vertAlign w:val="subscript"/>
              </w:rPr>
              <w:t xml:space="preserve">oct </w:t>
            </w:r>
            <w:r>
              <w:rPr>
                <w:color w:val="auto"/>
              </w:rPr>
              <w:t>(r)</w:t>
            </w:r>
            <w:r>
              <w:rPr>
                <w:color w:val="auto"/>
                <w:vertAlign w:val="subscript"/>
              </w:rPr>
              <w:t xml:space="preserve">  </w:t>
            </w:r>
            <w:r>
              <w:rPr>
                <w:color w:val="auto"/>
              </w:rPr>
              <w:sym w:font="Symbol" w:char="F0BE"/>
            </w:r>
            <w:r>
              <w:rPr>
                <w:color w:val="auto"/>
              </w:rPr>
              <w:t xml:space="preserve"> 点声源在预测点产生的倍频带声压级，dB；</w:t>
            </w:r>
          </w:p>
          <w:p w14:paraId="4970F3B0">
            <w:pPr>
              <w:pStyle w:val="60"/>
              <w:spacing w:line="440" w:lineRule="exact"/>
              <w:ind w:firstLine="1200" w:firstLineChars="500"/>
              <w:rPr>
                <w:color w:val="auto"/>
              </w:rPr>
            </w:pPr>
            <w:r>
              <w:rPr>
                <w:color w:val="auto"/>
              </w:rPr>
              <w:t>L</w:t>
            </w:r>
            <w:r>
              <w:rPr>
                <w:color w:val="auto"/>
                <w:vertAlign w:val="subscript"/>
              </w:rPr>
              <w:t xml:space="preserve">oct </w:t>
            </w:r>
            <w:r>
              <w:rPr>
                <w:color w:val="auto"/>
              </w:rPr>
              <w:t>(r</w:t>
            </w:r>
            <w:r>
              <w:rPr>
                <w:color w:val="auto"/>
                <w:vertAlign w:val="subscript"/>
              </w:rPr>
              <w:t>0</w:t>
            </w:r>
            <w:r>
              <w:rPr>
                <w:color w:val="auto"/>
              </w:rPr>
              <w:t xml:space="preserve">) </w:t>
            </w:r>
            <w:r>
              <w:rPr>
                <w:color w:val="auto"/>
              </w:rPr>
              <w:sym w:font="Symbol" w:char="F0BE"/>
            </w:r>
            <w:r>
              <w:rPr>
                <w:color w:val="auto"/>
              </w:rPr>
              <w:t xml:space="preserve"> 参考位置r</w:t>
            </w:r>
            <w:r>
              <w:rPr>
                <w:color w:val="auto"/>
                <w:vertAlign w:val="subscript"/>
              </w:rPr>
              <w:t>0</w:t>
            </w:r>
            <w:r>
              <w:rPr>
                <w:color w:val="auto"/>
              </w:rPr>
              <w:t>处的倍频带声压级，dB；</w:t>
            </w:r>
          </w:p>
          <w:p w14:paraId="37ACA838">
            <w:pPr>
              <w:pStyle w:val="60"/>
              <w:spacing w:line="440" w:lineRule="exact"/>
              <w:ind w:firstLine="1200" w:firstLineChars="500"/>
              <w:rPr>
                <w:color w:val="auto"/>
              </w:rPr>
            </w:pPr>
            <w:r>
              <w:rPr>
                <w:color w:val="auto"/>
              </w:rPr>
              <w:t>r</w:t>
            </w:r>
            <w:r>
              <w:rPr>
                <w:color w:val="auto"/>
              </w:rPr>
              <w:sym w:font="Symbol" w:char="F0BE"/>
            </w:r>
            <w:r>
              <w:rPr>
                <w:color w:val="auto"/>
              </w:rPr>
              <w:t xml:space="preserve"> 预测点距声源的距离，m；</w:t>
            </w:r>
          </w:p>
          <w:p w14:paraId="27B5AFD2">
            <w:pPr>
              <w:pStyle w:val="60"/>
              <w:spacing w:line="440" w:lineRule="exact"/>
              <w:ind w:firstLine="1200" w:firstLineChars="500"/>
              <w:rPr>
                <w:color w:val="auto"/>
              </w:rPr>
            </w:pPr>
            <w:r>
              <w:rPr>
                <w:color w:val="auto"/>
              </w:rPr>
              <w:t>r</w:t>
            </w:r>
            <w:r>
              <w:rPr>
                <w:color w:val="auto"/>
                <w:vertAlign w:val="subscript"/>
              </w:rPr>
              <w:t>0</w:t>
            </w:r>
            <w:r>
              <w:rPr>
                <w:color w:val="auto"/>
              </w:rPr>
              <w:sym w:font="Symbol" w:char="F0BE"/>
            </w:r>
            <w:r>
              <w:rPr>
                <w:color w:val="auto"/>
              </w:rPr>
              <w:t xml:space="preserve"> 参考位置距声源的距离，m；</w:t>
            </w:r>
          </w:p>
          <w:p w14:paraId="37A7E3ED">
            <w:pPr>
              <w:pStyle w:val="60"/>
              <w:spacing w:line="440" w:lineRule="exact"/>
              <w:rPr>
                <w:color w:val="auto"/>
              </w:rPr>
            </w:pPr>
            <w:r>
              <w:rPr>
                <w:color w:val="auto"/>
              </w:rPr>
              <w:sym w:font="Symbol" w:char="F044"/>
            </w:r>
            <w:r>
              <w:rPr>
                <w:color w:val="auto"/>
              </w:rPr>
              <w:t>L</w:t>
            </w:r>
            <w:r>
              <w:rPr>
                <w:color w:val="auto"/>
                <w:vertAlign w:val="subscript"/>
              </w:rPr>
              <w:t>oct</w:t>
            </w:r>
            <w:r>
              <w:rPr>
                <w:color w:val="auto"/>
              </w:rPr>
              <w:t xml:space="preserve"> </w:t>
            </w:r>
            <w:r>
              <w:rPr>
                <w:color w:val="auto"/>
              </w:rPr>
              <w:sym w:font="Symbol" w:char="F0BE"/>
            </w:r>
            <w:r>
              <w:rPr>
                <w:color w:val="auto"/>
              </w:rPr>
              <w:t xml:space="preserve"> 各种因素引起的衰减量(包括声屏障、遮挡物、空气吸收、地面效应引起的衰减量，计算方法详见导则)。</w:t>
            </w:r>
          </w:p>
          <w:p w14:paraId="41BB7DC0">
            <w:pPr>
              <w:pStyle w:val="60"/>
              <w:spacing w:line="440" w:lineRule="exact"/>
              <w:rPr>
                <w:color w:val="auto"/>
              </w:rPr>
            </w:pPr>
            <w:r>
              <w:rPr>
                <w:color w:val="auto"/>
              </w:rPr>
              <w:t>如果已知声源的倍频带声功率级L</w:t>
            </w:r>
            <w:r>
              <w:rPr>
                <w:color w:val="auto"/>
                <w:vertAlign w:val="subscript"/>
              </w:rPr>
              <w:t>w oct</w:t>
            </w:r>
            <w:r>
              <w:rPr>
                <w:color w:val="auto"/>
              </w:rPr>
              <w:t>，且声源可看作是位于地面上的，则</w:t>
            </w:r>
          </w:p>
          <w:p w14:paraId="45DAB072">
            <w:pPr>
              <w:pStyle w:val="60"/>
              <w:spacing w:line="520" w:lineRule="exact"/>
              <w:ind w:firstLine="0" w:firstLineChars="0"/>
              <w:jc w:val="center"/>
              <w:rPr>
                <w:color w:val="auto"/>
              </w:rPr>
            </w:pPr>
            <w:r>
              <w:rPr>
                <w:color w:val="auto"/>
                <w:position w:val="-14"/>
              </w:rPr>
              <w:object>
                <v:shape id="_x0000_i1030" o:spt="75" type="#_x0000_t75" style="height:18.75pt;width:131.25pt;" o:ole="t" filled="f" o:preferrelative="t" stroked="f" coordsize="21600,21600">
                  <v:path/>
                  <v:fill on="f" focussize="0,0"/>
                  <v:stroke on="f"/>
                  <v:imagedata r:id="rId32" o:title=""/>
                  <o:lock v:ext="edit" aspectratio="t"/>
                  <w10:wrap type="none"/>
                  <w10:anchorlock/>
                </v:shape>
                <o:OLEObject Type="Embed" ProgID="Equation.3" ShapeID="_x0000_i1030" DrawAspect="Content" ObjectID="_1468075730" r:id="rId31">
                  <o:LockedField>false</o:LockedField>
                </o:OLEObject>
              </w:object>
            </w:r>
          </w:p>
          <w:p w14:paraId="28BCB174">
            <w:pPr>
              <w:pStyle w:val="60"/>
              <w:spacing w:line="440" w:lineRule="exact"/>
              <w:rPr>
                <w:color w:val="auto"/>
                <w:vertAlign w:val="subscript"/>
              </w:rPr>
            </w:pPr>
            <w:r>
              <w:rPr>
                <w:color w:val="auto"/>
              </w:rPr>
              <w:t>⑦由各倍频带声压级合成计算该声源产生的A声级Leq(A)。</w:t>
            </w:r>
          </w:p>
          <w:p w14:paraId="52D3B77A">
            <w:pPr>
              <w:pStyle w:val="60"/>
              <w:spacing w:line="440" w:lineRule="exact"/>
              <w:rPr>
                <w:color w:val="auto"/>
              </w:rPr>
            </w:pPr>
            <w:r>
              <w:rPr>
                <w:color w:val="auto"/>
              </w:rPr>
              <w:t>⑧计算总声压级</w:t>
            </w:r>
          </w:p>
          <w:p w14:paraId="3F9700E8">
            <w:pPr>
              <w:pStyle w:val="60"/>
              <w:spacing w:line="440" w:lineRule="exact"/>
              <w:rPr>
                <w:color w:val="auto"/>
              </w:rPr>
            </w:pPr>
            <w:r>
              <w:rPr>
                <w:color w:val="auto"/>
              </w:rPr>
              <w:t>设第i个室外声源在预测点产生的A声级为L</w:t>
            </w:r>
            <w:r>
              <w:rPr>
                <w:color w:val="auto"/>
                <w:vertAlign w:val="subscript"/>
              </w:rPr>
              <w:t>A in,i</w:t>
            </w:r>
            <w:r>
              <w:rPr>
                <w:color w:val="auto"/>
              </w:rPr>
              <w:t>，在T时间内该声源工作时间为t</w:t>
            </w:r>
            <w:r>
              <w:rPr>
                <w:color w:val="auto"/>
                <w:vertAlign w:val="subscript"/>
              </w:rPr>
              <w:t>in,i</w:t>
            </w:r>
            <w:r>
              <w:rPr>
                <w:color w:val="auto"/>
              </w:rPr>
              <w:t>；第j个等效室外声源在预测点产生的A声级为L</w:t>
            </w:r>
            <w:r>
              <w:rPr>
                <w:color w:val="auto"/>
                <w:vertAlign w:val="subscript"/>
              </w:rPr>
              <w:t>A out,j</w:t>
            </w:r>
            <w:r>
              <w:rPr>
                <w:color w:val="auto"/>
              </w:rPr>
              <w:t xml:space="preserve"> ，在T时间内该声源工作时间为t</w:t>
            </w:r>
            <w:r>
              <w:rPr>
                <w:color w:val="auto"/>
                <w:vertAlign w:val="subscript"/>
              </w:rPr>
              <w:t xml:space="preserve">out,j </w:t>
            </w:r>
            <w:r>
              <w:rPr>
                <w:color w:val="auto"/>
              </w:rPr>
              <w:t>，则预测点的总等效声级为：</w:t>
            </w:r>
          </w:p>
          <w:p w14:paraId="7658E1A9">
            <w:pPr>
              <w:pStyle w:val="60"/>
              <w:jc w:val="center"/>
              <w:rPr>
                <w:color w:val="auto"/>
                <w:vertAlign w:val="subscript"/>
              </w:rPr>
            </w:pPr>
            <w:r>
              <w:rPr>
                <w:color w:val="auto"/>
                <w:position w:val="-32"/>
              </w:rPr>
              <w:object>
                <v:shape id="_x0000_i1031" o:spt="75" type="#_x0000_t75" style="height:38.25pt;width:249.75pt;" o:ole="t" filled="f" o:preferrelative="t" stroked="f" coordsize="21600,21600">
                  <v:path/>
                  <v:fill on="f" focussize="0,0"/>
                  <v:stroke on="f"/>
                  <v:imagedata r:id="rId34" o:title=""/>
                  <o:lock v:ext="edit" aspectratio="t"/>
                  <w10:wrap type="none"/>
                  <w10:anchorlock/>
                </v:shape>
                <o:OLEObject Type="Embed" ProgID="Equation.3" ShapeID="_x0000_i1031" DrawAspect="Content" ObjectID="_1468075731" r:id="rId33">
                  <o:LockedField>false</o:LockedField>
                </o:OLEObject>
              </w:object>
            </w:r>
          </w:p>
          <w:p w14:paraId="4D3D64F3">
            <w:pPr>
              <w:pStyle w:val="60"/>
              <w:spacing w:line="440" w:lineRule="exact"/>
              <w:rPr>
                <w:color w:val="auto"/>
              </w:rPr>
            </w:pPr>
            <w:r>
              <w:rPr>
                <w:color w:val="auto"/>
              </w:rPr>
              <w:t>式中：T — 计算等效声级的时间，h；</w:t>
            </w:r>
          </w:p>
          <w:p w14:paraId="454D34D2">
            <w:pPr>
              <w:ind w:firstLine="1200" w:firstLineChars="500"/>
              <w:rPr>
                <w:color w:val="auto"/>
              </w:rPr>
            </w:pPr>
            <w:r>
              <w:rPr>
                <w:color w:val="auto"/>
              </w:rPr>
              <w:t>N — 室外声源个数，M为等效室外声源个数。</w:t>
            </w:r>
          </w:p>
          <w:p w14:paraId="41FD7CF7">
            <w:pPr>
              <w:ind w:firstLine="480"/>
              <w:rPr>
                <w:rFonts w:hint="eastAsia"/>
                <w:color w:val="auto"/>
              </w:rPr>
            </w:pPr>
            <w:r>
              <w:rPr>
                <w:color w:val="auto"/>
              </w:rPr>
              <w:t>利用上述的预测数字模型，将参数代入公式计算，预测拟建工程噪声源对各向厂界的影响如下</w:t>
            </w:r>
            <w:r>
              <w:rPr>
                <w:rFonts w:hint="eastAsia"/>
                <w:color w:val="auto"/>
              </w:rPr>
              <w:t>。</w:t>
            </w:r>
          </w:p>
          <w:p w14:paraId="7999C9B1">
            <w:pPr>
              <w:ind w:firstLine="482"/>
              <w:jc w:val="center"/>
              <w:rPr>
                <w:rFonts w:hAnsi="宋体"/>
                <w:bCs/>
                <w:color w:val="auto"/>
              </w:rPr>
            </w:pPr>
            <w:r>
              <w:rPr>
                <w:rFonts w:hint="eastAsia" w:hAnsi="宋体"/>
                <w:b/>
                <w:color w:val="auto"/>
              </w:rPr>
              <w:t>表</w:t>
            </w:r>
            <w:r>
              <w:rPr>
                <w:rFonts w:hint="eastAsia"/>
                <w:b/>
                <w:bCs/>
                <w:color w:val="auto"/>
                <w:szCs w:val="21"/>
                <w:lang w:val="en-US" w:eastAsia="zh-CN"/>
              </w:rPr>
              <w:t>4-10</w:t>
            </w:r>
            <w:r>
              <w:rPr>
                <w:rFonts w:hint="eastAsia" w:hAnsi="宋体"/>
                <w:b/>
                <w:color w:val="auto"/>
              </w:rPr>
              <w:t xml:space="preserve"> 项目厂界噪声预测结果  单位：dB（A）</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42"/>
              <w:gridCol w:w="3972"/>
            </w:tblGrid>
            <w:tr w14:paraId="63BC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611" w:type="pct"/>
                  <w:vMerge w:val="restart"/>
                  <w:tcBorders>
                    <w:top w:val="single" w:color="auto" w:sz="4" w:space="0"/>
                    <w:left w:val="single" w:color="auto" w:sz="4" w:space="0"/>
                    <w:right w:val="single" w:color="auto" w:sz="4" w:space="0"/>
                  </w:tcBorders>
                  <w:noWrap w:val="0"/>
                  <w:tcMar>
                    <w:top w:w="15" w:type="dxa"/>
                    <w:left w:w="15" w:type="dxa"/>
                    <w:bottom w:w="0" w:type="dxa"/>
                    <w:right w:w="15" w:type="dxa"/>
                  </w:tcMar>
                  <w:vAlign w:val="center"/>
                </w:tcPr>
                <w:p w14:paraId="4463FF2E">
                  <w:pPr>
                    <w:spacing w:line="240" w:lineRule="auto"/>
                    <w:ind w:firstLine="0" w:firstLineChars="0"/>
                    <w:jc w:val="center"/>
                    <w:rPr>
                      <w:b/>
                      <w:bCs/>
                      <w:color w:val="auto"/>
                      <w:sz w:val="21"/>
                      <w:szCs w:val="21"/>
                    </w:rPr>
                  </w:pPr>
                  <w:r>
                    <w:rPr>
                      <w:b/>
                      <w:bCs/>
                      <w:color w:val="auto"/>
                      <w:sz w:val="21"/>
                      <w:szCs w:val="21"/>
                    </w:rPr>
                    <w:t>预测点</w:t>
                  </w:r>
                </w:p>
              </w:tc>
              <w:tc>
                <w:tcPr>
                  <w:tcW w:w="2388" w:type="pct"/>
                  <w:vMerge w:val="restart"/>
                  <w:tcBorders>
                    <w:top w:val="single" w:color="auto" w:sz="4" w:space="0"/>
                    <w:left w:val="nil"/>
                    <w:right w:val="single" w:color="auto" w:sz="4" w:space="0"/>
                  </w:tcBorders>
                  <w:noWrap w:val="0"/>
                  <w:tcMar>
                    <w:top w:w="15" w:type="dxa"/>
                    <w:left w:w="15" w:type="dxa"/>
                    <w:bottom w:w="0" w:type="dxa"/>
                    <w:right w:w="15" w:type="dxa"/>
                  </w:tcMar>
                  <w:vAlign w:val="center"/>
                </w:tcPr>
                <w:p w14:paraId="2816EDF6">
                  <w:pPr>
                    <w:spacing w:line="240" w:lineRule="auto"/>
                    <w:ind w:firstLine="0" w:firstLineChars="0"/>
                    <w:jc w:val="center"/>
                    <w:rPr>
                      <w:b/>
                      <w:bCs/>
                      <w:color w:val="auto"/>
                      <w:sz w:val="21"/>
                      <w:szCs w:val="21"/>
                    </w:rPr>
                  </w:pPr>
                  <w:r>
                    <w:rPr>
                      <w:b/>
                      <w:bCs/>
                      <w:color w:val="auto"/>
                      <w:sz w:val="21"/>
                      <w:szCs w:val="21"/>
                    </w:rPr>
                    <w:t>贡献值</w:t>
                  </w:r>
                </w:p>
              </w:tc>
            </w:tr>
            <w:tr w14:paraId="388AB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611" w:type="pct"/>
                  <w:vMerge w:val="continue"/>
                  <w:tcBorders>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74A96E38">
                  <w:pPr>
                    <w:spacing w:line="240" w:lineRule="auto"/>
                    <w:ind w:firstLine="0" w:firstLineChars="0"/>
                    <w:jc w:val="center"/>
                    <w:rPr>
                      <w:b/>
                      <w:bCs/>
                      <w:color w:val="auto"/>
                      <w:sz w:val="21"/>
                      <w:szCs w:val="21"/>
                    </w:rPr>
                  </w:pPr>
                </w:p>
              </w:tc>
              <w:tc>
                <w:tcPr>
                  <w:tcW w:w="2388" w:type="pct"/>
                  <w:vMerge w:val="continue"/>
                  <w:tcBorders>
                    <w:left w:val="nil"/>
                    <w:bottom w:val="single" w:color="auto" w:sz="4" w:space="0"/>
                    <w:right w:val="single" w:color="auto" w:sz="4" w:space="0"/>
                  </w:tcBorders>
                  <w:noWrap w:val="0"/>
                  <w:tcMar>
                    <w:top w:w="15" w:type="dxa"/>
                    <w:left w:w="15" w:type="dxa"/>
                    <w:bottom w:w="0" w:type="dxa"/>
                    <w:right w:w="15" w:type="dxa"/>
                  </w:tcMar>
                  <w:vAlign w:val="center"/>
                </w:tcPr>
                <w:p w14:paraId="00F38DE7">
                  <w:pPr>
                    <w:spacing w:line="240" w:lineRule="auto"/>
                    <w:ind w:firstLine="0" w:firstLineChars="0"/>
                    <w:jc w:val="center"/>
                    <w:rPr>
                      <w:b/>
                      <w:bCs/>
                      <w:color w:val="auto"/>
                      <w:sz w:val="21"/>
                      <w:szCs w:val="21"/>
                    </w:rPr>
                  </w:pPr>
                </w:p>
              </w:tc>
            </w:tr>
            <w:tr w14:paraId="47B36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2611"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5E79BBC2">
                  <w:pPr>
                    <w:spacing w:line="240" w:lineRule="auto"/>
                    <w:ind w:firstLine="0" w:firstLineChars="0"/>
                    <w:jc w:val="center"/>
                    <w:rPr>
                      <w:color w:val="auto"/>
                      <w:sz w:val="21"/>
                      <w:szCs w:val="21"/>
                    </w:rPr>
                  </w:pPr>
                  <w:r>
                    <w:rPr>
                      <w:color w:val="auto"/>
                      <w:sz w:val="21"/>
                      <w:szCs w:val="21"/>
                    </w:rPr>
                    <w:t>东厂界</w:t>
                  </w:r>
                </w:p>
              </w:tc>
              <w:tc>
                <w:tcPr>
                  <w:tcW w:w="2388" w:type="pct"/>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14:paraId="37295DDD">
                  <w:pPr>
                    <w:spacing w:line="240" w:lineRule="auto"/>
                    <w:ind w:firstLine="0" w:firstLineChars="0"/>
                    <w:jc w:val="center"/>
                    <w:rPr>
                      <w:color w:val="auto"/>
                      <w:sz w:val="21"/>
                      <w:szCs w:val="21"/>
                    </w:rPr>
                  </w:pPr>
                  <w:r>
                    <w:rPr>
                      <w:rFonts w:hint="eastAsia"/>
                      <w:color w:val="auto"/>
                      <w:sz w:val="21"/>
                      <w:szCs w:val="21"/>
                      <w:lang w:val="en-US" w:eastAsia="zh-CN"/>
                    </w:rPr>
                    <w:t>42.9</w:t>
                  </w:r>
                </w:p>
              </w:tc>
            </w:tr>
            <w:tr w14:paraId="7098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2611"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331AE59B">
                  <w:pPr>
                    <w:spacing w:line="240" w:lineRule="auto"/>
                    <w:ind w:firstLine="0" w:firstLineChars="0"/>
                    <w:jc w:val="center"/>
                    <w:rPr>
                      <w:color w:val="auto"/>
                      <w:sz w:val="21"/>
                      <w:szCs w:val="21"/>
                    </w:rPr>
                  </w:pPr>
                  <w:r>
                    <w:rPr>
                      <w:color w:val="auto"/>
                      <w:sz w:val="21"/>
                      <w:szCs w:val="21"/>
                    </w:rPr>
                    <w:t>南厂界</w:t>
                  </w:r>
                </w:p>
              </w:tc>
              <w:tc>
                <w:tcPr>
                  <w:tcW w:w="2388" w:type="pct"/>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14:paraId="3CE8E371">
                  <w:pPr>
                    <w:spacing w:line="240" w:lineRule="auto"/>
                    <w:ind w:firstLine="0" w:firstLineChars="0"/>
                    <w:jc w:val="center"/>
                    <w:rPr>
                      <w:color w:val="auto"/>
                      <w:sz w:val="21"/>
                      <w:szCs w:val="21"/>
                    </w:rPr>
                  </w:pPr>
                  <w:r>
                    <w:rPr>
                      <w:rFonts w:hint="eastAsia"/>
                      <w:color w:val="auto"/>
                      <w:sz w:val="21"/>
                      <w:szCs w:val="21"/>
                      <w:lang w:val="en-US" w:eastAsia="zh-CN"/>
                    </w:rPr>
                    <w:t>43</w:t>
                  </w:r>
                  <w:r>
                    <w:rPr>
                      <w:rFonts w:hint="eastAsia"/>
                      <w:color w:val="auto"/>
                      <w:sz w:val="21"/>
                      <w:szCs w:val="21"/>
                    </w:rPr>
                    <w:t>.7</w:t>
                  </w:r>
                </w:p>
              </w:tc>
            </w:tr>
            <w:tr w14:paraId="7595D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2611"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3809B81C">
                  <w:pPr>
                    <w:spacing w:line="240" w:lineRule="auto"/>
                    <w:ind w:firstLine="0" w:firstLineChars="0"/>
                    <w:jc w:val="center"/>
                    <w:rPr>
                      <w:color w:val="auto"/>
                      <w:sz w:val="21"/>
                      <w:szCs w:val="21"/>
                    </w:rPr>
                  </w:pPr>
                  <w:r>
                    <w:rPr>
                      <w:color w:val="auto"/>
                      <w:sz w:val="21"/>
                      <w:szCs w:val="21"/>
                    </w:rPr>
                    <w:t>西厂界</w:t>
                  </w:r>
                </w:p>
              </w:tc>
              <w:tc>
                <w:tcPr>
                  <w:tcW w:w="2388" w:type="pct"/>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14:paraId="3786844C">
                  <w:pPr>
                    <w:spacing w:line="240" w:lineRule="auto"/>
                    <w:ind w:firstLine="0" w:firstLineChars="0"/>
                    <w:jc w:val="center"/>
                    <w:rPr>
                      <w:color w:val="auto"/>
                      <w:sz w:val="21"/>
                      <w:szCs w:val="21"/>
                    </w:rPr>
                  </w:pPr>
                  <w:r>
                    <w:rPr>
                      <w:rFonts w:hint="eastAsia"/>
                      <w:color w:val="auto"/>
                      <w:sz w:val="21"/>
                      <w:szCs w:val="21"/>
                    </w:rPr>
                    <w:t>4</w:t>
                  </w:r>
                  <w:r>
                    <w:rPr>
                      <w:rFonts w:hint="eastAsia"/>
                      <w:color w:val="auto"/>
                      <w:sz w:val="21"/>
                      <w:szCs w:val="21"/>
                      <w:lang w:val="en-US" w:eastAsia="zh-CN"/>
                    </w:rPr>
                    <w:t>1</w:t>
                  </w:r>
                  <w:r>
                    <w:rPr>
                      <w:rFonts w:hint="eastAsia"/>
                      <w:color w:val="auto"/>
                      <w:sz w:val="21"/>
                      <w:szCs w:val="21"/>
                    </w:rPr>
                    <w:t>.9</w:t>
                  </w:r>
                </w:p>
              </w:tc>
            </w:tr>
            <w:tr w14:paraId="4E61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2611"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3A14BB7C">
                  <w:pPr>
                    <w:spacing w:line="240" w:lineRule="auto"/>
                    <w:ind w:firstLine="0" w:firstLineChars="0"/>
                    <w:jc w:val="center"/>
                    <w:rPr>
                      <w:color w:val="auto"/>
                      <w:sz w:val="21"/>
                      <w:szCs w:val="21"/>
                    </w:rPr>
                  </w:pPr>
                  <w:r>
                    <w:rPr>
                      <w:color w:val="auto"/>
                      <w:sz w:val="21"/>
                      <w:szCs w:val="21"/>
                    </w:rPr>
                    <w:t>北厂界</w:t>
                  </w:r>
                </w:p>
              </w:tc>
              <w:tc>
                <w:tcPr>
                  <w:tcW w:w="2388" w:type="pct"/>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14:paraId="281DB992">
                  <w:pPr>
                    <w:spacing w:line="240" w:lineRule="auto"/>
                    <w:ind w:firstLine="0" w:firstLineChars="0"/>
                    <w:jc w:val="center"/>
                    <w:rPr>
                      <w:color w:val="auto"/>
                      <w:sz w:val="21"/>
                      <w:szCs w:val="21"/>
                    </w:rPr>
                  </w:pPr>
                  <w:r>
                    <w:rPr>
                      <w:rFonts w:hint="eastAsia"/>
                      <w:color w:val="auto"/>
                      <w:sz w:val="21"/>
                      <w:szCs w:val="21"/>
                    </w:rPr>
                    <w:t>4</w:t>
                  </w:r>
                  <w:r>
                    <w:rPr>
                      <w:rFonts w:hint="eastAsia"/>
                      <w:color w:val="auto"/>
                      <w:sz w:val="21"/>
                      <w:szCs w:val="21"/>
                      <w:lang w:val="en-US" w:eastAsia="zh-CN"/>
                    </w:rPr>
                    <w:t>1</w:t>
                  </w:r>
                  <w:r>
                    <w:rPr>
                      <w:rFonts w:hint="eastAsia"/>
                      <w:color w:val="auto"/>
                      <w:sz w:val="21"/>
                      <w:szCs w:val="21"/>
                    </w:rPr>
                    <w:t>.7</w:t>
                  </w:r>
                </w:p>
              </w:tc>
            </w:tr>
          </w:tbl>
          <w:p w14:paraId="24F0FC6F">
            <w:pPr>
              <w:ind w:firstLine="480"/>
              <w:rPr>
                <w:rFonts w:hint="eastAsia"/>
                <w:color w:val="auto"/>
              </w:rPr>
            </w:pPr>
            <w:r>
              <w:rPr>
                <w:color w:val="auto"/>
              </w:rPr>
              <w:t>由上表可见，采取以上措施后，经预测厂界噪声均满足《工业企业厂界环境噪声排放标准》（GB 12348-2008）中</w:t>
            </w:r>
            <w:r>
              <w:rPr>
                <w:rFonts w:hint="eastAsia"/>
                <w:color w:val="auto"/>
                <w:lang w:val="en-US" w:eastAsia="zh-CN"/>
              </w:rPr>
              <w:t>3</w:t>
            </w:r>
            <w:r>
              <w:rPr>
                <w:color w:val="auto"/>
              </w:rPr>
              <w:t>类标准要求。同时厂界外</w:t>
            </w:r>
            <w:r>
              <w:rPr>
                <w:rFonts w:hint="eastAsia"/>
                <w:color w:val="auto"/>
              </w:rPr>
              <w:t>50</w:t>
            </w:r>
            <w:r>
              <w:rPr>
                <w:color w:val="auto"/>
              </w:rPr>
              <w:t>m范围内无声环境</w:t>
            </w:r>
            <w:r>
              <w:rPr>
                <w:rFonts w:hint="eastAsia"/>
                <w:color w:val="auto"/>
              </w:rPr>
              <w:t>保护目标</w:t>
            </w:r>
            <w:r>
              <w:rPr>
                <w:color w:val="auto"/>
              </w:rPr>
              <w:t>，因此，项目运营过程中产生的噪声不会改变建设项目所在区域声环境功能要求，对区域声环境影响较小</w:t>
            </w:r>
            <w:r>
              <w:rPr>
                <w:rFonts w:hint="eastAsia"/>
                <w:color w:val="auto"/>
              </w:rPr>
              <w:t>。</w:t>
            </w:r>
          </w:p>
          <w:p w14:paraId="0790251D">
            <w:pPr>
              <w:ind w:firstLine="482"/>
              <w:rPr>
                <w:color w:val="auto"/>
              </w:rPr>
            </w:pPr>
            <w:r>
              <w:rPr>
                <w:rFonts w:hint="eastAsia" w:ascii="宋体" w:hAnsi="宋体" w:cs="宋体"/>
                <w:b/>
                <w:bCs/>
                <w:color w:val="auto"/>
              </w:rPr>
              <w:t>③</w:t>
            </w:r>
            <w:r>
              <w:rPr>
                <w:rFonts w:hint="eastAsia"/>
                <w:b/>
                <w:bCs/>
                <w:color w:val="auto"/>
              </w:rPr>
              <w:t>噪声环境监测计划</w:t>
            </w:r>
          </w:p>
          <w:p w14:paraId="2B0F273B">
            <w:pPr>
              <w:ind w:firstLine="480"/>
              <w:rPr>
                <w:rFonts w:hint="eastAsia"/>
                <w:color w:val="auto"/>
              </w:rPr>
            </w:pPr>
            <w:r>
              <w:rPr>
                <w:rFonts w:hint="eastAsia"/>
                <w:color w:val="auto"/>
              </w:rPr>
              <w:t>根据《排污单位自行监测指南 总则》（HJ 819-2017），本项目厂界噪声监测要求如下：</w:t>
            </w:r>
          </w:p>
          <w:p w14:paraId="7373DF75">
            <w:pPr>
              <w:ind w:firstLine="482"/>
              <w:jc w:val="center"/>
              <w:rPr>
                <w:rFonts w:hint="eastAsia"/>
                <w:color w:val="auto"/>
              </w:rPr>
            </w:pPr>
            <w:r>
              <w:rPr>
                <w:rFonts w:hint="eastAsia"/>
                <w:b/>
                <w:bCs/>
                <w:color w:val="auto"/>
              </w:rPr>
              <w:t>表</w:t>
            </w:r>
            <w:r>
              <w:rPr>
                <w:rFonts w:hint="eastAsia"/>
                <w:b/>
                <w:bCs/>
                <w:color w:val="auto"/>
                <w:szCs w:val="21"/>
                <w:lang w:val="en-US" w:eastAsia="zh-CN"/>
              </w:rPr>
              <w:t>4-11</w:t>
            </w:r>
            <w:r>
              <w:rPr>
                <w:rFonts w:hint="eastAsia"/>
                <w:b/>
                <w:bCs/>
                <w:color w:val="auto"/>
              </w:rPr>
              <w:t xml:space="preserve"> 项目营运期噪声监测计划一览表</w:t>
            </w:r>
          </w:p>
          <w:tbl>
            <w:tblPr>
              <w:tblStyle w:val="23"/>
              <w:tblW w:w="8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969"/>
              <w:gridCol w:w="1350"/>
              <w:gridCol w:w="1512"/>
              <w:gridCol w:w="1291"/>
              <w:gridCol w:w="1279"/>
              <w:gridCol w:w="1098"/>
            </w:tblGrid>
            <w:tr w14:paraId="06E95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14:paraId="1AEAC0A0">
                  <w:pPr>
                    <w:spacing w:line="240" w:lineRule="auto"/>
                    <w:ind w:firstLine="0" w:firstLineChars="0"/>
                    <w:jc w:val="center"/>
                    <w:rPr>
                      <w:rFonts w:hint="eastAsia"/>
                      <w:b/>
                      <w:bCs/>
                      <w:color w:val="auto"/>
                      <w:sz w:val="21"/>
                      <w:szCs w:val="21"/>
                    </w:rPr>
                  </w:pPr>
                  <w:r>
                    <w:rPr>
                      <w:rFonts w:hint="eastAsia"/>
                      <w:b/>
                      <w:bCs/>
                      <w:color w:val="auto"/>
                      <w:sz w:val="21"/>
                      <w:szCs w:val="21"/>
                    </w:rPr>
                    <w:t>污染源类别/监测类别</w:t>
                  </w:r>
                </w:p>
              </w:tc>
              <w:tc>
                <w:tcPr>
                  <w:tcW w:w="969" w:type="dxa"/>
                  <w:noWrap w:val="0"/>
                  <w:vAlign w:val="center"/>
                </w:tcPr>
                <w:p w14:paraId="51898B68">
                  <w:pPr>
                    <w:spacing w:line="240" w:lineRule="auto"/>
                    <w:ind w:firstLine="0" w:firstLineChars="0"/>
                    <w:jc w:val="center"/>
                    <w:rPr>
                      <w:rFonts w:hint="eastAsia"/>
                      <w:b/>
                      <w:bCs/>
                      <w:color w:val="auto"/>
                      <w:sz w:val="21"/>
                      <w:szCs w:val="21"/>
                    </w:rPr>
                  </w:pPr>
                  <w:r>
                    <w:rPr>
                      <w:rFonts w:hint="eastAsia"/>
                      <w:b/>
                      <w:bCs/>
                      <w:color w:val="auto"/>
                      <w:sz w:val="21"/>
                      <w:szCs w:val="21"/>
                    </w:rPr>
                    <w:t>排放口编号/监测点位</w:t>
                  </w:r>
                </w:p>
              </w:tc>
              <w:tc>
                <w:tcPr>
                  <w:tcW w:w="1350" w:type="dxa"/>
                  <w:noWrap w:val="0"/>
                  <w:vAlign w:val="center"/>
                </w:tcPr>
                <w:p w14:paraId="003E5E92">
                  <w:pPr>
                    <w:spacing w:line="240" w:lineRule="auto"/>
                    <w:ind w:firstLine="0" w:firstLineChars="0"/>
                    <w:jc w:val="center"/>
                    <w:rPr>
                      <w:rFonts w:hint="eastAsia"/>
                      <w:b/>
                      <w:bCs/>
                      <w:color w:val="auto"/>
                      <w:sz w:val="21"/>
                      <w:szCs w:val="21"/>
                    </w:rPr>
                  </w:pPr>
                  <w:r>
                    <w:rPr>
                      <w:rFonts w:hint="eastAsia"/>
                      <w:b/>
                      <w:bCs/>
                      <w:color w:val="auto"/>
                      <w:sz w:val="21"/>
                      <w:szCs w:val="21"/>
                    </w:rPr>
                    <w:t>排放口名称/监测点位名称</w:t>
                  </w:r>
                </w:p>
              </w:tc>
              <w:tc>
                <w:tcPr>
                  <w:tcW w:w="1512" w:type="dxa"/>
                  <w:noWrap w:val="0"/>
                  <w:vAlign w:val="center"/>
                </w:tcPr>
                <w:p w14:paraId="261B6446">
                  <w:pPr>
                    <w:spacing w:line="240" w:lineRule="auto"/>
                    <w:ind w:firstLine="0" w:firstLineChars="0"/>
                    <w:jc w:val="center"/>
                    <w:rPr>
                      <w:rFonts w:hint="eastAsia"/>
                      <w:b/>
                      <w:bCs/>
                      <w:color w:val="auto"/>
                      <w:sz w:val="21"/>
                      <w:szCs w:val="21"/>
                    </w:rPr>
                  </w:pPr>
                  <w:r>
                    <w:rPr>
                      <w:rFonts w:hint="eastAsia"/>
                      <w:b/>
                      <w:bCs/>
                      <w:color w:val="auto"/>
                      <w:sz w:val="21"/>
                      <w:szCs w:val="21"/>
                    </w:rPr>
                    <w:t>污染物名称</w:t>
                  </w:r>
                </w:p>
              </w:tc>
              <w:tc>
                <w:tcPr>
                  <w:tcW w:w="1291" w:type="dxa"/>
                  <w:noWrap w:val="0"/>
                  <w:vAlign w:val="center"/>
                </w:tcPr>
                <w:p w14:paraId="4E9836A3">
                  <w:pPr>
                    <w:spacing w:line="240" w:lineRule="auto"/>
                    <w:ind w:firstLine="0" w:firstLineChars="0"/>
                    <w:jc w:val="center"/>
                    <w:rPr>
                      <w:rFonts w:hint="eastAsia"/>
                      <w:b/>
                      <w:bCs/>
                      <w:color w:val="auto"/>
                      <w:sz w:val="21"/>
                      <w:szCs w:val="21"/>
                    </w:rPr>
                  </w:pPr>
                  <w:r>
                    <w:rPr>
                      <w:rFonts w:hint="eastAsia"/>
                      <w:b/>
                      <w:bCs/>
                      <w:color w:val="auto"/>
                      <w:sz w:val="21"/>
                      <w:szCs w:val="21"/>
                    </w:rPr>
                    <w:t>监测设施</w:t>
                  </w:r>
                </w:p>
              </w:tc>
              <w:tc>
                <w:tcPr>
                  <w:tcW w:w="1279" w:type="dxa"/>
                  <w:noWrap w:val="0"/>
                  <w:vAlign w:val="center"/>
                </w:tcPr>
                <w:p w14:paraId="5A321A32">
                  <w:pPr>
                    <w:spacing w:line="240" w:lineRule="auto"/>
                    <w:ind w:firstLine="0" w:firstLineChars="0"/>
                    <w:jc w:val="center"/>
                    <w:rPr>
                      <w:rFonts w:hint="eastAsia"/>
                      <w:b/>
                      <w:bCs/>
                      <w:color w:val="auto"/>
                      <w:sz w:val="21"/>
                      <w:szCs w:val="21"/>
                    </w:rPr>
                  </w:pPr>
                  <w:r>
                    <w:rPr>
                      <w:rFonts w:hint="eastAsia"/>
                      <w:b/>
                      <w:bCs/>
                      <w:color w:val="auto"/>
                      <w:sz w:val="21"/>
                      <w:szCs w:val="21"/>
                    </w:rPr>
                    <w:t>手工测定方法</w:t>
                  </w:r>
                </w:p>
              </w:tc>
              <w:tc>
                <w:tcPr>
                  <w:tcW w:w="1098" w:type="dxa"/>
                  <w:noWrap w:val="0"/>
                  <w:vAlign w:val="center"/>
                </w:tcPr>
                <w:p w14:paraId="2F8F6EB1">
                  <w:pPr>
                    <w:spacing w:line="240" w:lineRule="auto"/>
                    <w:ind w:firstLine="0" w:firstLineChars="0"/>
                    <w:jc w:val="center"/>
                    <w:rPr>
                      <w:rFonts w:hint="eastAsia"/>
                      <w:b/>
                      <w:bCs/>
                      <w:color w:val="auto"/>
                      <w:sz w:val="21"/>
                      <w:szCs w:val="21"/>
                    </w:rPr>
                  </w:pPr>
                  <w:r>
                    <w:rPr>
                      <w:rFonts w:hint="eastAsia"/>
                      <w:b/>
                      <w:bCs/>
                      <w:color w:val="auto"/>
                      <w:sz w:val="21"/>
                      <w:szCs w:val="21"/>
                    </w:rPr>
                    <w:t>监测频次</w:t>
                  </w:r>
                </w:p>
              </w:tc>
            </w:tr>
            <w:tr w14:paraId="13571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14:paraId="71B9902E">
                  <w:pPr>
                    <w:spacing w:line="240" w:lineRule="auto"/>
                    <w:ind w:firstLine="0" w:firstLineChars="0"/>
                    <w:jc w:val="center"/>
                    <w:rPr>
                      <w:rFonts w:hint="eastAsia"/>
                      <w:color w:val="auto"/>
                      <w:sz w:val="21"/>
                      <w:szCs w:val="21"/>
                    </w:rPr>
                  </w:pPr>
                  <w:r>
                    <w:rPr>
                      <w:rFonts w:hint="eastAsia"/>
                      <w:color w:val="auto"/>
                      <w:sz w:val="21"/>
                      <w:szCs w:val="21"/>
                    </w:rPr>
                    <w:t>噪声</w:t>
                  </w:r>
                </w:p>
              </w:tc>
              <w:tc>
                <w:tcPr>
                  <w:tcW w:w="969" w:type="dxa"/>
                  <w:noWrap w:val="0"/>
                  <w:vAlign w:val="center"/>
                </w:tcPr>
                <w:p w14:paraId="1048BF0A">
                  <w:pPr>
                    <w:spacing w:line="240" w:lineRule="auto"/>
                    <w:ind w:firstLine="0" w:firstLineChars="0"/>
                    <w:jc w:val="center"/>
                    <w:rPr>
                      <w:rFonts w:hint="eastAsia"/>
                      <w:color w:val="auto"/>
                      <w:sz w:val="21"/>
                      <w:szCs w:val="21"/>
                    </w:rPr>
                  </w:pPr>
                  <w:r>
                    <w:rPr>
                      <w:rFonts w:hint="eastAsia"/>
                      <w:color w:val="auto"/>
                      <w:sz w:val="21"/>
                      <w:szCs w:val="21"/>
                    </w:rPr>
                    <w:t>/</w:t>
                  </w:r>
                </w:p>
              </w:tc>
              <w:tc>
                <w:tcPr>
                  <w:tcW w:w="1350" w:type="dxa"/>
                  <w:noWrap w:val="0"/>
                  <w:vAlign w:val="center"/>
                </w:tcPr>
                <w:p w14:paraId="4F42B1D0">
                  <w:pPr>
                    <w:spacing w:line="240" w:lineRule="auto"/>
                    <w:ind w:firstLine="0" w:firstLineChars="0"/>
                    <w:jc w:val="center"/>
                    <w:rPr>
                      <w:rFonts w:hint="eastAsia"/>
                      <w:color w:val="auto"/>
                      <w:sz w:val="21"/>
                      <w:szCs w:val="21"/>
                    </w:rPr>
                  </w:pPr>
                  <w:r>
                    <w:rPr>
                      <w:rFonts w:hint="eastAsia"/>
                      <w:color w:val="auto"/>
                      <w:sz w:val="21"/>
                      <w:szCs w:val="21"/>
                    </w:rPr>
                    <w:t>厂界</w:t>
                  </w:r>
                </w:p>
              </w:tc>
              <w:tc>
                <w:tcPr>
                  <w:tcW w:w="1512" w:type="dxa"/>
                  <w:noWrap w:val="0"/>
                  <w:vAlign w:val="center"/>
                </w:tcPr>
                <w:p w14:paraId="034E91D3">
                  <w:pPr>
                    <w:spacing w:line="240" w:lineRule="auto"/>
                    <w:ind w:firstLine="0" w:firstLineChars="0"/>
                    <w:jc w:val="center"/>
                    <w:rPr>
                      <w:rFonts w:hint="eastAsia"/>
                      <w:color w:val="auto"/>
                      <w:sz w:val="21"/>
                      <w:szCs w:val="21"/>
                    </w:rPr>
                  </w:pPr>
                  <w:r>
                    <w:rPr>
                      <w:rFonts w:hint="eastAsia"/>
                      <w:color w:val="auto"/>
                      <w:sz w:val="21"/>
                      <w:szCs w:val="21"/>
                    </w:rPr>
                    <w:t>昼夜等效A声级</w:t>
                  </w:r>
                </w:p>
              </w:tc>
              <w:tc>
                <w:tcPr>
                  <w:tcW w:w="1291" w:type="dxa"/>
                  <w:noWrap w:val="0"/>
                  <w:vAlign w:val="center"/>
                </w:tcPr>
                <w:p w14:paraId="502E20C3">
                  <w:pPr>
                    <w:spacing w:line="240" w:lineRule="auto"/>
                    <w:ind w:firstLine="0" w:firstLineChars="0"/>
                    <w:jc w:val="center"/>
                    <w:rPr>
                      <w:rFonts w:hint="eastAsia"/>
                      <w:color w:val="auto"/>
                      <w:sz w:val="21"/>
                      <w:szCs w:val="21"/>
                    </w:rPr>
                  </w:pPr>
                  <w:r>
                    <w:rPr>
                      <w:rFonts w:hint="eastAsia"/>
                      <w:color w:val="auto"/>
                      <w:sz w:val="21"/>
                      <w:szCs w:val="21"/>
                    </w:rPr>
                    <w:t>手工</w:t>
                  </w:r>
                </w:p>
              </w:tc>
              <w:tc>
                <w:tcPr>
                  <w:tcW w:w="1279" w:type="dxa"/>
                  <w:noWrap w:val="0"/>
                  <w:vAlign w:val="center"/>
                </w:tcPr>
                <w:p w14:paraId="4A3BB803">
                  <w:pPr>
                    <w:spacing w:line="240" w:lineRule="auto"/>
                    <w:ind w:left="-122" w:leftChars="-51" w:right="-122" w:rightChars="-51" w:firstLine="0" w:firstLineChars="0"/>
                    <w:jc w:val="center"/>
                    <w:rPr>
                      <w:rFonts w:hint="eastAsia"/>
                      <w:color w:val="auto"/>
                      <w:kern w:val="0"/>
                      <w:sz w:val="21"/>
                      <w:szCs w:val="21"/>
                    </w:rPr>
                  </w:pPr>
                  <w:r>
                    <w:rPr>
                      <w:color w:val="auto"/>
                      <w:kern w:val="0"/>
                      <w:sz w:val="21"/>
                      <w:szCs w:val="21"/>
                    </w:rPr>
                    <w:t>声级计法 GB12348-2008</w:t>
                  </w:r>
                </w:p>
              </w:tc>
              <w:tc>
                <w:tcPr>
                  <w:tcW w:w="1098" w:type="dxa"/>
                  <w:noWrap w:val="0"/>
                  <w:vAlign w:val="center"/>
                </w:tcPr>
                <w:p w14:paraId="5B9A7E76">
                  <w:pPr>
                    <w:spacing w:line="240" w:lineRule="auto"/>
                    <w:ind w:firstLine="0" w:firstLineChars="0"/>
                    <w:jc w:val="center"/>
                    <w:rPr>
                      <w:rFonts w:hint="eastAsia"/>
                      <w:color w:val="auto"/>
                      <w:sz w:val="21"/>
                      <w:szCs w:val="21"/>
                    </w:rPr>
                  </w:pPr>
                  <w:r>
                    <w:rPr>
                      <w:rFonts w:hint="eastAsia"/>
                      <w:color w:val="auto"/>
                      <w:sz w:val="21"/>
                      <w:szCs w:val="21"/>
                    </w:rPr>
                    <w:t>1次/季</w:t>
                  </w:r>
                </w:p>
              </w:tc>
            </w:tr>
          </w:tbl>
          <w:p w14:paraId="703F86E3">
            <w:pPr>
              <w:ind w:firstLine="0" w:firstLineChars="0"/>
              <w:rPr>
                <w:color w:val="auto"/>
                <w:szCs w:val="21"/>
              </w:rPr>
            </w:pPr>
          </w:p>
        </w:tc>
      </w:tr>
    </w:tbl>
    <w:p w14:paraId="484385F2">
      <w:pPr>
        <w:ind w:firstLine="0" w:firstLineChars="0"/>
        <w:rPr>
          <w:rFonts w:hint="eastAsia"/>
          <w:color w:val="auto"/>
        </w:rPr>
        <w:sectPr>
          <w:pgSz w:w="11905" w:h="16838"/>
          <w:pgMar w:top="1701" w:right="1531" w:bottom="1701" w:left="1531" w:header="851" w:footer="850" w:gutter="0"/>
          <w:pgNumType w:fmt="decimal"/>
          <w:cols w:space="720" w:num="1"/>
          <w:docGrid w:type="linesAndChars" w:linePitch="312" w:charSpace="0"/>
        </w:sect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13032"/>
      </w:tblGrid>
      <w:tr w14:paraId="42EC7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0" w:hRule="atLeast"/>
        </w:trPr>
        <w:tc>
          <w:tcPr>
            <w:tcW w:w="621" w:type="dxa"/>
            <w:noWrap w:val="0"/>
            <w:vAlign w:val="top"/>
          </w:tcPr>
          <w:p w14:paraId="0D28701C">
            <w:pPr>
              <w:ind w:firstLine="480"/>
              <w:rPr>
                <w:rFonts w:hint="eastAsia"/>
                <w:color w:val="auto"/>
              </w:rPr>
            </w:pPr>
          </w:p>
        </w:tc>
        <w:tc>
          <w:tcPr>
            <w:tcW w:w="13031" w:type="dxa"/>
            <w:noWrap w:val="0"/>
            <w:vAlign w:val="top"/>
          </w:tcPr>
          <w:p w14:paraId="05DB9668">
            <w:pPr>
              <w:numPr>
                <w:ilvl w:val="0"/>
                <w:numId w:val="8"/>
              </w:numPr>
              <w:ind w:firstLine="0" w:firstLineChars="0"/>
              <w:rPr>
                <w:rFonts w:hint="eastAsia"/>
                <w:b/>
                <w:bCs/>
                <w:color w:val="auto"/>
              </w:rPr>
            </w:pPr>
            <w:r>
              <w:rPr>
                <w:rFonts w:hint="eastAsia"/>
                <w:b/>
                <w:bCs/>
                <w:color w:val="auto"/>
              </w:rPr>
              <w:t>固体废物</w:t>
            </w:r>
          </w:p>
          <w:p w14:paraId="25B9211B">
            <w:pPr>
              <w:ind w:firstLine="482"/>
              <w:rPr>
                <w:rFonts w:hint="eastAsia"/>
                <w:b/>
                <w:bCs/>
                <w:color w:val="auto"/>
              </w:rPr>
            </w:pPr>
            <w:r>
              <w:rPr>
                <w:rFonts w:hint="eastAsia" w:ascii="宋体" w:hAnsi="宋体" w:cs="宋体"/>
                <w:b/>
                <w:bCs/>
                <w:color w:val="auto"/>
              </w:rPr>
              <w:t>①</w:t>
            </w:r>
            <w:r>
              <w:rPr>
                <w:rFonts w:hint="eastAsia"/>
                <w:b/>
                <w:bCs/>
                <w:color w:val="auto"/>
              </w:rPr>
              <w:t>固废污染源强</w:t>
            </w:r>
          </w:p>
          <w:p w14:paraId="5604FECF">
            <w:pPr>
              <w:ind w:firstLine="480"/>
              <w:rPr>
                <w:rFonts w:hint="eastAsia"/>
                <w:color w:val="auto"/>
              </w:rPr>
            </w:pPr>
            <w:r>
              <w:rPr>
                <w:rFonts w:hint="eastAsia"/>
                <w:color w:val="auto"/>
              </w:rPr>
              <w:t>本项目固废主要有生活垃圾、</w:t>
            </w:r>
            <w:r>
              <w:rPr>
                <w:rFonts w:hint="eastAsia"/>
                <w:color w:val="auto"/>
                <w:lang w:val="en-US" w:eastAsia="zh-CN"/>
              </w:rPr>
              <w:t>废边角料、废铁屑、废包装材料、</w:t>
            </w:r>
            <w:r>
              <w:rPr>
                <w:rFonts w:hint="eastAsia"/>
                <w:color w:val="auto"/>
                <w:lang w:eastAsia="zh-CN"/>
              </w:rPr>
              <w:t>布袋</w:t>
            </w:r>
            <w:r>
              <w:rPr>
                <w:rFonts w:hint="eastAsia"/>
                <w:color w:val="auto"/>
                <w:lang w:val="en-US" w:eastAsia="zh-CN"/>
              </w:rPr>
              <w:t>除尘器收集到的粉尘、废布袋、废钢丸、沾染危险化学品的废包装材料、废活性炭、废润滑油、废润滑油桶</w:t>
            </w:r>
            <w:r>
              <w:rPr>
                <w:rFonts w:hint="eastAsia"/>
                <w:color w:val="auto"/>
              </w:rPr>
              <w:t>等。</w:t>
            </w:r>
          </w:p>
          <w:p w14:paraId="1A16C721">
            <w:pPr>
              <w:ind w:firstLine="0" w:firstLineChars="0"/>
              <w:jc w:val="center"/>
              <w:rPr>
                <w:color w:val="auto"/>
              </w:rPr>
            </w:pPr>
            <w:r>
              <w:rPr>
                <w:rFonts w:hint="eastAsia"/>
                <w:b/>
                <w:bCs/>
                <w:color w:val="auto"/>
              </w:rPr>
              <w:t>表</w:t>
            </w:r>
            <w:r>
              <w:rPr>
                <w:rFonts w:hint="eastAsia"/>
                <w:b/>
                <w:bCs/>
                <w:color w:val="auto"/>
                <w:lang w:val="en-US" w:eastAsia="zh-CN"/>
              </w:rPr>
              <w:t>4-12</w:t>
            </w:r>
            <w:r>
              <w:rPr>
                <w:rFonts w:hint="eastAsia"/>
                <w:b/>
                <w:bCs/>
                <w:color w:val="auto"/>
              </w:rPr>
              <w:t xml:space="preserve"> 本项目固体废物产生及排放情况一览表</w:t>
            </w:r>
          </w:p>
          <w:tbl>
            <w:tblPr>
              <w:tblStyle w:val="23"/>
              <w:tblW w:w="128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1416"/>
              <w:gridCol w:w="1091"/>
              <w:gridCol w:w="1078"/>
              <w:gridCol w:w="1301"/>
              <w:gridCol w:w="957"/>
              <w:gridCol w:w="887"/>
              <w:gridCol w:w="1070"/>
              <w:gridCol w:w="1081"/>
              <w:gridCol w:w="1153"/>
              <w:gridCol w:w="1043"/>
              <w:gridCol w:w="1061"/>
            </w:tblGrid>
            <w:tr w14:paraId="52105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14:paraId="6C1B6FC8">
                  <w:pPr>
                    <w:spacing w:line="240" w:lineRule="auto"/>
                    <w:ind w:firstLine="0" w:firstLineChars="0"/>
                    <w:jc w:val="center"/>
                    <w:rPr>
                      <w:b/>
                      <w:bCs/>
                      <w:color w:val="auto"/>
                      <w:sz w:val="21"/>
                      <w:szCs w:val="21"/>
                    </w:rPr>
                  </w:pPr>
                  <w:r>
                    <w:rPr>
                      <w:b/>
                      <w:bCs/>
                      <w:color w:val="auto"/>
                      <w:sz w:val="21"/>
                      <w:szCs w:val="21"/>
                    </w:rPr>
                    <w:t>序号</w:t>
                  </w:r>
                </w:p>
              </w:tc>
              <w:tc>
                <w:tcPr>
                  <w:tcW w:w="1416" w:type="dxa"/>
                  <w:noWrap w:val="0"/>
                  <w:vAlign w:val="center"/>
                </w:tcPr>
                <w:p w14:paraId="742FA7A2">
                  <w:pPr>
                    <w:widowControl/>
                    <w:spacing w:line="240" w:lineRule="auto"/>
                    <w:ind w:firstLine="0" w:firstLineChars="0"/>
                    <w:jc w:val="center"/>
                    <w:textAlignment w:val="center"/>
                    <w:rPr>
                      <w:b/>
                      <w:bCs/>
                      <w:color w:val="auto"/>
                      <w:sz w:val="21"/>
                      <w:szCs w:val="21"/>
                    </w:rPr>
                  </w:pPr>
                  <w:r>
                    <w:rPr>
                      <w:b/>
                      <w:bCs/>
                      <w:color w:val="auto"/>
                      <w:kern w:val="0"/>
                      <w:sz w:val="21"/>
                      <w:szCs w:val="21"/>
                      <w:lang w:bidi="ar"/>
                    </w:rPr>
                    <w:t>产生环节</w:t>
                  </w:r>
                </w:p>
              </w:tc>
              <w:tc>
                <w:tcPr>
                  <w:tcW w:w="1091" w:type="dxa"/>
                  <w:noWrap w:val="0"/>
                  <w:vAlign w:val="center"/>
                </w:tcPr>
                <w:p w14:paraId="6F717C9E">
                  <w:pPr>
                    <w:widowControl/>
                    <w:spacing w:line="240" w:lineRule="auto"/>
                    <w:ind w:firstLine="0" w:firstLineChars="0"/>
                    <w:jc w:val="center"/>
                    <w:textAlignment w:val="center"/>
                    <w:rPr>
                      <w:b/>
                      <w:bCs/>
                      <w:color w:val="auto"/>
                      <w:kern w:val="0"/>
                      <w:sz w:val="21"/>
                      <w:szCs w:val="21"/>
                      <w:lang w:bidi="ar"/>
                    </w:rPr>
                  </w:pPr>
                  <w:r>
                    <w:rPr>
                      <w:b/>
                      <w:bCs/>
                      <w:color w:val="auto"/>
                      <w:kern w:val="0"/>
                      <w:sz w:val="21"/>
                      <w:szCs w:val="21"/>
                      <w:lang w:bidi="ar"/>
                    </w:rPr>
                    <w:t>固体废</w:t>
                  </w:r>
                </w:p>
                <w:p w14:paraId="564DDBCE">
                  <w:pPr>
                    <w:widowControl/>
                    <w:spacing w:line="240" w:lineRule="auto"/>
                    <w:ind w:firstLine="0" w:firstLineChars="0"/>
                    <w:jc w:val="center"/>
                    <w:textAlignment w:val="center"/>
                    <w:rPr>
                      <w:b/>
                      <w:bCs/>
                      <w:color w:val="auto"/>
                      <w:sz w:val="21"/>
                      <w:szCs w:val="21"/>
                    </w:rPr>
                  </w:pPr>
                  <w:r>
                    <w:rPr>
                      <w:b/>
                      <w:bCs/>
                      <w:color w:val="auto"/>
                      <w:kern w:val="0"/>
                      <w:sz w:val="21"/>
                      <w:szCs w:val="21"/>
                      <w:lang w:bidi="ar"/>
                    </w:rPr>
                    <w:t>物名称</w:t>
                  </w:r>
                </w:p>
              </w:tc>
              <w:tc>
                <w:tcPr>
                  <w:tcW w:w="1078" w:type="dxa"/>
                  <w:noWrap w:val="0"/>
                  <w:vAlign w:val="center"/>
                </w:tcPr>
                <w:p w14:paraId="5F3267E1">
                  <w:pPr>
                    <w:widowControl/>
                    <w:spacing w:line="240" w:lineRule="auto"/>
                    <w:ind w:firstLine="0" w:firstLineChars="0"/>
                    <w:jc w:val="center"/>
                    <w:textAlignment w:val="center"/>
                    <w:rPr>
                      <w:b/>
                      <w:bCs/>
                      <w:color w:val="auto"/>
                      <w:sz w:val="21"/>
                      <w:szCs w:val="21"/>
                    </w:rPr>
                  </w:pPr>
                  <w:r>
                    <w:rPr>
                      <w:b/>
                      <w:bCs/>
                      <w:color w:val="auto"/>
                      <w:kern w:val="0"/>
                      <w:sz w:val="21"/>
                      <w:szCs w:val="21"/>
                      <w:lang w:bidi="ar"/>
                    </w:rPr>
                    <w:t>固体废物属性</w:t>
                  </w:r>
                </w:p>
              </w:tc>
              <w:tc>
                <w:tcPr>
                  <w:tcW w:w="1301" w:type="dxa"/>
                  <w:noWrap w:val="0"/>
                  <w:vAlign w:val="center"/>
                </w:tcPr>
                <w:p w14:paraId="593F0422">
                  <w:pPr>
                    <w:widowControl/>
                    <w:spacing w:line="240" w:lineRule="auto"/>
                    <w:ind w:firstLine="0" w:firstLineChars="0"/>
                    <w:jc w:val="center"/>
                    <w:textAlignment w:val="center"/>
                    <w:rPr>
                      <w:b/>
                      <w:bCs/>
                      <w:color w:val="auto"/>
                      <w:sz w:val="21"/>
                      <w:szCs w:val="21"/>
                    </w:rPr>
                  </w:pPr>
                  <w:r>
                    <w:rPr>
                      <w:b/>
                      <w:bCs/>
                      <w:color w:val="auto"/>
                      <w:kern w:val="0"/>
                      <w:sz w:val="21"/>
                      <w:szCs w:val="21"/>
                      <w:lang w:bidi="ar"/>
                    </w:rPr>
                    <w:t>固废代码</w:t>
                  </w:r>
                </w:p>
              </w:tc>
              <w:tc>
                <w:tcPr>
                  <w:tcW w:w="957" w:type="dxa"/>
                  <w:noWrap w:val="0"/>
                  <w:vAlign w:val="center"/>
                </w:tcPr>
                <w:p w14:paraId="7C054ECF">
                  <w:pPr>
                    <w:widowControl/>
                    <w:spacing w:line="240" w:lineRule="auto"/>
                    <w:ind w:firstLine="0" w:firstLineChars="0"/>
                    <w:jc w:val="center"/>
                    <w:textAlignment w:val="center"/>
                    <w:rPr>
                      <w:b/>
                      <w:bCs/>
                      <w:color w:val="auto"/>
                      <w:sz w:val="21"/>
                      <w:szCs w:val="21"/>
                    </w:rPr>
                  </w:pPr>
                  <w:r>
                    <w:rPr>
                      <w:b/>
                      <w:bCs/>
                      <w:color w:val="auto"/>
                      <w:kern w:val="0"/>
                      <w:sz w:val="21"/>
                      <w:szCs w:val="21"/>
                      <w:lang w:bidi="ar"/>
                    </w:rPr>
                    <w:t>主要有毒有害物质</w:t>
                  </w:r>
                </w:p>
              </w:tc>
              <w:tc>
                <w:tcPr>
                  <w:tcW w:w="887" w:type="dxa"/>
                  <w:noWrap w:val="0"/>
                  <w:vAlign w:val="center"/>
                </w:tcPr>
                <w:p w14:paraId="6DB8C70E">
                  <w:pPr>
                    <w:widowControl/>
                    <w:spacing w:line="240" w:lineRule="auto"/>
                    <w:ind w:firstLine="0" w:firstLineChars="0"/>
                    <w:jc w:val="center"/>
                    <w:textAlignment w:val="center"/>
                    <w:rPr>
                      <w:b/>
                      <w:bCs/>
                      <w:color w:val="auto"/>
                      <w:kern w:val="0"/>
                      <w:sz w:val="21"/>
                      <w:szCs w:val="21"/>
                      <w:lang w:bidi="ar"/>
                    </w:rPr>
                  </w:pPr>
                  <w:r>
                    <w:rPr>
                      <w:b/>
                      <w:bCs/>
                      <w:color w:val="auto"/>
                      <w:kern w:val="0"/>
                      <w:sz w:val="21"/>
                      <w:szCs w:val="21"/>
                      <w:lang w:bidi="ar"/>
                    </w:rPr>
                    <w:t>物理</w:t>
                  </w:r>
                </w:p>
                <w:p w14:paraId="439B4A96">
                  <w:pPr>
                    <w:widowControl/>
                    <w:spacing w:line="240" w:lineRule="auto"/>
                    <w:ind w:firstLine="0" w:firstLineChars="0"/>
                    <w:jc w:val="center"/>
                    <w:textAlignment w:val="center"/>
                    <w:rPr>
                      <w:b/>
                      <w:bCs/>
                      <w:color w:val="auto"/>
                      <w:sz w:val="21"/>
                      <w:szCs w:val="21"/>
                    </w:rPr>
                  </w:pPr>
                  <w:r>
                    <w:rPr>
                      <w:b/>
                      <w:bCs/>
                      <w:color w:val="auto"/>
                      <w:kern w:val="0"/>
                      <w:sz w:val="21"/>
                      <w:szCs w:val="21"/>
                      <w:lang w:bidi="ar"/>
                    </w:rPr>
                    <w:t>性状</w:t>
                  </w:r>
                </w:p>
              </w:tc>
              <w:tc>
                <w:tcPr>
                  <w:tcW w:w="1070" w:type="dxa"/>
                  <w:noWrap w:val="0"/>
                  <w:vAlign w:val="center"/>
                </w:tcPr>
                <w:p w14:paraId="1543C74D">
                  <w:pPr>
                    <w:widowControl/>
                    <w:spacing w:line="240" w:lineRule="auto"/>
                    <w:ind w:firstLine="0" w:firstLineChars="0"/>
                    <w:jc w:val="center"/>
                    <w:textAlignment w:val="center"/>
                    <w:rPr>
                      <w:b/>
                      <w:bCs/>
                      <w:color w:val="auto"/>
                      <w:kern w:val="0"/>
                      <w:sz w:val="21"/>
                      <w:szCs w:val="21"/>
                      <w:lang w:bidi="ar"/>
                    </w:rPr>
                  </w:pPr>
                  <w:r>
                    <w:rPr>
                      <w:b/>
                      <w:bCs/>
                      <w:color w:val="auto"/>
                      <w:kern w:val="0"/>
                      <w:sz w:val="21"/>
                      <w:szCs w:val="21"/>
                      <w:lang w:bidi="ar"/>
                    </w:rPr>
                    <w:t>环境</w:t>
                  </w:r>
                </w:p>
                <w:p w14:paraId="0D7194AE">
                  <w:pPr>
                    <w:widowControl/>
                    <w:spacing w:line="240" w:lineRule="auto"/>
                    <w:ind w:firstLine="0" w:firstLineChars="0"/>
                    <w:jc w:val="center"/>
                    <w:textAlignment w:val="center"/>
                    <w:rPr>
                      <w:b/>
                      <w:bCs/>
                      <w:color w:val="auto"/>
                      <w:sz w:val="21"/>
                      <w:szCs w:val="21"/>
                    </w:rPr>
                  </w:pPr>
                  <w:r>
                    <w:rPr>
                      <w:b/>
                      <w:bCs/>
                      <w:color w:val="auto"/>
                      <w:kern w:val="0"/>
                      <w:sz w:val="21"/>
                      <w:szCs w:val="21"/>
                      <w:lang w:bidi="ar"/>
                    </w:rPr>
                    <w:t>危险性</w:t>
                  </w:r>
                </w:p>
              </w:tc>
              <w:tc>
                <w:tcPr>
                  <w:tcW w:w="1081" w:type="dxa"/>
                  <w:noWrap w:val="0"/>
                  <w:vAlign w:val="center"/>
                </w:tcPr>
                <w:p w14:paraId="219699EF">
                  <w:pPr>
                    <w:widowControl/>
                    <w:spacing w:line="240" w:lineRule="auto"/>
                    <w:ind w:firstLine="0" w:firstLineChars="0"/>
                    <w:jc w:val="center"/>
                    <w:textAlignment w:val="center"/>
                    <w:rPr>
                      <w:b/>
                      <w:bCs/>
                      <w:color w:val="auto"/>
                      <w:sz w:val="21"/>
                      <w:szCs w:val="21"/>
                    </w:rPr>
                  </w:pPr>
                  <w:r>
                    <w:rPr>
                      <w:b/>
                      <w:bCs/>
                      <w:color w:val="auto"/>
                      <w:kern w:val="0"/>
                      <w:sz w:val="21"/>
                      <w:szCs w:val="21"/>
                      <w:lang w:bidi="ar"/>
                    </w:rPr>
                    <w:t>产生量（t/a）</w:t>
                  </w:r>
                </w:p>
              </w:tc>
              <w:tc>
                <w:tcPr>
                  <w:tcW w:w="1153" w:type="dxa"/>
                  <w:noWrap w:val="0"/>
                  <w:vAlign w:val="center"/>
                </w:tcPr>
                <w:p w14:paraId="7F55B2AE">
                  <w:pPr>
                    <w:widowControl/>
                    <w:spacing w:line="240" w:lineRule="auto"/>
                    <w:ind w:firstLine="0" w:firstLineChars="0"/>
                    <w:jc w:val="center"/>
                    <w:textAlignment w:val="center"/>
                    <w:rPr>
                      <w:b/>
                      <w:bCs/>
                      <w:color w:val="auto"/>
                      <w:kern w:val="0"/>
                      <w:sz w:val="21"/>
                      <w:szCs w:val="21"/>
                      <w:lang w:bidi="ar"/>
                    </w:rPr>
                  </w:pPr>
                  <w:r>
                    <w:rPr>
                      <w:b/>
                      <w:bCs/>
                      <w:color w:val="auto"/>
                      <w:kern w:val="0"/>
                      <w:sz w:val="21"/>
                      <w:szCs w:val="21"/>
                      <w:lang w:bidi="ar"/>
                    </w:rPr>
                    <w:t>贮存</w:t>
                  </w:r>
                </w:p>
                <w:p w14:paraId="67516E92">
                  <w:pPr>
                    <w:widowControl/>
                    <w:spacing w:line="240" w:lineRule="auto"/>
                    <w:ind w:firstLine="0" w:firstLineChars="0"/>
                    <w:jc w:val="center"/>
                    <w:textAlignment w:val="center"/>
                    <w:rPr>
                      <w:b/>
                      <w:bCs/>
                      <w:color w:val="auto"/>
                      <w:sz w:val="21"/>
                      <w:szCs w:val="21"/>
                    </w:rPr>
                  </w:pPr>
                  <w:r>
                    <w:rPr>
                      <w:b/>
                      <w:bCs/>
                      <w:color w:val="auto"/>
                      <w:kern w:val="0"/>
                      <w:sz w:val="21"/>
                      <w:szCs w:val="21"/>
                      <w:lang w:bidi="ar"/>
                    </w:rPr>
                    <w:t>方式</w:t>
                  </w:r>
                </w:p>
              </w:tc>
              <w:tc>
                <w:tcPr>
                  <w:tcW w:w="1043" w:type="dxa"/>
                  <w:noWrap w:val="0"/>
                  <w:vAlign w:val="center"/>
                </w:tcPr>
                <w:p w14:paraId="10E2CA20">
                  <w:pPr>
                    <w:widowControl/>
                    <w:spacing w:line="240" w:lineRule="auto"/>
                    <w:ind w:firstLine="0" w:firstLineChars="0"/>
                    <w:jc w:val="center"/>
                    <w:textAlignment w:val="center"/>
                    <w:rPr>
                      <w:b/>
                      <w:bCs/>
                      <w:color w:val="auto"/>
                      <w:sz w:val="21"/>
                      <w:szCs w:val="21"/>
                    </w:rPr>
                  </w:pPr>
                  <w:r>
                    <w:rPr>
                      <w:b/>
                      <w:bCs/>
                      <w:color w:val="auto"/>
                      <w:kern w:val="0"/>
                      <w:sz w:val="21"/>
                      <w:szCs w:val="21"/>
                      <w:lang w:bidi="ar"/>
                    </w:rPr>
                    <w:t>处置/利用方式</w:t>
                  </w:r>
                </w:p>
              </w:tc>
              <w:tc>
                <w:tcPr>
                  <w:tcW w:w="1061" w:type="dxa"/>
                  <w:noWrap w:val="0"/>
                  <w:vAlign w:val="center"/>
                </w:tcPr>
                <w:p w14:paraId="088F55F3">
                  <w:pPr>
                    <w:widowControl/>
                    <w:spacing w:line="240" w:lineRule="auto"/>
                    <w:ind w:firstLine="0" w:firstLineChars="0"/>
                    <w:jc w:val="center"/>
                    <w:textAlignment w:val="center"/>
                    <w:rPr>
                      <w:b/>
                      <w:bCs/>
                      <w:color w:val="auto"/>
                      <w:sz w:val="21"/>
                      <w:szCs w:val="21"/>
                    </w:rPr>
                  </w:pPr>
                  <w:r>
                    <w:rPr>
                      <w:b/>
                      <w:bCs/>
                      <w:color w:val="auto"/>
                      <w:kern w:val="0"/>
                      <w:sz w:val="21"/>
                      <w:szCs w:val="21"/>
                      <w:lang w:bidi="ar"/>
                    </w:rPr>
                    <w:t>利用/处置量（t/a）</w:t>
                  </w:r>
                </w:p>
              </w:tc>
            </w:tr>
            <w:tr w14:paraId="62ECC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14:paraId="3C175C92">
                  <w:pPr>
                    <w:spacing w:line="240" w:lineRule="auto"/>
                    <w:ind w:firstLine="0" w:firstLineChars="0"/>
                    <w:jc w:val="center"/>
                    <w:rPr>
                      <w:color w:val="auto"/>
                      <w:sz w:val="21"/>
                      <w:szCs w:val="21"/>
                    </w:rPr>
                  </w:pPr>
                  <w:r>
                    <w:rPr>
                      <w:color w:val="auto"/>
                      <w:sz w:val="21"/>
                      <w:szCs w:val="21"/>
                    </w:rPr>
                    <w:t>1</w:t>
                  </w:r>
                </w:p>
              </w:tc>
              <w:tc>
                <w:tcPr>
                  <w:tcW w:w="1416" w:type="dxa"/>
                  <w:noWrap w:val="0"/>
                  <w:vAlign w:val="center"/>
                </w:tcPr>
                <w:p w14:paraId="0921B311">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办公</w:t>
                  </w:r>
                </w:p>
              </w:tc>
              <w:tc>
                <w:tcPr>
                  <w:tcW w:w="1091" w:type="dxa"/>
                  <w:noWrap w:val="0"/>
                  <w:vAlign w:val="center"/>
                </w:tcPr>
                <w:p w14:paraId="2457DC2F">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生活垃圾</w:t>
                  </w:r>
                </w:p>
              </w:tc>
              <w:tc>
                <w:tcPr>
                  <w:tcW w:w="1078" w:type="dxa"/>
                  <w:noWrap w:val="0"/>
                  <w:vAlign w:val="center"/>
                </w:tcPr>
                <w:p w14:paraId="1CA8A125">
                  <w:pPr>
                    <w:widowControl/>
                    <w:spacing w:line="240" w:lineRule="auto"/>
                    <w:ind w:firstLine="0" w:firstLineChars="0"/>
                    <w:jc w:val="center"/>
                    <w:textAlignment w:val="center"/>
                    <w:rPr>
                      <w:rFonts w:hint="eastAsia" w:eastAsia="宋体"/>
                      <w:color w:val="auto"/>
                      <w:kern w:val="0"/>
                      <w:sz w:val="21"/>
                      <w:szCs w:val="21"/>
                      <w:lang w:eastAsia="zh-CN" w:bidi="ar"/>
                    </w:rPr>
                  </w:pPr>
                  <w:r>
                    <w:rPr>
                      <w:rFonts w:hint="eastAsia"/>
                      <w:color w:val="auto"/>
                      <w:kern w:val="0"/>
                      <w:sz w:val="21"/>
                      <w:szCs w:val="21"/>
                      <w:lang w:eastAsia="zh-CN" w:bidi="ar"/>
                    </w:rPr>
                    <w:t>生活垃圾</w:t>
                  </w:r>
                </w:p>
              </w:tc>
              <w:tc>
                <w:tcPr>
                  <w:tcW w:w="1301" w:type="dxa"/>
                  <w:noWrap w:val="0"/>
                  <w:vAlign w:val="center"/>
                </w:tcPr>
                <w:p w14:paraId="06EFC01F">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w:t>
                  </w:r>
                </w:p>
              </w:tc>
              <w:tc>
                <w:tcPr>
                  <w:tcW w:w="957" w:type="dxa"/>
                  <w:noWrap w:val="0"/>
                  <w:vAlign w:val="center"/>
                </w:tcPr>
                <w:p w14:paraId="5B689E42">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w:t>
                  </w:r>
                </w:p>
              </w:tc>
              <w:tc>
                <w:tcPr>
                  <w:tcW w:w="887" w:type="dxa"/>
                  <w:noWrap w:val="0"/>
                  <w:vAlign w:val="center"/>
                </w:tcPr>
                <w:p w14:paraId="1FD69EF2">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固体</w:t>
                  </w:r>
                </w:p>
              </w:tc>
              <w:tc>
                <w:tcPr>
                  <w:tcW w:w="1070" w:type="dxa"/>
                  <w:noWrap w:val="0"/>
                  <w:vAlign w:val="center"/>
                </w:tcPr>
                <w:p w14:paraId="4BD13B8D">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w:t>
                  </w:r>
                </w:p>
              </w:tc>
              <w:tc>
                <w:tcPr>
                  <w:tcW w:w="1081" w:type="dxa"/>
                  <w:noWrap w:val="0"/>
                  <w:vAlign w:val="center"/>
                </w:tcPr>
                <w:p w14:paraId="6F110511">
                  <w:pPr>
                    <w:widowControl/>
                    <w:spacing w:line="240" w:lineRule="auto"/>
                    <w:ind w:firstLine="0" w:firstLineChars="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12</w:t>
                  </w:r>
                </w:p>
              </w:tc>
              <w:tc>
                <w:tcPr>
                  <w:tcW w:w="1153" w:type="dxa"/>
                  <w:noWrap w:val="0"/>
                  <w:vAlign w:val="center"/>
                </w:tcPr>
                <w:p w14:paraId="71642613">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储存在垃圾桶中</w:t>
                  </w:r>
                </w:p>
              </w:tc>
              <w:tc>
                <w:tcPr>
                  <w:tcW w:w="1043" w:type="dxa"/>
                  <w:noWrap w:val="0"/>
                  <w:vAlign w:val="center"/>
                </w:tcPr>
                <w:p w14:paraId="30316BEC">
                  <w:pPr>
                    <w:widowControl/>
                    <w:spacing w:line="240" w:lineRule="auto"/>
                    <w:ind w:firstLine="0" w:firstLineChars="0"/>
                    <w:jc w:val="center"/>
                    <w:textAlignment w:val="center"/>
                    <w:rPr>
                      <w:color w:val="auto"/>
                      <w:kern w:val="0"/>
                      <w:sz w:val="21"/>
                      <w:szCs w:val="21"/>
                      <w:lang w:bidi="ar"/>
                    </w:rPr>
                  </w:pPr>
                  <w:r>
                    <w:rPr>
                      <w:rFonts w:hint="eastAsia"/>
                      <w:color w:val="auto"/>
                      <w:sz w:val="21"/>
                      <w:szCs w:val="21"/>
                    </w:rPr>
                    <w:t>委托环卫部门处理</w:t>
                  </w:r>
                </w:p>
              </w:tc>
              <w:tc>
                <w:tcPr>
                  <w:tcW w:w="1061" w:type="dxa"/>
                  <w:shd w:val="clear" w:color="auto" w:fill="auto"/>
                  <w:noWrap w:val="0"/>
                  <w:vAlign w:val="center"/>
                </w:tcPr>
                <w:p w14:paraId="78904D38">
                  <w:pPr>
                    <w:widowControl/>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color w:val="auto"/>
                      <w:kern w:val="0"/>
                      <w:sz w:val="21"/>
                      <w:szCs w:val="21"/>
                      <w:lang w:val="en-US" w:eastAsia="zh-CN" w:bidi="ar"/>
                    </w:rPr>
                    <w:t>12</w:t>
                  </w:r>
                </w:p>
              </w:tc>
            </w:tr>
            <w:tr w14:paraId="773C4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14:paraId="133FB4EC">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2</w:t>
                  </w:r>
                </w:p>
              </w:tc>
              <w:tc>
                <w:tcPr>
                  <w:tcW w:w="1416" w:type="dxa"/>
                  <w:noWrap w:val="0"/>
                  <w:vAlign w:val="center"/>
                </w:tcPr>
                <w:p w14:paraId="63FBBF70">
                  <w:pPr>
                    <w:widowControl/>
                    <w:spacing w:line="240" w:lineRule="auto"/>
                    <w:ind w:firstLine="0" w:firstLineChars="0"/>
                    <w:jc w:val="center"/>
                    <w:textAlignment w:val="center"/>
                    <w:rPr>
                      <w:rFonts w:hint="eastAsia" w:eastAsia="宋体"/>
                      <w:color w:val="auto"/>
                      <w:kern w:val="0"/>
                      <w:sz w:val="21"/>
                      <w:szCs w:val="21"/>
                      <w:lang w:eastAsia="zh-CN" w:bidi="ar"/>
                    </w:rPr>
                  </w:pPr>
                  <w:r>
                    <w:rPr>
                      <w:rFonts w:hint="eastAsia"/>
                      <w:color w:val="auto"/>
                      <w:kern w:val="0"/>
                      <w:sz w:val="21"/>
                      <w:szCs w:val="21"/>
                      <w:lang w:val="en-US" w:eastAsia="zh-CN" w:bidi="ar"/>
                    </w:rPr>
                    <w:t>剪切</w:t>
                  </w:r>
                </w:p>
              </w:tc>
              <w:tc>
                <w:tcPr>
                  <w:tcW w:w="1091" w:type="dxa"/>
                  <w:noWrap w:val="0"/>
                  <w:vAlign w:val="center"/>
                </w:tcPr>
                <w:p w14:paraId="2A562597">
                  <w:pPr>
                    <w:widowControl/>
                    <w:spacing w:line="240" w:lineRule="auto"/>
                    <w:ind w:firstLine="0" w:firstLineChars="0"/>
                    <w:jc w:val="center"/>
                    <w:textAlignment w:val="center"/>
                    <w:rPr>
                      <w:rFonts w:hint="eastAsia" w:eastAsia="宋体"/>
                      <w:color w:val="auto"/>
                      <w:kern w:val="0"/>
                      <w:sz w:val="21"/>
                      <w:szCs w:val="21"/>
                      <w:lang w:eastAsia="zh-CN" w:bidi="ar"/>
                    </w:rPr>
                  </w:pPr>
                  <w:r>
                    <w:rPr>
                      <w:rFonts w:hint="eastAsia"/>
                      <w:color w:val="auto"/>
                      <w:kern w:val="0"/>
                      <w:sz w:val="21"/>
                      <w:szCs w:val="21"/>
                      <w:lang w:val="en-US" w:eastAsia="zh-CN" w:bidi="ar"/>
                    </w:rPr>
                    <w:t>废边角料</w:t>
                  </w:r>
                </w:p>
              </w:tc>
              <w:tc>
                <w:tcPr>
                  <w:tcW w:w="1078" w:type="dxa"/>
                  <w:vMerge w:val="restart"/>
                  <w:noWrap w:val="0"/>
                  <w:vAlign w:val="center"/>
                </w:tcPr>
                <w:p w14:paraId="29AB8ACA">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一般固废</w:t>
                  </w:r>
                </w:p>
              </w:tc>
              <w:tc>
                <w:tcPr>
                  <w:tcW w:w="1301" w:type="dxa"/>
                  <w:noWrap w:val="0"/>
                  <w:vAlign w:val="center"/>
                </w:tcPr>
                <w:p w14:paraId="4E3734A7">
                  <w:pPr>
                    <w:widowControl/>
                    <w:spacing w:line="240" w:lineRule="auto"/>
                    <w:ind w:firstLine="0" w:firstLineChars="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029-007-099</w:t>
                  </w:r>
                </w:p>
              </w:tc>
              <w:tc>
                <w:tcPr>
                  <w:tcW w:w="957" w:type="dxa"/>
                  <w:noWrap w:val="0"/>
                  <w:vAlign w:val="center"/>
                </w:tcPr>
                <w:p w14:paraId="368D35C5">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w:t>
                  </w:r>
                </w:p>
              </w:tc>
              <w:tc>
                <w:tcPr>
                  <w:tcW w:w="887" w:type="dxa"/>
                  <w:noWrap w:val="0"/>
                  <w:vAlign w:val="center"/>
                </w:tcPr>
                <w:p w14:paraId="07ABA6CC">
                  <w:pPr>
                    <w:widowControl/>
                    <w:spacing w:line="240" w:lineRule="auto"/>
                    <w:ind w:firstLine="0" w:firstLineChars="0"/>
                    <w:jc w:val="center"/>
                    <w:textAlignment w:val="center"/>
                    <w:rPr>
                      <w:rFonts w:ascii="Times New Roman" w:hAnsi="Times New Roman" w:eastAsia="宋体" w:cs="Times New Roman"/>
                      <w:color w:val="auto"/>
                      <w:kern w:val="0"/>
                      <w:sz w:val="21"/>
                      <w:szCs w:val="21"/>
                      <w:lang w:val="en-US" w:eastAsia="zh-CN" w:bidi="ar"/>
                    </w:rPr>
                  </w:pPr>
                  <w:r>
                    <w:rPr>
                      <w:color w:val="auto"/>
                      <w:kern w:val="0"/>
                      <w:sz w:val="21"/>
                      <w:szCs w:val="21"/>
                      <w:lang w:bidi="ar"/>
                    </w:rPr>
                    <w:t>固体</w:t>
                  </w:r>
                </w:p>
              </w:tc>
              <w:tc>
                <w:tcPr>
                  <w:tcW w:w="1070" w:type="dxa"/>
                  <w:noWrap w:val="0"/>
                  <w:vAlign w:val="center"/>
                </w:tcPr>
                <w:p w14:paraId="75BDD72A">
                  <w:pPr>
                    <w:widowControl/>
                    <w:spacing w:line="240" w:lineRule="auto"/>
                    <w:ind w:firstLine="0" w:firstLineChars="0"/>
                    <w:jc w:val="center"/>
                    <w:textAlignment w:val="center"/>
                    <w:rPr>
                      <w:rFonts w:ascii="Times New Roman" w:hAnsi="Times New Roman" w:eastAsia="宋体" w:cs="Times New Roman"/>
                      <w:color w:val="auto"/>
                      <w:kern w:val="0"/>
                      <w:sz w:val="21"/>
                      <w:szCs w:val="21"/>
                      <w:lang w:val="en-US" w:eastAsia="zh-CN" w:bidi="ar"/>
                    </w:rPr>
                  </w:pPr>
                  <w:r>
                    <w:rPr>
                      <w:color w:val="auto"/>
                      <w:kern w:val="0"/>
                      <w:sz w:val="21"/>
                      <w:szCs w:val="21"/>
                      <w:lang w:bidi="ar"/>
                    </w:rPr>
                    <w:t>/</w:t>
                  </w:r>
                </w:p>
              </w:tc>
              <w:tc>
                <w:tcPr>
                  <w:tcW w:w="1081" w:type="dxa"/>
                  <w:noWrap w:val="0"/>
                  <w:vAlign w:val="center"/>
                </w:tcPr>
                <w:p w14:paraId="5F02CD7B">
                  <w:pPr>
                    <w:widowControl/>
                    <w:spacing w:line="240" w:lineRule="auto"/>
                    <w:ind w:firstLine="0" w:firstLineChars="0"/>
                    <w:jc w:val="center"/>
                    <w:textAlignment w:val="center"/>
                    <w:rPr>
                      <w:rFonts w:hint="default"/>
                      <w:color w:val="auto"/>
                      <w:kern w:val="0"/>
                      <w:sz w:val="21"/>
                      <w:szCs w:val="21"/>
                      <w:lang w:val="en-US" w:eastAsia="zh-CN" w:bidi="ar"/>
                    </w:rPr>
                  </w:pPr>
                  <w:r>
                    <w:rPr>
                      <w:rFonts w:hint="eastAsia"/>
                      <w:color w:val="auto"/>
                      <w:kern w:val="0"/>
                      <w:sz w:val="21"/>
                      <w:szCs w:val="21"/>
                      <w:lang w:val="en-US" w:eastAsia="zh-CN" w:bidi="ar"/>
                    </w:rPr>
                    <w:t>26.7</w:t>
                  </w:r>
                </w:p>
              </w:tc>
              <w:tc>
                <w:tcPr>
                  <w:tcW w:w="1153" w:type="dxa"/>
                  <w:vMerge w:val="restart"/>
                  <w:noWrap w:val="0"/>
                  <w:vAlign w:val="center"/>
                </w:tcPr>
                <w:p w14:paraId="38CD852F">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储存在</w:t>
                  </w:r>
                  <w:r>
                    <w:rPr>
                      <w:rFonts w:hint="eastAsia"/>
                      <w:color w:val="auto"/>
                      <w:kern w:val="0"/>
                      <w:sz w:val="21"/>
                      <w:szCs w:val="21"/>
                      <w:lang w:bidi="ar"/>
                    </w:rPr>
                    <w:t>一般固废暂存间</w:t>
                  </w:r>
                </w:p>
              </w:tc>
              <w:tc>
                <w:tcPr>
                  <w:tcW w:w="1043" w:type="dxa"/>
                  <w:vMerge w:val="restart"/>
                  <w:noWrap w:val="0"/>
                  <w:vAlign w:val="center"/>
                </w:tcPr>
                <w:p w14:paraId="41867565">
                  <w:pPr>
                    <w:widowControl/>
                    <w:spacing w:line="240" w:lineRule="auto"/>
                    <w:ind w:firstLine="0" w:firstLineChars="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物资回收单位回收利用</w:t>
                  </w:r>
                </w:p>
              </w:tc>
              <w:tc>
                <w:tcPr>
                  <w:tcW w:w="1061" w:type="dxa"/>
                  <w:shd w:val="clear" w:color="auto" w:fill="auto"/>
                  <w:noWrap w:val="0"/>
                  <w:vAlign w:val="center"/>
                </w:tcPr>
                <w:p w14:paraId="02E88192">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olor w:val="auto"/>
                      <w:kern w:val="0"/>
                      <w:sz w:val="21"/>
                      <w:szCs w:val="21"/>
                      <w:lang w:val="en-US" w:eastAsia="zh-CN" w:bidi="ar"/>
                    </w:rPr>
                    <w:t>26.7</w:t>
                  </w:r>
                </w:p>
              </w:tc>
            </w:tr>
            <w:tr w14:paraId="462BE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668" w:type="dxa"/>
                  <w:noWrap w:val="0"/>
                  <w:vAlign w:val="center"/>
                </w:tcPr>
                <w:p w14:paraId="4C3923CF">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3</w:t>
                  </w:r>
                </w:p>
              </w:tc>
              <w:tc>
                <w:tcPr>
                  <w:tcW w:w="1416" w:type="dxa"/>
                  <w:noWrap w:val="0"/>
                  <w:vAlign w:val="center"/>
                </w:tcPr>
                <w:p w14:paraId="329A28EF">
                  <w:pPr>
                    <w:widowControl/>
                    <w:spacing w:line="240" w:lineRule="auto"/>
                    <w:ind w:firstLine="0" w:firstLineChars="0"/>
                    <w:jc w:val="center"/>
                    <w:textAlignment w:val="center"/>
                    <w:rPr>
                      <w:rFonts w:hint="eastAsia" w:eastAsia="宋体"/>
                      <w:color w:val="auto"/>
                      <w:kern w:val="0"/>
                      <w:sz w:val="21"/>
                      <w:szCs w:val="21"/>
                      <w:lang w:eastAsia="zh-CN" w:bidi="ar"/>
                    </w:rPr>
                  </w:pPr>
                  <w:r>
                    <w:rPr>
                      <w:rFonts w:hint="eastAsia"/>
                      <w:color w:val="auto"/>
                      <w:kern w:val="0"/>
                      <w:sz w:val="21"/>
                      <w:szCs w:val="21"/>
                      <w:lang w:val="en-US" w:eastAsia="zh-CN" w:bidi="ar"/>
                    </w:rPr>
                    <w:t>机加工</w:t>
                  </w:r>
                </w:p>
              </w:tc>
              <w:tc>
                <w:tcPr>
                  <w:tcW w:w="1091" w:type="dxa"/>
                  <w:noWrap w:val="0"/>
                  <w:vAlign w:val="center"/>
                </w:tcPr>
                <w:p w14:paraId="76293800">
                  <w:pPr>
                    <w:widowControl/>
                    <w:spacing w:line="240" w:lineRule="auto"/>
                    <w:ind w:firstLine="0" w:firstLineChars="0"/>
                    <w:jc w:val="center"/>
                    <w:textAlignment w:val="center"/>
                    <w:rPr>
                      <w:rFonts w:hint="eastAsia" w:eastAsia="宋体"/>
                      <w:color w:val="auto"/>
                      <w:kern w:val="0"/>
                      <w:sz w:val="21"/>
                      <w:szCs w:val="21"/>
                      <w:lang w:eastAsia="zh-CN" w:bidi="ar"/>
                    </w:rPr>
                  </w:pPr>
                  <w:r>
                    <w:rPr>
                      <w:rFonts w:hint="eastAsia" w:eastAsia="宋体"/>
                      <w:color w:val="auto"/>
                      <w:kern w:val="0"/>
                      <w:sz w:val="21"/>
                      <w:szCs w:val="21"/>
                      <w:lang w:val="en-US" w:eastAsia="zh-CN" w:bidi="ar"/>
                    </w:rPr>
                    <w:t>废铁屑</w:t>
                  </w:r>
                </w:p>
              </w:tc>
              <w:tc>
                <w:tcPr>
                  <w:tcW w:w="1078" w:type="dxa"/>
                  <w:vMerge w:val="continue"/>
                  <w:noWrap w:val="0"/>
                  <w:vAlign w:val="center"/>
                </w:tcPr>
                <w:p w14:paraId="4D20BF17">
                  <w:pPr>
                    <w:widowControl/>
                    <w:spacing w:line="240" w:lineRule="auto"/>
                    <w:ind w:firstLine="0" w:firstLineChars="0"/>
                    <w:jc w:val="center"/>
                    <w:textAlignment w:val="center"/>
                    <w:rPr>
                      <w:color w:val="auto"/>
                      <w:kern w:val="0"/>
                      <w:sz w:val="21"/>
                      <w:szCs w:val="21"/>
                      <w:lang w:bidi="ar"/>
                    </w:rPr>
                  </w:pPr>
                </w:p>
              </w:tc>
              <w:tc>
                <w:tcPr>
                  <w:tcW w:w="1301" w:type="dxa"/>
                  <w:noWrap w:val="0"/>
                  <w:vAlign w:val="center"/>
                </w:tcPr>
                <w:p w14:paraId="6C44B088">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val="en-US" w:eastAsia="zh-CN" w:bidi="ar"/>
                    </w:rPr>
                    <w:t>029-007-099</w:t>
                  </w:r>
                </w:p>
              </w:tc>
              <w:tc>
                <w:tcPr>
                  <w:tcW w:w="957" w:type="dxa"/>
                  <w:noWrap w:val="0"/>
                  <w:vAlign w:val="center"/>
                </w:tcPr>
                <w:p w14:paraId="684981B5">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w:t>
                  </w:r>
                </w:p>
              </w:tc>
              <w:tc>
                <w:tcPr>
                  <w:tcW w:w="887" w:type="dxa"/>
                  <w:noWrap w:val="0"/>
                  <w:vAlign w:val="center"/>
                </w:tcPr>
                <w:p w14:paraId="132549E4">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固体</w:t>
                  </w:r>
                </w:p>
              </w:tc>
              <w:tc>
                <w:tcPr>
                  <w:tcW w:w="1070" w:type="dxa"/>
                  <w:noWrap w:val="0"/>
                  <w:vAlign w:val="center"/>
                </w:tcPr>
                <w:p w14:paraId="1EC014B3">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w:t>
                  </w:r>
                </w:p>
              </w:tc>
              <w:tc>
                <w:tcPr>
                  <w:tcW w:w="1081" w:type="dxa"/>
                  <w:noWrap w:val="0"/>
                  <w:vAlign w:val="center"/>
                </w:tcPr>
                <w:p w14:paraId="72219470">
                  <w:pPr>
                    <w:widowControl/>
                    <w:spacing w:line="240" w:lineRule="auto"/>
                    <w:ind w:firstLine="0" w:firstLineChars="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2.67</w:t>
                  </w:r>
                </w:p>
              </w:tc>
              <w:tc>
                <w:tcPr>
                  <w:tcW w:w="1153" w:type="dxa"/>
                  <w:vMerge w:val="continue"/>
                  <w:noWrap w:val="0"/>
                  <w:vAlign w:val="center"/>
                </w:tcPr>
                <w:p w14:paraId="46399AB5">
                  <w:pPr>
                    <w:widowControl/>
                    <w:spacing w:line="240" w:lineRule="auto"/>
                    <w:ind w:firstLine="0" w:firstLineChars="0"/>
                    <w:jc w:val="center"/>
                    <w:textAlignment w:val="center"/>
                    <w:rPr>
                      <w:color w:val="auto"/>
                      <w:kern w:val="0"/>
                      <w:sz w:val="21"/>
                      <w:szCs w:val="21"/>
                      <w:lang w:bidi="ar"/>
                    </w:rPr>
                  </w:pPr>
                </w:p>
              </w:tc>
              <w:tc>
                <w:tcPr>
                  <w:tcW w:w="1043" w:type="dxa"/>
                  <w:vMerge w:val="continue"/>
                  <w:noWrap w:val="0"/>
                  <w:vAlign w:val="center"/>
                </w:tcPr>
                <w:p w14:paraId="28E3E619">
                  <w:pPr>
                    <w:widowControl/>
                    <w:spacing w:line="240" w:lineRule="auto"/>
                    <w:ind w:firstLine="0" w:firstLineChars="0"/>
                    <w:jc w:val="center"/>
                    <w:textAlignment w:val="center"/>
                    <w:rPr>
                      <w:color w:val="auto"/>
                      <w:kern w:val="0"/>
                      <w:sz w:val="21"/>
                      <w:szCs w:val="21"/>
                      <w:lang w:bidi="ar"/>
                    </w:rPr>
                  </w:pPr>
                </w:p>
              </w:tc>
              <w:tc>
                <w:tcPr>
                  <w:tcW w:w="1061" w:type="dxa"/>
                  <w:shd w:val="clear" w:color="auto" w:fill="auto"/>
                  <w:noWrap w:val="0"/>
                  <w:vAlign w:val="center"/>
                </w:tcPr>
                <w:p w14:paraId="5CAA8F26">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olor w:val="auto"/>
                      <w:kern w:val="0"/>
                      <w:sz w:val="21"/>
                      <w:szCs w:val="21"/>
                      <w:lang w:val="en-US" w:eastAsia="zh-CN" w:bidi="ar"/>
                    </w:rPr>
                    <w:t>2.67</w:t>
                  </w:r>
                </w:p>
              </w:tc>
            </w:tr>
            <w:tr w14:paraId="0B035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14:paraId="17C60A2C">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4</w:t>
                  </w:r>
                </w:p>
              </w:tc>
              <w:tc>
                <w:tcPr>
                  <w:tcW w:w="1416" w:type="dxa"/>
                  <w:noWrap w:val="0"/>
                  <w:vAlign w:val="center"/>
                </w:tcPr>
                <w:p w14:paraId="2B989F6B">
                  <w:pPr>
                    <w:widowControl/>
                    <w:spacing w:line="240" w:lineRule="auto"/>
                    <w:ind w:firstLine="0" w:firstLineChars="0"/>
                    <w:jc w:val="center"/>
                    <w:textAlignment w:val="center"/>
                    <w:rPr>
                      <w:rFonts w:hint="default"/>
                      <w:color w:val="auto"/>
                      <w:kern w:val="0"/>
                      <w:sz w:val="21"/>
                      <w:szCs w:val="21"/>
                      <w:lang w:val="en-US" w:eastAsia="zh-CN" w:bidi="ar"/>
                    </w:rPr>
                  </w:pPr>
                  <w:r>
                    <w:rPr>
                      <w:rFonts w:hint="eastAsia"/>
                      <w:color w:val="auto"/>
                      <w:kern w:val="0"/>
                      <w:sz w:val="21"/>
                      <w:szCs w:val="21"/>
                      <w:lang w:val="en-US" w:eastAsia="zh-CN" w:bidi="ar"/>
                    </w:rPr>
                    <w:t>拆包</w:t>
                  </w:r>
                </w:p>
              </w:tc>
              <w:tc>
                <w:tcPr>
                  <w:tcW w:w="1091" w:type="dxa"/>
                  <w:noWrap w:val="0"/>
                  <w:vAlign w:val="center"/>
                </w:tcPr>
                <w:p w14:paraId="34B7C3D2">
                  <w:pPr>
                    <w:widowControl/>
                    <w:spacing w:line="240" w:lineRule="auto"/>
                    <w:ind w:firstLine="0" w:firstLineChars="0"/>
                    <w:jc w:val="center"/>
                    <w:textAlignment w:val="center"/>
                    <w:rPr>
                      <w:rFonts w:hint="eastAsia" w:eastAsia="宋体"/>
                      <w:color w:val="auto"/>
                      <w:kern w:val="0"/>
                      <w:sz w:val="21"/>
                      <w:szCs w:val="21"/>
                      <w:lang w:val="en-US" w:eastAsia="zh-CN" w:bidi="ar"/>
                    </w:rPr>
                  </w:pPr>
                  <w:r>
                    <w:rPr>
                      <w:rFonts w:hint="eastAsia" w:eastAsia="宋体"/>
                      <w:color w:val="auto"/>
                      <w:kern w:val="0"/>
                      <w:sz w:val="21"/>
                      <w:szCs w:val="21"/>
                      <w:lang w:val="en-US" w:eastAsia="zh-CN" w:bidi="ar"/>
                    </w:rPr>
                    <w:t>废包装材料</w:t>
                  </w:r>
                </w:p>
              </w:tc>
              <w:tc>
                <w:tcPr>
                  <w:tcW w:w="1078" w:type="dxa"/>
                  <w:vMerge w:val="continue"/>
                  <w:noWrap w:val="0"/>
                  <w:vAlign w:val="center"/>
                </w:tcPr>
                <w:p w14:paraId="5D858791">
                  <w:pPr>
                    <w:widowControl/>
                    <w:spacing w:line="240" w:lineRule="auto"/>
                    <w:ind w:firstLine="0" w:firstLineChars="0"/>
                    <w:jc w:val="center"/>
                    <w:textAlignment w:val="center"/>
                    <w:rPr>
                      <w:color w:val="auto"/>
                      <w:kern w:val="0"/>
                      <w:sz w:val="21"/>
                      <w:szCs w:val="21"/>
                      <w:lang w:bidi="ar"/>
                    </w:rPr>
                  </w:pPr>
                </w:p>
              </w:tc>
              <w:tc>
                <w:tcPr>
                  <w:tcW w:w="1301" w:type="dxa"/>
                  <w:noWrap w:val="0"/>
                  <w:vAlign w:val="center"/>
                </w:tcPr>
                <w:p w14:paraId="267D30CD">
                  <w:pPr>
                    <w:widowControl/>
                    <w:spacing w:line="240" w:lineRule="auto"/>
                    <w:ind w:firstLine="0" w:firstLineChars="0"/>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029-007-099</w:t>
                  </w:r>
                </w:p>
              </w:tc>
              <w:tc>
                <w:tcPr>
                  <w:tcW w:w="957" w:type="dxa"/>
                  <w:noWrap w:val="0"/>
                  <w:vAlign w:val="center"/>
                </w:tcPr>
                <w:p w14:paraId="2E8B28DC">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w:t>
                  </w:r>
                </w:p>
              </w:tc>
              <w:tc>
                <w:tcPr>
                  <w:tcW w:w="887" w:type="dxa"/>
                  <w:noWrap w:val="0"/>
                  <w:vAlign w:val="center"/>
                </w:tcPr>
                <w:p w14:paraId="5289F6EA">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固体</w:t>
                  </w:r>
                </w:p>
              </w:tc>
              <w:tc>
                <w:tcPr>
                  <w:tcW w:w="1070" w:type="dxa"/>
                  <w:noWrap w:val="0"/>
                  <w:vAlign w:val="center"/>
                </w:tcPr>
                <w:p w14:paraId="74DE6882">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w:t>
                  </w:r>
                </w:p>
              </w:tc>
              <w:tc>
                <w:tcPr>
                  <w:tcW w:w="1081" w:type="dxa"/>
                  <w:noWrap w:val="0"/>
                  <w:vAlign w:val="center"/>
                </w:tcPr>
                <w:p w14:paraId="4BC713B2">
                  <w:pPr>
                    <w:widowControl/>
                    <w:spacing w:line="240" w:lineRule="auto"/>
                    <w:ind w:firstLine="0" w:firstLineChars="0"/>
                    <w:jc w:val="center"/>
                    <w:textAlignment w:val="center"/>
                    <w:rPr>
                      <w:rFonts w:hint="eastAsia" w:eastAsia="宋体"/>
                      <w:color w:val="auto"/>
                      <w:kern w:val="0"/>
                      <w:sz w:val="21"/>
                      <w:szCs w:val="21"/>
                      <w:lang w:val="en-US" w:eastAsia="zh-CN" w:bidi="ar"/>
                    </w:rPr>
                  </w:pPr>
                  <w:r>
                    <w:rPr>
                      <w:rFonts w:hint="eastAsia"/>
                      <w:color w:val="auto"/>
                      <w:kern w:val="0"/>
                      <w:sz w:val="21"/>
                      <w:szCs w:val="21"/>
                      <w:lang w:val="en-US" w:eastAsia="zh-CN" w:bidi="ar"/>
                    </w:rPr>
                    <w:t>5</w:t>
                  </w:r>
                </w:p>
              </w:tc>
              <w:tc>
                <w:tcPr>
                  <w:tcW w:w="1153" w:type="dxa"/>
                  <w:vMerge w:val="continue"/>
                  <w:noWrap w:val="0"/>
                  <w:vAlign w:val="center"/>
                </w:tcPr>
                <w:p w14:paraId="0DEEBF85">
                  <w:pPr>
                    <w:widowControl/>
                    <w:spacing w:line="240" w:lineRule="auto"/>
                    <w:ind w:firstLine="0" w:firstLineChars="0"/>
                    <w:jc w:val="center"/>
                    <w:textAlignment w:val="center"/>
                    <w:rPr>
                      <w:color w:val="auto"/>
                      <w:kern w:val="0"/>
                      <w:sz w:val="21"/>
                      <w:szCs w:val="21"/>
                      <w:lang w:bidi="ar"/>
                    </w:rPr>
                  </w:pPr>
                </w:p>
              </w:tc>
              <w:tc>
                <w:tcPr>
                  <w:tcW w:w="1043" w:type="dxa"/>
                  <w:vMerge w:val="continue"/>
                  <w:noWrap w:val="0"/>
                  <w:vAlign w:val="center"/>
                </w:tcPr>
                <w:p w14:paraId="5D186E94">
                  <w:pPr>
                    <w:widowControl/>
                    <w:spacing w:line="240" w:lineRule="auto"/>
                    <w:ind w:firstLine="0" w:firstLineChars="0"/>
                    <w:jc w:val="center"/>
                    <w:textAlignment w:val="center"/>
                    <w:rPr>
                      <w:rFonts w:hint="default" w:eastAsia="宋体"/>
                      <w:color w:val="auto"/>
                      <w:kern w:val="0"/>
                      <w:sz w:val="21"/>
                      <w:szCs w:val="21"/>
                      <w:lang w:val="en-US" w:eastAsia="zh-CN" w:bidi="ar"/>
                    </w:rPr>
                  </w:pPr>
                </w:p>
              </w:tc>
              <w:tc>
                <w:tcPr>
                  <w:tcW w:w="1061" w:type="dxa"/>
                  <w:shd w:val="clear" w:color="auto" w:fill="auto"/>
                  <w:noWrap w:val="0"/>
                  <w:vAlign w:val="center"/>
                </w:tcPr>
                <w:p w14:paraId="1211BB49">
                  <w:pPr>
                    <w:widowControl/>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color w:val="auto"/>
                      <w:kern w:val="0"/>
                      <w:sz w:val="21"/>
                      <w:szCs w:val="21"/>
                      <w:lang w:val="en-US" w:eastAsia="zh-CN" w:bidi="ar"/>
                    </w:rPr>
                    <w:t>5</w:t>
                  </w:r>
                </w:p>
              </w:tc>
            </w:tr>
            <w:tr w14:paraId="5AEDA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14:paraId="3A8F7C2C">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5</w:t>
                  </w:r>
                </w:p>
              </w:tc>
              <w:tc>
                <w:tcPr>
                  <w:tcW w:w="1416" w:type="dxa"/>
                  <w:noWrap w:val="0"/>
                  <w:vAlign w:val="center"/>
                </w:tcPr>
                <w:p w14:paraId="30398EDA">
                  <w:pPr>
                    <w:widowControl/>
                    <w:spacing w:line="240" w:lineRule="auto"/>
                    <w:ind w:firstLine="0" w:firstLineChars="0"/>
                    <w:jc w:val="center"/>
                    <w:textAlignment w:val="center"/>
                    <w:rPr>
                      <w:rFonts w:hint="default"/>
                      <w:color w:val="auto"/>
                      <w:kern w:val="0"/>
                      <w:sz w:val="21"/>
                      <w:szCs w:val="21"/>
                      <w:lang w:val="en-US" w:eastAsia="zh-CN" w:bidi="ar"/>
                    </w:rPr>
                  </w:pPr>
                  <w:r>
                    <w:rPr>
                      <w:rFonts w:hint="eastAsia"/>
                      <w:color w:val="auto"/>
                      <w:kern w:val="0"/>
                      <w:sz w:val="21"/>
                      <w:szCs w:val="21"/>
                      <w:lang w:val="en-US" w:eastAsia="zh-CN" w:bidi="ar"/>
                    </w:rPr>
                    <w:t>废气治理</w:t>
                  </w:r>
                </w:p>
              </w:tc>
              <w:tc>
                <w:tcPr>
                  <w:tcW w:w="1091" w:type="dxa"/>
                  <w:noWrap w:val="0"/>
                  <w:vAlign w:val="center"/>
                </w:tcPr>
                <w:p w14:paraId="2968BC2B">
                  <w:pPr>
                    <w:widowControl/>
                    <w:spacing w:line="240" w:lineRule="auto"/>
                    <w:ind w:firstLine="0" w:firstLineChars="0"/>
                    <w:jc w:val="center"/>
                    <w:textAlignment w:val="center"/>
                    <w:rPr>
                      <w:rFonts w:hint="eastAsia" w:eastAsia="宋体"/>
                      <w:color w:val="auto"/>
                      <w:kern w:val="0"/>
                      <w:sz w:val="21"/>
                      <w:szCs w:val="21"/>
                      <w:lang w:val="en-US" w:eastAsia="zh-CN" w:bidi="ar"/>
                    </w:rPr>
                  </w:pPr>
                  <w:r>
                    <w:rPr>
                      <w:rFonts w:hint="eastAsia" w:eastAsia="宋体"/>
                      <w:color w:val="auto"/>
                      <w:kern w:val="0"/>
                      <w:sz w:val="21"/>
                      <w:szCs w:val="21"/>
                      <w:lang w:val="en-US" w:eastAsia="zh-CN" w:bidi="ar"/>
                    </w:rPr>
                    <w:t>布袋除尘器收集到的粉尘</w:t>
                  </w:r>
                </w:p>
              </w:tc>
              <w:tc>
                <w:tcPr>
                  <w:tcW w:w="1078" w:type="dxa"/>
                  <w:vMerge w:val="continue"/>
                  <w:noWrap w:val="0"/>
                  <w:vAlign w:val="center"/>
                </w:tcPr>
                <w:p w14:paraId="1988DE45">
                  <w:pPr>
                    <w:widowControl/>
                    <w:spacing w:line="240" w:lineRule="auto"/>
                    <w:ind w:firstLine="0" w:firstLineChars="0"/>
                    <w:jc w:val="center"/>
                    <w:textAlignment w:val="center"/>
                    <w:rPr>
                      <w:color w:val="auto"/>
                      <w:kern w:val="0"/>
                      <w:sz w:val="21"/>
                      <w:szCs w:val="21"/>
                      <w:lang w:bidi="ar"/>
                    </w:rPr>
                  </w:pPr>
                </w:p>
              </w:tc>
              <w:tc>
                <w:tcPr>
                  <w:tcW w:w="1301" w:type="dxa"/>
                  <w:noWrap w:val="0"/>
                  <w:vAlign w:val="center"/>
                </w:tcPr>
                <w:p w14:paraId="4A3233F7">
                  <w:pPr>
                    <w:widowControl/>
                    <w:spacing w:line="240" w:lineRule="auto"/>
                    <w:ind w:firstLine="0" w:firstLineChars="0"/>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029-007-099</w:t>
                  </w:r>
                </w:p>
              </w:tc>
              <w:tc>
                <w:tcPr>
                  <w:tcW w:w="957" w:type="dxa"/>
                  <w:noWrap w:val="0"/>
                  <w:vAlign w:val="center"/>
                </w:tcPr>
                <w:p w14:paraId="2DBF5DD8">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w:t>
                  </w:r>
                </w:p>
              </w:tc>
              <w:tc>
                <w:tcPr>
                  <w:tcW w:w="887" w:type="dxa"/>
                  <w:noWrap w:val="0"/>
                  <w:vAlign w:val="center"/>
                </w:tcPr>
                <w:p w14:paraId="7E37722A">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固体</w:t>
                  </w:r>
                </w:p>
              </w:tc>
              <w:tc>
                <w:tcPr>
                  <w:tcW w:w="1070" w:type="dxa"/>
                  <w:noWrap w:val="0"/>
                  <w:vAlign w:val="center"/>
                </w:tcPr>
                <w:p w14:paraId="65497279">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w:t>
                  </w:r>
                </w:p>
              </w:tc>
              <w:tc>
                <w:tcPr>
                  <w:tcW w:w="1081" w:type="dxa"/>
                  <w:noWrap w:val="0"/>
                  <w:vAlign w:val="center"/>
                </w:tcPr>
                <w:p w14:paraId="724C7FFA">
                  <w:pPr>
                    <w:widowControl/>
                    <w:spacing w:line="240" w:lineRule="auto"/>
                    <w:ind w:firstLine="0" w:firstLineChars="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59.64</w:t>
                  </w:r>
                </w:p>
              </w:tc>
              <w:tc>
                <w:tcPr>
                  <w:tcW w:w="1153" w:type="dxa"/>
                  <w:vMerge w:val="continue"/>
                  <w:noWrap w:val="0"/>
                  <w:vAlign w:val="center"/>
                </w:tcPr>
                <w:p w14:paraId="573A73E0">
                  <w:pPr>
                    <w:widowControl/>
                    <w:spacing w:line="240" w:lineRule="auto"/>
                    <w:ind w:firstLine="0" w:firstLineChars="0"/>
                    <w:jc w:val="center"/>
                    <w:textAlignment w:val="center"/>
                    <w:rPr>
                      <w:color w:val="auto"/>
                      <w:kern w:val="0"/>
                      <w:sz w:val="21"/>
                      <w:szCs w:val="21"/>
                      <w:lang w:bidi="ar"/>
                    </w:rPr>
                  </w:pPr>
                </w:p>
              </w:tc>
              <w:tc>
                <w:tcPr>
                  <w:tcW w:w="1043" w:type="dxa"/>
                  <w:vMerge w:val="continue"/>
                  <w:noWrap w:val="0"/>
                  <w:vAlign w:val="center"/>
                </w:tcPr>
                <w:p w14:paraId="3F1305D0">
                  <w:pPr>
                    <w:widowControl/>
                    <w:spacing w:line="240" w:lineRule="auto"/>
                    <w:ind w:firstLine="0" w:firstLineChars="0"/>
                    <w:jc w:val="center"/>
                    <w:textAlignment w:val="center"/>
                    <w:rPr>
                      <w:rFonts w:hint="eastAsia"/>
                      <w:color w:val="auto"/>
                      <w:kern w:val="0"/>
                      <w:sz w:val="21"/>
                      <w:szCs w:val="21"/>
                      <w:lang w:val="en-US" w:eastAsia="zh-CN" w:bidi="ar"/>
                    </w:rPr>
                  </w:pPr>
                </w:p>
              </w:tc>
              <w:tc>
                <w:tcPr>
                  <w:tcW w:w="1061" w:type="dxa"/>
                  <w:shd w:val="clear" w:color="auto" w:fill="auto"/>
                  <w:noWrap w:val="0"/>
                  <w:vAlign w:val="center"/>
                </w:tcPr>
                <w:p w14:paraId="24821ADF">
                  <w:pPr>
                    <w:widowControl/>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color w:val="auto"/>
                      <w:kern w:val="0"/>
                      <w:sz w:val="21"/>
                      <w:szCs w:val="21"/>
                      <w:lang w:val="en-US" w:eastAsia="zh-CN" w:bidi="ar"/>
                    </w:rPr>
                    <w:t>59.64</w:t>
                  </w:r>
                </w:p>
              </w:tc>
            </w:tr>
            <w:tr w14:paraId="6E20D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14:paraId="213F8989">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6</w:t>
                  </w:r>
                </w:p>
              </w:tc>
              <w:tc>
                <w:tcPr>
                  <w:tcW w:w="1416" w:type="dxa"/>
                  <w:noWrap w:val="0"/>
                  <w:vAlign w:val="center"/>
                </w:tcPr>
                <w:p w14:paraId="654709F7">
                  <w:pPr>
                    <w:widowControl/>
                    <w:spacing w:line="240" w:lineRule="auto"/>
                    <w:ind w:firstLine="0" w:firstLineChars="0"/>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废气治理</w:t>
                  </w:r>
                </w:p>
              </w:tc>
              <w:tc>
                <w:tcPr>
                  <w:tcW w:w="1091" w:type="dxa"/>
                  <w:noWrap w:val="0"/>
                  <w:vAlign w:val="center"/>
                </w:tcPr>
                <w:p w14:paraId="41850A28">
                  <w:pPr>
                    <w:widowControl/>
                    <w:spacing w:line="240" w:lineRule="auto"/>
                    <w:ind w:firstLine="0" w:firstLineChars="0"/>
                    <w:jc w:val="center"/>
                    <w:textAlignment w:val="center"/>
                    <w:rPr>
                      <w:rFonts w:hint="eastAsia" w:eastAsia="宋体"/>
                      <w:color w:val="auto"/>
                      <w:kern w:val="0"/>
                      <w:sz w:val="21"/>
                      <w:szCs w:val="21"/>
                      <w:lang w:val="en-US" w:eastAsia="zh-CN" w:bidi="ar"/>
                    </w:rPr>
                  </w:pPr>
                  <w:r>
                    <w:rPr>
                      <w:rFonts w:hint="eastAsia" w:eastAsia="宋体"/>
                      <w:color w:val="auto"/>
                      <w:kern w:val="0"/>
                      <w:sz w:val="21"/>
                      <w:szCs w:val="21"/>
                      <w:lang w:val="en-US" w:eastAsia="zh-CN" w:bidi="ar"/>
                    </w:rPr>
                    <w:t>废布袋</w:t>
                  </w:r>
                </w:p>
              </w:tc>
              <w:tc>
                <w:tcPr>
                  <w:tcW w:w="1078" w:type="dxa"/>
                  <w:vMerge w:val="continue"/>
                  <w:noWrap w:val="0"/>
                  <w:vAlign w:val="center"/>
                </w:tcPr>
                <w:p w14:paraId="05E270D7">
                  <w:pPr>
                    <w:widowControl/>
                    <w:spacing w:line="240" w:lineRule="auto"/>
                    <w:ind w:firstLine="0" w:firstLineChars="0"/>
                    <w:jc w:val="center"/>
                    <w:textAlignment w:val="center"/>
                    <w:rPr>
                      <w:color w:val="auto"/>
                      <w:kern w:val="0"/>
                      <w:sz w:val="21"/>
                      <w:szCs w:val="21"/>
                      <w:lang w:bidi="ar"/>
                    </w:rPr>
                  </w:pPr>
                </w:p>
              </w:tc>
              <w:tc>
                <w:tcPr>
                  <w:tcW w:w="1301" w:type="dxa"/>
                  <w:noWrap w:val="0"/>
                  <w:vAlign w:val="center"/>
                </w:tcPr>
                <w:p w14:paraId="2A81AD65">
                  <w:pPr>
                    <w:widowControl/>
                    <w:spacing w:line="240" w:lineRule="auto"/>
                    <w:ind w:firstLine="0" w:firstLineChars="0"/>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029-007-099</w:t>
                  </w:r>
                </w:p>
              </w:tc>
              <w:tc>
                <w:tcPr>
                  <w:tcW w:w="957" w:type="dxa"/>
                  <w:noWrap w:val="0"/>
                  <w:vAlign w:val="center"/>
                </w:tcPr>
                <w:p w14:paraId="6A86FE63">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w:t>
                  </w:r>
                </w:p>
              </w:tc>
              <w:tc>
                <w:tcPr>
                  <w:tcW w:w="887" w:type="dxa"/>
                  <w:noWrap w:val="0"/>
                  <w:vAlign w:val="center"/>
                </w:tcPr>
                <w:p w14:paraId="158CCEA7">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固体</w:t>
                  </w:r>
                </w:p>
              </w:tc>
              <w:tc>
                <w:tcPr>
                  <w:tcW w:w="1070" w:type="dxa"/>
                  <w:noWrap w:val="0"/>
                  <w:vAlign w:val="center"/>
                </w:tcPr>
                <w:p w14:paraId="4630A00F">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w:t>
                  </w:r>
                </w:p>
              </w:tc>
              <w:tc>
                <w:tcPr>
                  <w:tcW w:w="1081" w:type="dxa"/>
                  <w:noWrap w:val="0"/>
                  <w:vAlign w:val="center"/>
                </w:tcPr>
                <w:p w14:paraId="67A8DB9D">
                  <w:pPr>
                    <w:widowControl/>
                    <w:spacing w:line="240" w:lineRule="auto"/>
                    <w:ind w:firstLine="0" w:firstLineChars="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0.8</w:t>
                  </w:r>
                </w:p>
              </w:tc>
              <w:tc>
                <w:tcPr>
                  <w:tcW w:w="1153" w:type="dxa"/>
                  <w:vMerge w:val="continue"/>
                  <w:noWrap w:val="0"/>
                  <w:vAlign w:val="center"/>
                </w:tcPr>
                <w:p w14:paraId="4FA73BD2">
                  <w:pPr>
                    <w:widowControl/>
                    <w:spacing w:line="240" w:lineRule="auto"/>
                    <w:ind w:firstLine="0" w:firstLineChars="0"/>
                    <w:jc w:val="center"/>
                    <w:textAlignment w:val="center"/>
                    <w:rPr>
                      <w:color w:val="auto"/>
                      <w:kern w:val="0"/>
                      <w:sz w:val="21"/>
                      <w:szCs w:val="21"/>
                      <w:lang w:bidi="ar"/>
                    </w:rPr>
                  </w:pPr>
                </w:p>
              </w:tc>
              <w:tc>
                <w:tcPr>
                  <w:tcW w:w="1043" w:type="dxa"/>
                  <w:vMerge w:val="continue"/>
                  <w:noWrap w:val="0"/>
                  <w:vAlign w:val="center"/>
                </w:tcPr>
                <w:p w14:paraId="3A7D9ADE">
                  <w:pPr>
                    <w:widowControl/>
                    <w:spacing w:line="240" w:lineRule="auto"/>
                    <w:ind w:firstLine="0" w:firstLineChars="0"/>
                    <w:jc w:val="center"/>
                    <w:textAlignment w:val="center"/>
                    <w:rPr>
                      <w:rFonts w:hint="eastAsia"/>
                      <w:color w:val="auto"/>
                      <w:kern w:val="0"/>
                      <w:sz w:val="21"/>
                      <w:szCs w:val="21"/>
                      <w:lang w:val="en-US" w:eastAsia="zh-CN" w:bidi="ar"/>
                    </w:rPr>
                  </w:pPr>
                </w:p>
              </w:tc>
              <w:tc>
                <w:tcPr>
                  <w:tcW w:w="1061" w:type="dxa"/>
                  <w:shd w:val="clear" w:color="auto" w:fill="auto"/>
                  <w:noWrap w:val="0"/>
                  <w:vAlign w:val="center"/>
                </w:tcPr>
                <w:p w14:paraId="5736CFF0">
                  <w:pPr>
                    <w:widowControl/>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color w:val="auto"/>
                      <w:kern w:val="0"/>
                      <w:sz w:val="21"/>
                      <w:szCs w:val="21"/>
                      <w:lang w:val="en-US" w:eastAsia="zh-CN" w:bidi="ar"/>
                    </w:rPr>
                    <w:t>0.8</w:t>
                  </w:r>
                </w:p>
              </w:tc>
            </w:tr>
            <w:tr w14:paraId="4CA1E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14:paraId="6B49104E">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7</w:t>
                  </w:r>
                </w:p>
              </w:tc>
              <w:tc>
                <w:tcPr>
                  <w:tcW w:w="1416" w:type="dxa"/>
                  <w:noWrap w:val="0"/>
                  <w:vAlign w:val="center"/>
                </w:tcPr>
                <w:p w14:paraId="3B42AC5F">
                  <w:pPr>
                    <w:widowControl/>
                    <w:spacing w:line="240" w:lineRule="auto"/>
                    <w:ind w:firstLine="0" w:firstLineChars="0"/>
                    <w:jc w:val="center"/>
                    <w:textAlignment w:val="center"/>
                    <w:rPr>
                      <w:rFonts w:hint="default"/>
                      <w:color w:val="auto"/>
                      <w:kern w:val="0"/>
                      <w:sz w:val="21"/>
                      <w:szCs w:val="21"/>
                      <w:lang w:val="en-US" w:eastAsia="zh-CN" w:bidi="ar"/>
                    </w:rPr>
                  </w:pPr>
                  <w:r>
                    <w:rPr>
                      <w:rFonts w:hint="eastAsia"/>
                      <w:color w:val="auto"/>
                      <w:kern w:val="0"/>
                      <w:sz w:val="21"/>
                      <w:szCs w:val="21"/>
                      <w:lang w:val="en-US" w:eastAsia="zh-CN" w:bidi="ar"/>
                    </w:rPr>
                    <w:t>喷砂</w:t>
                  </w:r>
                </w:p>
              </w:tc>
              <w:tc>
                <w:tcPr>
                  <w:tcW w:w="1091" w:type="dxa"/>
                  <w:noWrap w:val="0"/>
                  <w:vAlign w:val="center"/>
                </w:tcPr>
                <w:p w14:paraId="7BC55D6B">
                  <w:pPr>
                    <w:widowControl/>
                    <w:spacing w:line="240" w:lineRule="auto"/>
                    <w:ind w:firstLine="0" w:firstLineChars="0"/>
                    <w:jc w:val="center"/>
                    <w:textAlignment w:val="center"/>
                    <w:rPr>
                      <w:rFonts w:hint="eastAsia" w:eastAsia="宋体"/>
                      <w:color w:val="auto"/>
                      <w:kern w:val="0"/>
                      <w:sz w:val="21"/>
                      <w:szCs w:val="21"/>
                      <w:lang w:val="en-US" w:eastAsia="zh-CN" w:bidi="ar"/>
                    </w:rPr>
                  </w:pPr>
                  <w:r>
                    <w:rPr>
                      <w:rFonts w:hint="eastAsia" w:eastAsia="宋体"/>
                      <w:color w:val="auto"/>
                      <w:kern w:val="0"/>
                      <w:sz w:val="21"/>
                      <w:szCs w:val="21"/>
                      <w:lang w:val="en-US" w:eastAsia="zh-CN" w:bidi="ar"/>
                    </w:rPr>
                    <w:t>废钢丸</w:t>
                  </w:r>
                </w:p>
              </w:tc>
              <w:tc>
                <w:tcPr>
                  <w:tcW w:w="1078" w:type="dxa"/>
                  <w:vMerge w:val="continue"/>
                  <w:noWrap w:val="0"/>
                  <w:vAlign w:val="center"/>
                </w:tcPr>
                <w:p w14:paraId="2ADEA4D9">
                  <w:pPr>
                    <w:widowControl/>
                    <w:spacing w:line="240" w:lineRule="auto"/>
                    <w:ind w:firstLine="0" w:firstLineChars="0"/>
                    <w:jc w:val="center"/>
                    <w:textAlignment w:val="center"/>
                    <w:rPr>
                      <w:color w:val="auto"/>
                      <w:kern w:val="0"/>
                      <w:sz w:val="21"/>
                      <w:szCs w:val="21"/>
                      <w:lang w:bidi="ar"/>
                    </w:rPr>
                  </w:pPr>
                </w:p>
              </w:tc>
              <w:tc>
                <w:tcPr>
                  <w:tcW w:w="1301" w:type="dxa"/>
                  <w:noWrap w:val="0"/>
                  <w:vAlign w:val="center"/>
                </w:tcPr>
                <w:p w14:paraId="74509DBA">
                  <w:pPr>
                    <w:widowControl/>
                    <w:spacing w:line="240" w:lineRule="auto"/>
                    <w:ind w:firstLine="0" w:firstLineChars="0"/>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029-007-099</w:t>
                  </w:r>
                </w:p>
              </w:tc>
              <w:tc>
                <w:tcPr>
                  <w:tcW w:w="957" w:type="dxa"/>
                  <w:noWrap w:val="0"/>
                  <w:vAlign w:val="center"/>
                </w:tcPr>
                <w:p w14:paraId="610FEB7A">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w:t>
                  </w:r>
                </w:p>
              </w:tc>
              <w:tc>
                <w:tcPr>
                  <w:tcW w:w="887" w:type="dxa"/>
                  <w:noWrap w:val="0"/>
                  <w:vAlign w:val="center"/>
                </w:tcPr>
                <w:p w14:paraId="5CE1C9D4">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固体</w:t>
                  </w:r>
                </w:p>
              </w:tc>
              <w:tc>
                <w:tcPr>
                  <w:tcW w:w="1070" w:type="dxa"/>
                  <w:noWrap w:val="0"/>
                  <w:vAlign w:val="center"/>
                </w:tcPr>
                <w:p w14:paraId="4EBC8361">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w:t>
                  </w:r>
                </w:p>
              </w:tc>
              <w:tc>
                <w:tcPr>
                  <w:tcW w:w="1081" w:type="dxa"/>
                  <w:noWrap w:val="0"/>
                  <w:vAlign w:val="center"/>
                </w:tcPr>
                <w:p w14:paraId="6D84B2B3">
                  <w:pPr>
                    <w:widowControl/>
                    <w:spacing w:line="240" w:lineRule="auto"/>
                    <w:ind w:firstLine="0" w:firstLineChars="0"/>
                    <w:jc w:val="center"/>
                    <w:textAlignment w:val="center"/>
                    <w:rPr>
                      <w:rFonts w:hint="eastAsia" w:eastAsia="宋体"/>
                      <w:color w:val="auto"/>
                      <w:kern w:val="0"/>
                      <w:sz w:val="21"/>
                      <w:szCs w:val="21"/>
                      <w:lang w:val="en-US" w:eastAsia="zh-CN" w:bidi="ar"/>
                    </w:rPr>
                  </w:pPr>
                  <w:r>
                    <w:rPr>
                      <w:rFonts w:hint="eastAsia"/>
                      <w:color w:val="auto"/>
                      <w:kern w:val="0"/>
                      <w:sz w:val="21"/>
                      <w:szCs w:val="21"/>
                      <w:lang w:val="en-US" w:eastAsia="zh-CN" w:bidi="ar"/>
                    </w:rPr>
                    <w:t>8</w:t>
                  </w:r>
                </w:p>
              </w:tc>
              <w:tc>
                <w:tcPr>
                  <w:tcW w:w="1153" w:type="dxa"/>
                  <w:vMerge w:val="continue"/>
                  <w:noWrap w:val="0"/>
                  <w:vAlign w:val="center"/>
                </w:tcPr>
                <w:p w14:paraId="2B037174">
                  <w:pPr>
                    <w:widowControl/>
                    <w:spacing w:line="240" w:lineRule="auto"/>
                    <w:ind w:firstLine="0" w:firstLineChars="0"/>
                    <w:jc w:val="center"/>
                    <w:textAlignment w:val="center"/>
                    <w:rPr>
                      <w:color w:val="auto"/>
                      <w:kern w:val="0"/>
                      <w:sz w:val="21"/>
                      <w:szCs w:val="21"/>
                      <w:lang w:bidi="ar"/>
                    </w:rPr>
                  </w:pPr>
                </w:p>
              </w:tc>
              <w:tc>
                <w:tcPr>
                  <w:tcW w:w="1043" w:type="dxa"/>
                  <w:vMerge w:val="continue"/>
                  <w:noWrap w:val="0"/>
                  <w:vAlign w:val="center"/>
                </w:tcPr>
                <w:p w14:paraId="768CC50A">
                  <w:pPr>
                    <w:widowControl/>
                    <w:spacing w:line="240" w:lineRule="auto"/>
                    <w:ind w:firstLine="0" w:firstLineChars="0"/>
                    <w:jc w:val="center"/>
                    <w:textAlignment w:val="center"/>
                    <w:rPr>
                      <w:rFonts w:hint="eastAsia"/>
                      <w:color w:val="auto"/>
                      <w:kern w:val="0"/>
                      <w:sz w:val="21"/>
                      <w:szCs w:val="21"/>
                      <w:lang w:val="en-US" w:eastAsia="zh-CN" w:bidi="ar"/>
                    </w:rPr>
                  </w:pPr>
                </w:p>
              </w:tc>
              <w:tc>
                <w:tcPr>
                  <w:tcW w:w="1061" w:type="dxa"/>
                  <w:shd w:val="clear" w:color="auto" w:fill="auto"/>
                  <w:noWrap w:val="0"/>
                  <w:vAlign w:val="center"/>
                </w:tcPr>
                <w:p w14:paraId="520175F3">
                  <w:pPr>
                    <w:widowControl/>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color w:val="auto"/>
                      <w:kern w:val="0"/>
                      <w:sz w:val="21"/>
                      <w:szCs w:val="21"/>
                      <w:lang w:val="en-US" w:eastAsia="zh-CN" w:bidi="ar"/>
                    </w:rPr>
                    <w:t>8</w:t>
                  </w:r>
                </w:p>
              </w:tc>
            </w:tr>
            <w:tr w14:paraId="24897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14:paraId="1DFB65EB">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8</w:t>
                  </w:r>
                </w:p>
              </w:tc>
              <w:tc>
                <w:tcPr>
                  <w:tcW w:w="1416" w:type="dxa"/>
                  <w:noWrap w:val="0"/>
                  <w:vAlign w:val="center"/>
                </w:tcPr>
                <w:p w14:paraId="530195B5">
                  <w:pPr>
                    <w:widowControl/>
                    <w:spacing w:line="240" w:lineRule="auto"/>
                    <w:ind w:firstLine="0" w:firstLineChars="0"/>
                    <w:jc w:val="center"/>
                    <w:textAlignment w:val="center"/>
                    <w:rPr>
                      <w:color w:val="auto"/>
                      <w:kern w:val="0"/>
                      <w:sz w:val="21"/>
                      <w:szCs w:val="21"/>
                      <w:lang w:val="en-US" w:eastAsia="zh-CN" w:bidi="ar"/>
                    </w:rPr>
                  </w:pPr>
                  <w:r>
                    <w:rPr>
                      <w:rFonts w:hint="eastAsia"/>
                      <w:color w:val="auto"/>
                      <w:kern w:val="0"/>
                      <w:sz w:val="21"/>
                      <w:szCs w:val="21"/>
                      <w:lang w:val="en-US" w:eastAsia="zh-CN" w:bidi="ar"/>
                    </w:rPr>
                    <w:t>拆包</w:t>
                  </w:r>
                </w:p>
              </w:tc>
              <w:tc>
                <w:tcPr>
                  <w:tcW w:w="1091" w:type="dxa"/>
                  <w:noWrap w:val="0"/>
                  <w:vAlign w:val="center"/>
                </w:tcPr>
                <w:p w14:paraId="7E96CE8A">
                  <w:pPr>
                    <w:widowControl/>
                    <w:spacing w:line="240" w:lineRule="auto"/>
                    <w:ind w:firstLine="0" w:firstLineChars="0"/>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沾染危险化学品的废包装材料</w:t>
                  </w:r>
                </w:p>
              </w:tc>
              <w:tc>
                <w:tcPr>
                  <w:tcW w:w="1078" w:type="dxa"/>
                  <w:vMerge w:val="restart"/>
                  <w:noWrap w:val="0"/>
                  <w:vAlign w:val="center"/>
                </w:tcPr>
                <w:p w14:paraId="523C3F08">
                  <w:pPr>
                    <w:widowControl/>
                    <w:spacing w:line="240" w:lineRule="auto"/>
                    <w:ind w:firstLine="0" w:firstLineChars="0"/>
                    <w:jc w:val="center"/>
                    <w:textAlignment w:val="center"/>
                    <w:rPr>
                      <w:rFonts w:hint="eastAsia"/>
                      <w:color w:val="auto"/>
                      <w:kern w:val="0"/>
                      <w:sz w:val="21"/>
                      <w:szCs w:val="21"/>
                      <w:lang w:bidi="ar"/>
                    </w:rPr>
                  </w:pPr>
                  <w:r>
                    <w:rPr>
                      <w:rFonts w:hint="eastAsia"/>
                      <w:color w:val="auto"/>
                      <w:kern w:val="0"/>
                      <w:sz w:val="21"/>
                      <w:szCs w:val="21"/>
                      <w:lang w:bidi="ar"/>
                    </w:rPr>
                    <w:t>危险废物</w:t>
                  </w:r>
                </w:p>
              </w:tc>
              <w:tc>
                <w:tcPr>
                  <w:tcW w:w="1301" w:type="dxa"/>
                  <w:noWrap w:val="0"/>
                  <w:vAlign w:val="center"/>
                </w:tcPr>
                <w:p w14:paraId="0CE179BA">
                  <w:pPr>
                    <w:widowControl/>
                    <w:spacing w:line="240" w:lineRule="auto"/>
                    <w:ind w:firstLine="0" w:firstLineChars="0"/>
                    <w:jc w:val="center"/>
                    <w:textAlignment w:val="center"/>
                    <w:rPr>
                      <w:color w:val="auto"/>
                      <w:kern w:val="0"/>
                      <w:sz w:val="21"/>
                      <w:szCs w:val="21"/>
                      <w:lang w:val="en-US" w:eastAsia="zh-CN" w:bidi="ar"/>
                    </w:rPr>
                  </w:pPr>
                  <w:r>
                    <w:rPr>
                      <w:color w:val="auto"/>
                      <w:sz w:val="21"/>
                    </w:rPr>
                    <w:t>HW49 900-047-49</w:t>
                  </w:r>
                </w:p>
              </w:tc>
              <w:tc>
                <w:tcPr>
                  <w:tcW w:w="957" w:type="dxa"/>
                  <w:noWrap w:val="0"/>
                  <w:vAlign w:val="center"/>
                </w:tcPr>
                <w:p w14:paraId="6F53DE83">
                  <w:pPr>
                    <w:widowControl/>
                    <w:spacing w:line="240" w:lineRule="auto"/>
                    <w:ind w:firstLine="0" w:firstLineChars="0"/>
                    <w:jc w:val="center"/>
                    <w:textAlignment w:val="center"/>
                    <w:rPr>
                      <w:color w:val="auto"/>
                      <w:kern w:val="0"/>
                      <w:sz w:val="21"/>
                      <w:szCs w:val="21"/>
                      <w:lang w:val="en-US" w:eastAsia="zh-CN" w:bidi="ar"/>
                    </w:rPr>
                  </w:pPr>
                </w:p>
              </w:tc>
              <w:tc>
                <w:tcPr>
                  <w:tcW w:w="887" w:type="dxa"/>
                  <w:noWrap w:val="0"/>
                  <w:vAlign w:val="center"/>
                </w:tcPr>
                <w:p w14:paraId="6851F6A9">
                  <w:pPr>
                    <w:widowControl/>
                    <w:spacing w:line="240" w:lineRule="auto"/>
                    <w:ind w:firstLine="0" w:firstLineChars="0"/>
                    <w:jc w:val="center"/>
                    <w:textAlignment w:val="center"/>
                    <w:rPr>
                      <w:color w:val="auto"/>
                      <w:kern w:val="0"/>
                      <w:sz w:val="21"/>
                      <w:szCs w:val="21"/>
                      <w:lang w:val="en-US" w:eastAsia="zh-CN" w:bidi="ar"/>
                    </w:rPr>
                  </w:pPr>
                  <w:r>
                    <w:rPr>
                      <w:color w:val="auto"/>
                      <w:kern w:val="0"/>
                      <w:sz w:val="21"/>
                      <w:szCs w:val="21"/>
                      <w:lang w:bidi="ar"/>
                    </w:rPr>
                    <w:t>固体</w:t>
                  </w:r>
                </w:p>
              </w:tc>
              <w:tc>
                <w:tcPr>
                  <w:tcW w:w="1070" w:type="dxa"/>
                  <w:noWrap w:val="0"/>
                  <w:vAlign w:val="center"/>
                </w:tcPr>
                <w:p w14:paraId="17719006">
                  <w:pPr>
                    <w:widowControl/>
                    <w:spacing w:line="240" w:lineRule="auto"/>
                    <w:ind w:firstLine="0" w:firstLineChars="0"/>
                    <w:jc w:val="center"/>
                    <w:textAlignment w:val="center"/>
                    <w:rPr>
                      <w:color w:val="auto"/>
                      <w:kern w:val="0"/>
                      <w:sz w:val="21"/>
                      <w:szCs w:val="21"/>
                      <w:lang w:val="en-US" w:eastAsia="zh-CN" w:bidi="ar"/>
                    </w:rPr>
                  </w:pPr>
                  <w:r>
                    <w:rPr>
                      <w:color w:val="auto"/>
                      <w:kern w:val="0"/>
                      <w:sz w:val="21"/>
                      <w:szCs w:val="21"/>
                      <w:lang w:bidi="ar"/>
                    </w:rPr>
                    <w:t>T/C/I/ R</w:t>
                  </w:r>
                </w:p>
              </w:tc>
              <w:tc>
                <w:tcPr>
                  <w:tcW w:w="1081" w:type="dxa"/>
                  <w:noWrap w:val="0"/>
                  <w:vAlign w:val="center"/>
                </w:tcPr>
                <w:p w14:paraId="652196C5">
                  <w:pPr>
                    <w:widowControl/>
                    <w:spacing w:line="240" w:lineRule="auto"/>
                    <w:ind w:firstLine="0" w:firstLineChars="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1</w:t>
                  </w:r>
                </w:p>
              </w:tc>
              <w:tc>
                <w:tcPr>
                  <w:tcW w:w="1153" w:type="dxa"/>
                  <w:vMerge w:val="restart"/>
                  <w:noWrap w:val="0"/>
                  <w:vAlign w:val="center"/>
                </w:tcPr>
                <w:p w14:paraId="1DA87DBA">
                  <w:pPr>
                    <w:widowControl/>
                    <w:spacing w:line="240" w:lineRule="auto"/>
                    <w:ind w:firstLine="0" w:firstLineChars="0"/>
                    <w:jc w:val="center"/>
                    <w:textAlignment w:val="center"/>
                    <w:rPr>
                      <w:rFonts w:hint="eastAsia" w:eastAsia="宋体"/>
                      <w:color w:val="auto"/>
                      <w:kern w:val="0"/>
                      <w:sz w:val="21"/>
                      <w:szCs w:val="21"/>
                      <w:lang w:eastAsia="zh-CN" w:bidi="ar"/>
                    </w:rPr>
                  </w:pPr>
                  <w:r>
                    <w:rPr>
                      <w:color w:val="auto"/>
                      <w:kern w:val="0"/>
                      <w:sz w:val="21"/>
                      <w:szCs w:val="21"/>
                      <w:lang w:bidi="ar"/>
                    </w:rPr>
                    <w:t>暂存于危废暂存间</w:t>
                  </w:r>
                </w:p>
              </w:tc>
              <w:tc>
                <w:tcPr>
                  <w:tcW w:w="1043" w:type="dxa"/>
                  <w:vMerge w:val="restart"/>
                  <w:noWrap w:val="0"/>
                  <w:vAlign w:val="center"/>
                </w:tcPr>
                <w:p w14:paraId="64C7B94C">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定期交</w:t>
                  </w:r>
                  <w:r>
                    <w:rPr>
                      <w:rFonts w:hint="eastAsia"/>
                      <w:color w:val="auto"/>
                      <w:kern w:val="0"/>
                      <w:sz w:val="21"/>
                      <w:szCs w:val="21"/>
                      <w:lang w:eastAsia="zh-CN" w:bidi="ar"/>
                    </w:rPr>
                    <w:t>给</w:t>
                  </w:r>
                  <w:r>
                    <w:rPr>
                      <w:color w:val="auto"/>
                      <w:kern w:val="0"/>
                      <w:sz w:val="21"/>
                      <w:szCs w:val="21"/>
                      <w:lang w:bidi="ar"/>
                    </w:rPr>
                    <w:t>有危废处置</w:t>
                  </w:r>
                </w:p>
                <w:p w14:paraId="250EB26A">
                  <w:pPr>
                    <w:widowControl/>
                    <w:spacing w:line="240" w:lineRule="auto"/>
                    <w:ind w:firstLine="0" w:firstLineChars="0"/>
                    <w:jc w:val="center"/>
                    <w:textAlignment w:val="center"/>
                    <w:rPr>
                      <w:rFonts w:hint="eastAsia"/>
                      <w:color w:val="auto"/>
                      <w:kern w:val="0"/>
                      <w:sz w:val="21"/>
                      <w:szCs w:val="21"/>
                      <w:lang w:bidi="ar"/>
                    </w:rPr>
                  </w:pPr>
                  <w:r>
                    <w:rPr>
                      <w:color w:val="auto"/>
                      <w:kern w:val="0"/>
                      <w:sz w:val="21"/>
                      <w:szCs w:val="21"/>
                      <w:lang w:bidi="ar"/>
                    </w:rPr>
                    <w:t>资质单位</w:t>
                  </w:r>
                  <w:r>
                    <w:rPr>
                      <w:rFonts w:hint="eastAsia"/>
                      <w:color w:val="auto"/>
                      <w:kern w:val="0"/>
                      <w:sz w:val="21"/>
                      <w:szCs w:val="21"/>
                      <w:lang w:bidi="ar"/>
                    </w:rPr>
                    <w:t>处置</w:t>
                  </w:r>
                </w:p>
              </w:tc>
              <w:tc>
                <w:tcPr>
                  <w:tcW w:w="1061" w:type="dxa"/>
                  <w:shd w:val="clear" w:color="auto" w:fill="auto"/>
                  <w:noWrap w:val="0"/>
                  <w:vAlign w:val="center"/>
                </w:tcPr>
                <w:p w14:paraId="37159C9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olor w:val="auto"/>
                      <w:kern w:val="0"/>
                      <w:sz w:val="21"/>
                      <w:szCs w:val="21"/>
                      <w:lang w:val="en-US" w:eastAsia="zh-CN" w:bidi="ar"/>
                    </w:rPr>
                    <w:t>1</w:t>
                  </w:r>
                </w:p>
              </w:tc>
            </w:tr>
            <w:tr w14:paraId="015F3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14:paraId="677E354B">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w:t>
                  </w:r>
                </w:p>
              </w:tc>
              <w:tc>
                <w:tcPr>
                  <w:tcW w:w="1416" w:type="dxa"/>
                  <w:noWrap w:val="0"/>
                  <w:vAlign w:val="center"/>
                </w:tcPr>
                <w:p w14:paraId="17CBB09A">
                  <w:pPr>
                    <w:widowControl/>
                    <w:spacing w:line="240" w:lineRule="auto"/>
                    <w:ind w:firstLine="0" w:firstLineChars="0"/>
                    <w:jc w:val="center"/>
                    <w:textAlignment w:val="center"/>
                    <w:rPr>
                      <w:color w:val="auto"/>
                      <w:sz w:val="21"/>
                    </w:rPr>
                  </w:pPr>
                  <w:r>
                    <w:rPr>
                      <w:rFonts w:hint="eastAsia"/>
                      <w:color w:val="auto"/>
                      <w:sz w:val="21"/>
                    </w:rPr>
                    <w:t>废气处理</w:t>
                  </w:r>
                </w:p>
              </w:tc>
              <w:tc>
                <w:tcPr>
                  <w:tcW w:w="1091" w:type="dxa"/>
                  <w:noWrap w:val="0"/>
                  <w:vAlign w:val="center"/>
                </w:tcPr>
                <w:p w14:paraId="409EA936">
                  <w:pPr>
                    <w:widowControl/>
                    <w:spacing w:line="240" w:lineRule="auto"/>
                    <w:ind w:firstLine="0" w:firstLineChars="0"/>
                    <w:jc w:val="center"/>
                    <w:textAlignment w:val="center"/>
                    <w:rPr>
                      <w:color w:val="auto"/>
                      <w:sz w:val="21"/>
                    </w:rPr>
                  </w:pPr>
                  <w:r>
                    <w:rPr>
                      <w:color w:val="auto"/>
                      <w:sz w:val="21"/>
                    </w:rPr>
                    <w:t>废活性炭</w:t>
                  </w:r>
                </w:p>
              </w:tc>
              <w:tc>
                <w:tcPr>
                  <w:tcW w:w="1078" w:type="dxa"/>
                  <w:vMerge w:val="continue"/>
                  <w:noWrap w:val="0"/>
                  <w:vAlign w:val="center"/>
                </w:tcPr>
                <w:p w14:paraId="1F889590">
                  <w:pPr>
                    <w:widowControl/>
                    <w:spacing w:line="240" w:lineRule="auto"/>
                    <w:ind w:firstLine="0" w:firstLineChars="0"/>
                    <w:jc w:val="center"/>
                    <w:textAlignment w:val="center"/>
                    <w:rPr>
                      <w:color w:val="auto"/>
                      <w:kern w:val="0"/>
                      <w:sz w:val="21"/>
                      <w:szCs w:val="21"/>
                      <w:lang w:bidi="ar"/>
                    </w:rPr>
                  </w:pPr>
                </w:p>
              </w:tc>
              <w:tc>
                <w:tcPr>
                  <w:tcW w:w="1301" w:type="dxa"/>
                  <w:noWrap w:val="0"/>
                  <w:vAlign w:val="center"/>
                </w:tcPr>
                <w:p w14:paraId="07DBA476">
                  <w:pPr>
                    <w:widowControl/>
                    <w:spacing w:line="240" w:lineRule="auto"/>
                    <w:ind w:firstLine="0" w:firstLineChars="0"/>
                    <w:jc w:val="center"/>
                    <w:textAlignment w:val="center"/>
                    <w:rPr>
                      <w:color w:val="auto"/>
                      <w:sz w:val="21"/>
                    </w:rPr>
                  </w:pPr>
                  <w:r>
                    <w:rPr>
                      <w:color w:val="auto"/>
                      <w:sz w:val="21"/>
                    </w:rPr>
                    <w:t>HW49 900-039-49</w:t>
                  </w:r>
                </w:p>
              </w:tc>
              <w:tc>
                <w:tcPr>
                  <w:tcW w:w="957" w:type="dxa"/>
                  <w:noWrap w:val="0"/>
                  <w:vAlign w:val="center"/>
                </w:tcPr>
                <w:p w14:paraId="7FF44785">
                  <w:pPr>
                    <w:widowControl/>
                    <w:spacing w:line="240" w:lineRule="auto"/>
                    <w:ind w:firstLine="0" w:firstLineChars="0"/>
                    <w:jc w:val="center"/>
                    <w:textAlignment w:val="center"/>
                    <w:rPr>
                      <w:color w:val="auto"/>
                      <w:sz w:val="21"/>
                    </w:rPr>
                  </w:pPr>
                  <w:r>
                    <w:rPr>
                      <w:color w:val="auto"/>
                      <w:sz w:val="21"/>
                    </w:rPr>
                    <w:t>有机废气治理设施产生的废</w:t>
                  </w:r>
                </w:p>
                <w:p w14:paraId="7192A5F3">
                  <w:pPr>
                    <w:widowControl/>
                    <w:spacing w:line="240" w:lineRule="auto"/>
                    <w:ind w:firstLine="0" w:firstLineChars="0"/>
                    <w:jc w:val="center"/>
                    <w:textAlignment w:val="center"/>
                    <w:rPr>
                      <w:color w:val="auto"/>
                      <w:sz w:val="21"/>
                    </w:rPr>
                  </w:pPr>
                  <w:r>
                    <w:rPr>
                      <w:color w:val="auto"/>
                      <w:sz w:val="21"/>
                    </w:rPr>
                    <w:t>活性炭</w:t>
                  </w:r>
                </w:p>
              </w:tc>
              <w:tc>
                <w:tcPr>
                  <w:tcW w:w="887" w:type="dxa"/>
                  <w:noWrap w:val="0"/>
                  <w:vAlign w:val="center"/>
                </w:tcPr>
                <w:p w14:paraId="15AD6B59">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固体</w:t>
                  </w:r>
                </w:p>
              </w:tc>
              <w:tc>
                <w:tcPr>
                  <w:tcW w:w="1070" w:type="dxa"/>
                  <w:noWrap w:val="0"/>
                  <w:vAlign w:val="center"/>
                </w:tcPr>
                <w:p w14:paraId="25237E08">
                  <w:pPr>
                    <w:widowControl/>
                    <w:spacing w:line="240" w:lineRule="auto"/>
                    <w:ind w:firstLine="0" w:firstLineChars="0"/>
                    <w:jc w:val="center"/>
                    <w:textAlignment w:val="center"/>
                    <w:rPr>
                      <w:color w:val="auto"/>
                      <w:sz w:val="21"/>
                    </w:rPr>
                  </w:pPr>
                  <w:r>
                    <w:rPr>
                      <w:color w:val="auto"/>
                      <w:sz w:val="21"/>
                    </w:rPr>
                    <w:t>T</w:t>
                  </w:r>
                </w:p>
              </w:tc>
              <w:tc>
                <w:tcPr>
                  <w:tcW w:w="1081" w:type="dxa"/>
                  <w:noWrap w:val="0"/>
                  <w:vAlign w:val="center"/>
                </w:tcPr>
                <w:p w14:paraId="5D8CEB64">
                  <w:pPr>
                    <w:widowControl/>
                    <w:spacing w:line="240" w:lineRule="auto"/>
                    <w:ind w:firstLine="0" w:firstLineChars="0"/>
                    <w:jc w:val="center"/>
                    <w:textAlignment w:val="center"/>
                    <w:rPr>
                      <w:rFonts w:hint="default" w:eastAsia="宋体"/>
                      <w:color w:val="auto"/>
                      <w:kern w:val="0"/>
                      <w:sz w:val="21"/>
                      <w:szCs w:val="21"/>
                      <w:lang w:val="en-US" w:eastAsia="zh-CN" w:bidi="ar"/>
                    </w:rPr>
                  </w:pPr>
                  <w:r>
                    <w:rPr>
                      <w:rFonts w:hint="default" w:eastAsia="宋体"/>
                      <w:color w:val="auto"/>
                      <w:kern w:val="0"/>
                      <w:sz w:val="21"/>
                      <w:szCs w:val="21"/>
                      <w:lang w:val="en-US" w:eastAsia="zh-CN" w:bidi="ar"/>
                    </w:rPr>
                    <w:t>18.393</w:t>
                  </w:r>
                </w:p>
              </w:tc>
              <w:tc>
                <w:tcPr>
                  <w:tcW w:w="1153" w:type="dxa"/>
                  <w:vMerge w:val="continue"/>
                  <w:noWrap w:val="0"/>
                  <w:vAlign w:val="center"/>
                </w:tcPr>
                <w:p w14:paraId="52DB01FA">
                  <w:pPr>
                    <w:widowControl/>
                    <w:spacing w:line="240" w:lineRule="auto"/>
                    <w:ind w:firstLine="0" w:firstLineChars="0"/>
                    <w:jc w:val="center"/>
                    <w:textAlignment w:val="center"/>
                    <w:rPr>
                      <w:color w:val="auto"/>
                      <w:kern w:val="0"/>
                      <w:sz w:val="21"/>
                      <w:szCs w:val="21"/>
                      <w:lang w:bidi="ar"/>
                    </w:rPr>
                  </w:pPr>
                </w:p>
              </w:tc>
              <w:tc>
                <w:tcPr>
                  <w:tcW w:w="1043" w:type="dxa"/>
                  <w:vMerge w:val="continue"/>
                  <w:noWrap w:val="0"/>
                  <w:vAlign w:val="center"/>
                </w:tcPr>
                <w:p w14:paraId="17D94072">
                  <w:pPr>
                    <w:widowControl/>
                    <w:spacing w:line="240" w:lineRule="auto"/>
                    <w:ind w:firstLine="0" w:firstLineChars="0"/>
                    <w:jc w:val="center"/>
                    <w:textAlignment w:val="center"/>
                    <w:rPr>
                      <w:color w:val="auto"/>
                      <w:kern w:val="0"/>
                      <w:sz w:val="21"/>
                      <w:szCs w:val="21"/>
                      <w:lang w:bidi="ar"/>
                    </w:rPr>
                  </w:pPr>
                </w:p>
              </w:tc>
              <w:tc>
                <w:tcPr>
                  <w:tcW w:w="1061" w:type="dxa"/>
                  <w:shd w:val="clear" w:color="auto" w:fill="auto"/>
                  <w:noWrap w:val="0"/>
                  <w:vAlign w:val="center"/>
                </w:tcPr>
                <w:p w14:paraId="49218C5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eastAsia="宋体"/>
                      <w:color w:val="auto"/>
                      <w:kern w:val="0"/>
                      <w:sz w:val="21"/>
                      <w:szCs w:val="21"/>
                      <w:lang w:val="en-US" w:eastAsia="zh-CN" w:bidi="ar"/>
                    </w:rPr>
                    <w:t>18.393</w:t>
                  </w:r>
                </w:p>
              </w:tc>
            </w:tr>
            <w:tr w14:paraId="7F565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14:paraId="2A893E3A">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1416" w:type="dxa"/>
                  <w:vMerge w:val="restart"/>
                  <w:noWrap w:val="0"/>
                  <w:vAlign w:val="center"/>
                </w:tcPr>
                <w:p w14:paraId="02D4CFE8">
                  <w:pPr>
                    <w:widowControl/>
                    <w:spacing w:line="240" w:lineRule="auto"/>
                    <w:ind w:firstLine="0" w:firstLineChars="0"/>
                    <w:jc w:val="center"/>
                    <w:textAlignment w:val="center"/>
                    <w:rPr>
                      <w:rFonts w:hint="eastAsia" w:eastAsia="宋体"/>
                      <w:color w:val="auto"/>
                      <w:sz w:val="21"/>
                      <w:lang w:val="en-US" w:eastAsia="zh-CN"/>
                    </w:rPr>
                  </w:pPr>
                  <w:r>
                    <w:rPr>
                      <w:rFonts w:hint="eastAsia"/>
                      <w:color w:val="auto"/>
                      <w:sz w:val="21"/>
                      <w:lang w:val="en-US" w:eastAsia="zh-CN"/>
                    </w:rPr>
                    <w:t>设备运维</w:t>
                  </w:r>
                </w:p>
              </w:tc>
              <w:tc>
                <w:tcPr>
                  <w:tcW w:w="1091" w:type="dxa"/>
                  <w:noWrap w:val="0"/>
                  <w:vAlign w:val="center"/>
                </w:tcPr>
                <w:p w14:paraId="496E42E0">
                  <w:pPr>
                    <w:widowControl/>
                    <w:spacing w:line="240" w:lineRule="auto"/>
                    <w:ind w:firstLine="0" w:firstLineChars="0"/>
                    <w:jc w:val="center"/>
                    <w:textAlignment w:val="center"/>
                    <w:rPr>
                      <w:color w:val="auto"/>
                      <w:sz w:val="21"/>
                    </w:rPr>
                  </w:pPr>
                  <w:r>
                    <w:rPr>
                      <w:rFonts w:hint="eastAsia"/>
                      <w:color w:val="auto"/>
                      <w:sz w:val="21"/>
                      <w:lang w:val="en-US" w:eastAsia="zh-CN"/>
                    </w:rPr>
                    <w:t>废润滑油</w:t>
                  </w:r>
                </w:p>
              </w:tc>
              <w:tc>
                <w:tcPr>
                  <w:tcW w:w="1078" w:type="dxa"/>
                  <w:vMerge w:val="continue"/>
                  <w:noWrap w:val="0"/>
                  <w:vAlign w:val="center"/>
                </w:tcPr>
                <w:p w14:paraId="7047CB03">
                  <w:pPr>
                    <w:widowControl/>
                    <w:spacing w:line="240" w:lineRule="auto"/>
                    <w:ind w:firstLine="0" w:firstLineChars="0"/>
                    <w:jc w:val="center"/>
                    <w:textAlignment w:val="center"/>
                    <w:rPr>
                      <w:color w:val="auto"/>
                      <w:kern w:val="0"/>
                      <w:sz w:val="21"/>
                      <w:szCs w:val="21"/>
                      <w:lang w:bidi="ar"/>
                    </w:rPr>
                  </w:pPr>
                </w:p>
              </w:tc>
              <w:tc>
                <w:tcPr>
                  <w:tcW w:w="1301" w:type="dxa"/>
                  <w:noWrap w:val="0"/>
                  <w:vAlign w:val="center"/>
                </w:tcPr>
                <w:p w14:paraId="08139D74">
                  <w:pPr>
                    <w:widowControl/>
                    <w:spacing w:line="240" w:lineRule="auto"/>
                    <w:ind w:firstLine="0" w:firstLineChars="0"/>
                    <w:jc w:val="center"/>
                    <w:textAlignment w:val="center"/>
                    <w:rPr>
                      <w:rFonts w:hint="eastAsia"/>
                      <w:color w:val="auto"/>
                      <w:sz w:val="21"/>
                      <w:lang w:val="en-US" w:eastAsia="zh-CN"/>
                    </w:rPr>
                  </w:pPr>
                  <w:r>
                    <w:rPr>
                      <w:color w:val="auto"/>
                      <w:sz w:val="21"/>
                    </w:rPr>
                    <w:t>HW</w:t>
                  </w:r>
                  <w:r>
                    <w:rPr>
                      <w:rFonts w:hint="eastAsia"/>
                      <w:color w:val="auto"/>
                      <w:sz w:val="21"/>
                      <w:lang w:val="en-US" w:eastAsia="zh-CN"/>
                    </w:rPr>
                    <w:t>08</w:t>
                  </w:r>
                </w:p>
                <w:p w14:paraId="5747518D">
                  <w:pPr>
                    <w:widowControl/>
                    <w:spacing w:line="240" w:lineRule="auto"/>
                    <w:ind w:firstLine="0" w:firstLineChars="0"/>
                    <w:jc w:val="center"/>
                    <w:textAlignment w:val="center"/>
                    <w:rPr>
                      <w:color w:val="auto"/>
                      <w:sz w:val="21"/>
                    </w:rPr>
                  </w:pPr>
                  <w:r>
                    <w:rPr>
                      <w:rFonts w:hint="eastAsia"/>
                      <w:color w:val="auto"/>
                      <w:sz w:val="21"/>
                    </w:rPr>
                    <w:t>900-217-08</w:t>
                  </w:r>
                </w:p>
              </w:tc>
              <w:tc>
                <w:tcPr>
                  <w:tcW w:w="957" w:type="dxa"/>
                  <w:noWrap w:val="0"/>
                  <w:vAlign w:val="center"/>
                </w:tcPr>
                <w:p w14:paraId="7EE4E6ED">
                  <w:pPr>
                    <w:widowControl/>
                    <w:spacing w:line="240" w:lineRule="auto"/>
                    <w:ind w:firstLine="0" w:firstLineChars="0"/>
                    <w:jc w:val="center"/>
                    <w:textAlignment w:val="center"/>
                    <w:rPr>
                      <w:rFonts w:hint="eastAsia" w:eastAsia="宋体"/>
                      <w:color w:val="auto"/>
                      <w:sz w:val="21"/>
                      <w:lang w:val="en-US" w:eastAsia="zh-CN"/>
                    </w:rPr>
                  </w:pPr>
                  <w:r>
                    <w:rPr>
                      <w:rFonts w:hint="eastAsia"/>
                      <w:color w:val="auto"/>
                      <w:sz w:val="21"/>
                      <w:lang w:val="en-US" w:eastAsia="zh-CN"/>
                    </w:rPr>
                    <w:t>油类</w:t>
                  </w:r>
                </w:p>
              </w:tc>
              <w:tc>
                <w:tcPr>
                  <w:tcW w:w="887" w:type="dxa"/>
                  <w:noWrap w:val="0"/>
                  <w:vAlign w:val="center"/>
                </w:tcPr>
                <w:p w14:paraId="4B45D354">
                  <w:pPr>
                    <w:widowControl/>
                    <w:spacing w:line="240" w:lineRule="auto"/>
                    <w:ind w:firstLine="0" w:firstLineChars="0"/>
                    <w:jc w:val="center"/>
                    <w:textAlignment w:val="center"/>
                    <w:rPr>
                      <w:rFonts w:hint="eastAsia" w:eastAsia="宋体"/>
                      <w:color w:val="auto"/>
                      <w:kern w:val="0"/>
                      <w:sz w:val="21"/>
                      <w:szCs w:val="21"/>
                      <w:lang w:val="en-US" w:eastAsia="zh-CN" w:bidi="ar"/>
                    </w:rPr>
                  </w:pPr>
                  <w:r>
                    <w:rPr>
                      <w:rFonts w:hint="eastAsia"/>
                      <w:color w:val="auto"/>
                      <w:kern w:val="0"/>
                      <w:sz w:val="21"/>
                      <w:szCs w:val="21"/>
                      <w:lang w:val="en-US" w:eastAsia="zh-CN" w:bidi="ar"/>
                    </w:rPr>
                    <w:t>液体</w:t>
                  </w:r>
                </w:p>
              </w:tc>
              <w:tc>
                <w:tcPr>
                  <w:tcW w:w="1070" w:type="dxa"/>
                  <w:noWrap w:val="0"/>
                  <w:vAlign w:val="center"/>
                </w:tcPr>
                <w:p w14:paraId="7282AC00">
                  <w:pPr>
                    <w:widowControl/>
                    <w:spacing w:line="240" w:lineRule="auto"/>
                    <w:ind w:firstLine="0" w:firstLineChars="0"/>
                    <w:jc w:val="center"/>
                    <w:textAlignment w:val="center"/>
                    <w:rPr>
                      <w:color w:val="auto"/>
                      <w:sz w:val="21"/>
                    </w:rPr>
                  </w:pPr>
                  <w:r>
                    <w:rPr>
                      <w:color w:val="auto"/>
                      <w:kern w:val="0"/>
                      <w:sz w:val="21"/>
                      <w:szCs w:val="21"/>
                      <w:lang w:bidi="ar"/>
                    </w:rPr>
                    <w:t>T/C</w:t>
                  </w:r>
                </w:p>
              </w:tc>
              <w:tc>
                <w:tcPr>
                  <w:tcW w:w="1081" w:type="dxa"/>
                  <w:noWrap w:val="0"/>
                  <w:vAlign w:val="center"/>
                </w:tcPr>
                <w:p w14:paraId="34A2445A">
                  <w:pPr>
                    <w:widowControl/>
                    <w:spacing w:line="240" w:lineRule="auto"/>
                    <w:ind w:firstLine="0" w:firstLineChars="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5</w:t>
                  </w:r>
                </w:p>
              </w:tc>
              <w:tc>
                <w:tcPr>
                  <w:tcW w:w="1153" w:type="dxa"/>
                  <w:vMerge w:val="continue"/>
                  <w:noWrap w:val="0"/>
                  <w:vAlign w:val="center"/>
                </w:tcPr>
                <w:p w14:paraId="5B9B7639">
                  <w:pPr>
                    <w:widowControl/>
                    <w:spacing w:line="240" w:lineRule="auto"/>
                    <w:ind w:firstLine="0" w:firstLineChars="0"/>
                    <w:jc w:val="center"/>
                    <w:textAlignment w:val="center"/>
                    <w:rPr>
                      <w:color w:val="auto"/>
                      <w:kern w:val="0"/>
                      <w:sz w:val="21"/>
                      <w:szCs w:val="21"/>
                      <w:lang w:bidi="ar"/>
                    </w:rPr>
                  </w:pPr>
                </w:p>
              </w:tc>
              <w:tc>
                <w:tcPr>
                  <w:tcW w:w="1043" w:type="dxa"/>
                  <w:vMerge w:val="continue"/>
                  <w:noWrap w:val="0"/>
                  <w:vAlign w:val="center"/>
                </w:tcPr>
                <w:p w14:paraId="3A6D8E87">
                  <w:pPr>
                    <w:widowControl/>
                    <w:spacing w:line="240" w:lineRule="auto"/>
                    <w:ind w:firstLine="0" w:firstLineChars="0"/>
                    <w:jc w:val="center"/>
                    <w:textAlignment w:val="center"/>
                    <w:rPr>
                      <w:color w:val="auto"/>
                      <w:kern w:val="0"/>
                      <w:sz w:val="21"/>
                      <w:szCs w:val="21"/>
                      <w:lang w:bidi="ar"/>
                    </w:rPr>
                  </w:pPr>
                </w:p>
              </w:tc>
              <w:tc>
                <w:tcPr>
                  <w:tcW w:w="1061" w:type="dxa"/>
                  <w:shd w:val="clear" w:color="auto" w:fill="auto"/>
                  <w:noWrap w:val="0"/>
                  <w:vAlign w:val="center"/>
                </w:tcPr>
                <w:p w14:paraId="00CA3C1B">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olor w:val="auto"/>
                      <w:kern w:val="0"/>
                      <w:sz w:val="21"/>
                      <w:szCs w:val="21"/>
                      <w:lang w:val="en-US" w:eastAsia="zh-CN" w:bidi="ar"/>
                    </w:rPr>
                    <w:t>5</w:t>
                  </w:r>
                </w:p>
              </w:tc>
            </w:tr>
            <w:tr w14:paraId="584A1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14:paraId="31F9DE56">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11</w:t>
                  </w:r>
                </w:p>
              </w:tc>
              <w:tc>
                <w:tcPr>
                  <w:tcW w:w="1416" w:type="dxa"/>
                  <w:vMerge w:val="continue"/>
                  <w:noWrap w:val="0"/>
                  <w:vAlign w:val="center"/>
                </w:tcPr>
                <w:p w14:paraId="05F25DA8">
                  <w:pPr>
                    <w:widowControl/>
                    <w:spacing w:line="240" w:lineRule="auto"/>
                    <w:ind w:firstLine="0" w:firstLineChars="0"/>
                    <w:jc w:val="center"/>
                    <w:textAlignment w:val="center"/>
                    <w:rPr>
                      <w:rFonts w:hint="eastAsia"/>
                      <w:color w:val="auto"/>
                      <w:sz w:val="21"/>
                    </w:rPr>
                  </w:pPr>
                </w:p>
              </w:tc>
              <w:tc>
                <w:tcPr>
                  <w:tcW w:w="1091" w:type="dxa"/>
                  <w:noWrap w:val="0"/>
                  <w:vAlign w:val="center"/>
                </w:tcPr>
                <w:p w14:paraId="13A40923">
                  <w:pPr>
                    <w:widowControl/>
                    <w:spacing w:line="240" w:lineRule="auto"/>
                    <w:ind w:firstLine="0" w:firstLineChars="0"/>
                    <w:jc w:val="center"/>
                    <w:textAlignment w:val="center"/>
                    <w:rPr>
                      <w:rFonts w:hint="eastAsia"/>
                      <w:color w:val="auto"/>
                      <w:sz w:val="21"/>
                      <w:lang w:val="en-US" w:eastAsia="zh-CN"/>
                    </w:rPr>
                  </w:pPr>
                  <w:r>
                    <w:rPr>
                      <w:rFonts w:hint="eastAsia"/>
                      <w:color w:val="auto"/>
                      <w:sz w:val="21"/>
                      <w:lang w:val="en-US" w:eastAsia="zh-CN"/>
                    </w:rPr>
                    <w:t>废润滑油桶</w:t>
                  </w:r>
                </w:p>
              </w:tc>
              <w:tc>
                <w:tcPr>
                  <w:tcW w:w="1078" w:type="dxa"/>
                  <w:vMerge w:val="continue"/>
                  <w:noWrap w:val="0"/>
                  <w:vAlign w:val="center"/>
                </w:tcPr>
                <w:p w14:paraId="2CA5A32F">
                  <w:pPr>
                    <w:widowControl/>
                    <w:spacing w:line="240" w:lineRule="auto"/>
                    <w:ind w:firstLine="0" w:firstLineChars="0"/>
                    <w:jc w:val="center"/>
                    <w:textAlignment w:val="center"/>
                    <w:rPr>
                      <w:color w:val="auto"/>
                      <w:kern w:val="0"/>
                      <w:sz w:val="21"/>
                      <w:szCs w:val="21"/>
                      <w:lang w:bidi="ar"/>
                    </w:rPr>
                  </w:pPr>
                </w:p>
              </w:tc>
              <w:tc>
                <w:tcPr>
                  <w:tcW w:w="1301" w:type="dxa"/>
                  <w:noWrap w:val="0"/>
                  <w:vAlign w:val="center"/>
                </w:tcPr>
                <w:p w14:paraId="3F1106A1">
                  <w:pPr>
                    <w:widowControl/>
                    <w:spacing w:line="240" w:lineRule="auto"/>
                    <w:ind w:firstLine="0" w:firstLineChars="0"/>
                    <w:jc w:val="center"/>
                    <w:textAlignment w:val="center"/>
                    <w:rPr>
                      <w:rFonts w:hint="eastAsia"/>
                      <w:color w:val="auto"/>
                      <w:sz w:val="21"/>
                      <w:lang w:val="en-US" w:eastAsia="zh-CN"/>
                    </w:rPr>
                  </w:pPr>
                  <w:r>
                    <w:rPr>
                      <w:color w:val="auto"/>
                      <w:sz w:val="21"/>
                    </w:rPr>
                    <w:t>HW</w:t>
                  </w:r>
                  <w:r>
                    <w:rPr>
                      <w:rFonts w:hint="eastAsia"/>
                      <w:color w:val="auto"/>
                      <w:sz w:val="21"/>
                      <w:lang w:val="en-US" w:eastAsia="zh-CN"/>
                    </w:rPr>
                    <w:t>08</w:t>
                  </w:r>
                </w:p>
                <w:p w14:paraId="41F4907C">
                  <w:pPr>
                    <w:widowControl/>
                    <w:spacing w:line="240" w:lineRule="auto"/>
                    <w:ind w:firstLine="0" w:firstLineChars="0"/>
                    <w:jc w:val="center"/>
                    <w:textAlignment w:val="center"/>
                    <w:rPr>
                      <w:color w:val="auto"/>
                      <w:sz w:val="21"/>
                    </w:rPr>
                  </w:pPr>
                  <w:r>
                    <w:rPr>
                      <w:rFonts w:hint="eastAsia"/>
                      <w:color w:val="auto"/>
                      <w:sz w:val="21"/>
                    </w:rPr>
                    <w:t>900-249-08</w:t>
                  </w:r>
                </w:p>
              </w:tc>
              <w:tc>
                <w:tcPr>
                  <w:tcW w:w="957" w:type="dxa"/>
                  <w:noWrap w:val="0"/>
                  <w:vAlign w:val="center"/>
                </w:tcPr>
                <w:p w14:paraId="1F60179D">
                  <w:pPr>
                    <w:widowControl/>
                    <w:spacing w:line="240" w:lineRule="auto"/>
                    <w:ind w:firstLine="0" w:firstLineChars="0"/>
                    <w:jc w:val="center"/>
                    <w:textAlignment w:val="center"/>
                    <w:rPr>
                      <w:color w:val="auto"/>
                      <w:sz w:val="21"/>
                    </w:rPr>
                  </w:pPr>
                  <w:r>
                    <w:rPr>
                      <w:rFonts w:hint="eastAsia"/>
                      <w:color w:val="auto"/>
                      <w:sz w:val="21"/>
                      <w:lang w:val="en-US" w:eastAsia="zh-CN"/>
                    </w:rPr>
                    <w:t>油类</w:t>
                  </w:r>
                </w:p>
              </w:tc>
              <w:tc>
                <w:tcPr>
                  <w:tcW w:w="887" w:type="dxa"/>
                  <w:noWrap w:val="0"/>
                  <w:vAlign w:val="center"/>
                </w:tcPr>
                <w:p w14:paraId="10A5F45A">
                  <w:pPr>
                    <w:widowControl/>
                    <w:spacing w:line="240" w:lineRule="auto"/>
                    <w:ind w:firstLine="0" w:firstLineChars="0"/>
                    <w:jc w:val="center"/>
                    <w:textAlignment w:val="center"/>
                    <w:rPr>
                      <w:rFonts w:hint="eastAsia" w:eastAsia="宋体"/>
                      <w:color w:val="auto"/>
                      <w:kern w:val="0"/>
                      <w:sz w:val="21"/>
                      <w:szCs w:val="21"/>
                      <w:lang w:val="en-US" w:eastAsia="zh-CN" w:bidi="ar"/>
                    </w:rPr>
                  </w:pPr>
                  <w:r>
                    <w:rPr>
                      <w:rFonts w:hint="eastAsia"/>
                      <w:color w:val="auto"/>
                      <w:kern w:val="0"/>
                      <w:sz w:val="21"/>
                      <w:szCs w:val="21"/>
                      <w:lang w:val="en-US" w:eastAsia="zh-CN" w:bidi="ar"/>
                    </w:rPr>
                    <w:t>固体</w:t>
                  </w:r>
                </w:p>
              </w:tc>
              <w:tc>
                <w:tcPr>
                  <w:tcW w:w="1070" w:type="dxa"/>
                  <w:noWrap w:val="0"/>
                  <w:vAlign w:val="center"/>
                </w:tcPr>
                <w:p w14:paraId="14E2822F">
                  <w:pPr>
                    <w:widowControl/>
                    <w:spacing w:line="240" w:lineRule="auto"/>
                    <w:ind w:firstLine="0" w:firstLineChars="0"/>
                    <w:jc w:val="center"/>
                    <w:textAlignment w:val="center"/>
                    <w:rPr>
                      <w:color w:val="auto"/>
                      <w:sz w:val="21"/>
                    </w:rPr>
                  </w:pPr>
                  <w:r>
                    <w:rPr>
                      <w:color w:val="auto"/>
                      <w:kern w:val="0"/>
                      <w:sz w:val="21"/>
                      <w:szCs w:val="21"/>
                      <w:lang w:bidi="ar"/>
                    </w:rPr>
                    <w:t>T/C</w:t>
                  </w:r>
                </w:p>
              </w:tc>
              <w:tc>
                <w:tcPr>
                  <w:tcW w:w="1081" w:type="dxa"/>
                  <w:noWrap w:val="0"/>
                  <w:vAlign w:val="center"/>
                </w:tcPr>
                <w:p w14:paraId="38B64C42">
                  <w:pPr>
                    <w:widowControl/>
                    <w:spacing w:line="240" w:lineRule="auto"/>
                    <w:ind w:firstLine="0" w:firstLineChars="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0.5</w:t>
                  </w:r>
                </w:p>
              </w:tc>
              <w:tc>
                <w:tcPr>
                  <w:tcW w:w="1153" w:type="dxa"/>
                  <w:vMerge w:val="continue"/>
                  <w:noWrap w:val="0"/>
                  <w:vAlign w:val="center"/>
                </w:tcPr>
                <w:p w14:paraId="2586D2E8">
                  <w:pPr>
                    <w:widowControl/>
                    <w:spacing w:line="240" w:lineRule="auto"/>
                    <w:ind w:firstLine="0" w:firstLineChars="0"/>
                    <w:jc w:val="center"/>
                    <w:textAlignment w:val="center"/>
                    <w:rPr>
                      <w:color w:val="auto"/>
                      <w:kern w:val="0"/>
                      <w:sz w:val="21"/>
                      <w:szCs w:val="21"/>
                      <w:lang w:bidi="ar"/>
                    </w:rPr>
                  </w:pPr>
                </w:p>
              </w:tc>
              <w:tc>
                <w:tcPr>
                  <w:tcW w:w="1043" w:type="dxa"/>
                  <w:vMerge w:val="continue"/>
                  <w:noWrap w:val="0"/>
                  <w:vAlign w:val="center"/>
                </w:tcPr>
                <w:p w14:paraId="4BE60EAD">
                  <w:pPr>
                    <w:widowControl/>
                    <w:spacing w:line="240" w:lineRule="auto"/>
                    <w:ind w:firstLine="0" w:firstLineChars="0"/>
                    <w:jc w:val="center"/>
                    <w:textAlignment w:val="center"/>
                    <w:rPr>
                      <w:color w:val="auto"/>
                      <w:kern w:val="0"/>
                      <w:sz w:val="21"/>
                      <w:szCs w:val="21"/>
                      <w:lang w:bidi="ar"/>
                    </w:rPr>
                  </w:pPr>
                </w:p>
              </w:tc>
              <w:tc>
                <w:tcPr>
                  <w:tcW w:w="1061" w:type="dxa"/>
                  <w:shd w:val="clear" w:color="auto" w:fill="auto"/>
                  <w:noWrap w:val="0"/>
                  <w:vAlign w:val="center"/>
                </w:tcPr>
                <w:p w14:paraId="7D64B507">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olor w:val="auto"/>
                      <w:kern w:val="0"/>
                      <w:sz w:val="21"/>
                      <w:szCs w:val="21"/>
                      <w:lang w:val="en-US" w:eastAsia="zh-CN" w:bidi="ar"/>
                    </w:rPr>
                    <w:t>0.5</w:t>
                  </w:r>
                </w:p>
              </w:tc>
            </w:tr>
          </w:tbl>
          <w:p w14:paraId="571EB2FD">
            <w:pPr>
              <w:ind w:firstLine="0" w:firstLineChars="0"/>
              <w:rPr>
                <w:color w:val="auto"/>
              </w:rPr>
            </w:pPr>
          </w:p>
        </w:tc>
      </w:tr>
    </w:tbl>
    <w:p w14:paraId="6AE419DA">
      <w:pPr>
        <w:ind w:firstLine="0" w:firstLineChars="0"/>
        <w:rPr>
          <w:rFonts w:hint="eastAsia"/>
          <w:color w:val="auto"/>
        </w:rPr>
        <w:sectPr>
          <w:pgSz w:w="16838" w:h="11905" w:orient="landscape"/>
          <w:pgMar w:top="1531" w:right="1701" w:bottom="1531" w:left="1701" w:header="851" w:footer="850" w:gutter="0"/>
          <w:pgNumType w:fmt="decimal"/>
          <w:cols w:space="720" w:num="1"/>
          <w:docGrid w:type="linesAndChars" w:linePitch="312" w:charSpace="0"/>
        </w:sect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
        <w:gridCol w:w="8450"/>
      </w:tblGrid>
      <w:tr w14:paraId="44553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dxa"/>
            <w:noWrap w:val="0"/>
            <w:vAlign w:val="top"/>
          </w:tcPr>
          <w:p w14:paraId="175EEEA6">
            <w:pPr>
              <w:ind w:firstLine="480"/>
              <w:rPr>
                <w:rFonts w:hint="eastAsia"/>
                <w:color w:val="auto"/>
              </w:rPr>
            </w:pPr>
          </w:p>
        </w:tc>
        <w:tc>
          <w:tcPr>
            <w:tcW w:w="8450" w:type="dxa"/>
            <w:noWrap w:val="0"/>
            <w:vAlign w:val="top"/>
          </w:tcPr>
          <w:p w14:paraId="3F4FD98F">
            <w:pPr>
              <w:ind w:firstLine="482"/>
              <w:rPr>
                <w:rFonts w:hint="eastAsia"/>
                <w:b/>
                <w:bCs/>
                <w:color w:val="auto"/>
              </w:rPr>
            </w:pPr>
            <w:r>
              <w:rPr>
                <w:rFonts w:hint="eastAsia"/>
                <w:b/>
                <w:bCs/>
                <w:color w:val="auto"/>
              </w:rPr>
              <w:t>固体废物源强的核算过程</w:t>
            </w:r>
          </w:p>
          <w:p w14:paraId="4D534307">
            <w:pPr>
              <w:ind w:firstLine="480"/>
              <w:rPr>
                <w:rFonts w:hint="eastAsia" w:eastAsia="宋体"/>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）一般固废</w:t>
            </w:r>
          </w:p>
          <w:p w14:paraId="5379D4E1">
            <w:pPr>
              <w:ind w:firstLine="480"/>
              <w:rPr>
                <w:rFonts w:hint="eastAsia"/>
                <w:color w:val="auto"/>
              </w:rPr>
            </w:pPr>
            <w:r>
              <w:rPr>
                <w:rFonts w:hint="eastAsia"/>
                <w:color w:val="auto"/>
              </w:rPr>
              <w:t>生活垃圾：</w:t>
            </w:r>
            <w:r>
              <w:rPr>
                <w:rFonts w:hint="eastAsia"/>
                <w:bCs/>
                <w:color w:val="auto"/>
              </w:rPr>
              <w:t>生活垃圾产生量按0.5kg/人·天计，</w:t>
            </w:r>
            <w:r>
              <w:rPr>
                <w:rFonts w:hint="eastAsia"/>
                <w:bCs/>
                <w:color w:val="auto"/>
                <w:lang w:eastAsia="zh-CN"/>
              </w:rPr>
              <w:t>项目新增</w:t>
            </w:r>
            <w:r>
              <w:rPr>
                <w:rFonts w:hint="eastAsia"/>
                <w:bCs/>
                <w:color w:val="auto"/>
              </w:rPr>
              <w:t>职工人数</w:t>
            </w:r>
            <w:r>
              <w:rPr>
                <w:rFonts w:hint="eastAsia"/>
                <w:bCs/>
                <w:color w:val="auto"/>
                <w:lang w:val="en-US" w:eastAsia="zh-CN"/>
              </w:rPr>
              <w:t>80</w:t>
            </w:r>
            <w:r>
              <w:rPr>
                <w:rFonts w:hint="eastAsia"/>
                <w:bCs/>
                <w:color w:val="auto"/>
              </w:rPr>
              <w:t>人，生活垃圾产生量约为</w:t>
            </w:r>
            <w:r>
              <w:rPr>
                <w:rFonts w:hint="eastAsia"/>
                <w:bCs/>
                <w:color w:val="auto"/>
                <w:lang w:val="en-US" w:eastAsia="zh-CN"/>
              </w:rPr>
              <w:t>12</w:t>
            </w:r>
            <w:r>
              <w:rPr>
                <w:rFonts w:hint="eastAsia"/>
                <w:bCs/>
                <w:color w:val="auto"/>
              </w:rPr>
              <w:t>t/a</w:t>
            </w:r>
            <w:r>
              <w:rPr>
                <w:rFonts w:hint="eastAsia"/>
                <w:color w:val="auto"/>
              </w:rPr>
              <w:t>，生活垃圾实行袋装化、分类收集，由环卫部门定期清运处置。</w:t>
            </w:r>
          </w:p>
          <w:p w14:paraId="6B8D68FD">
            <w:pPr>
              <w:ind w:firstLine="480"/>
              <w:rPr>
                <w:rFonts w:hint="eastAsia" w:eastAsia="宋体"/>
                <w:color w:val="auto"/>
                <w:lang w:eastAsia="zh-CN"/>
              </w:rPr>
            </w:pPr>
            <w:r>
              <w:rPr>
                <w:rFonts w:hint="eastAsia"/>
                <w:color w:val="auto"/>
                <w:lang w:val="en-US" w:eastAsia="zh-CN"/>
              </w:rPr>
              <w:t>废边角料</w:t>
            </w:r>
            <w:r>
              <w:rPr>
                <w:rFonts w:hint="eastAsia"/>
                <w:color w:val="auto"/>
                <w:lang w:eastAsia="zh-CN"/>
              </w:rPr>
              <w:t>：项目</w:t>
            </w:r>
            <w:r>
              <w:rPr>
                <w:rFonts w:hint="eastAsia"/>
                <w:color w:val="auto"/>
                <w:lang w:val="en-US" w:eastAsia="zh-CN"/>
              </w:rPr>
              <w:t>剪切</w:t>
            </w:r>
            <w:r>
              <w:rPr>
                <w:rFonts w:hint="eastAsia"/>
                <w:color w:val="auto"/>
                <w:lang w:eastAsia="zh-CN"/>
              </w:rPr>
              <w:t>过程中会产生</w:t>
            </w:r>
            <w:r>
              <w:rPr>
                <w:rFonts w:hint="eastAsia"/>
                <w:color w:val="auto"/>
                <w:lang w:val="en-US" w:eastAsia="zh-CN"/>
              </w:rPr>
              <w:t>废边角料</w:t>
            </w:r>
            <w:r>
              <w:rPr>
                <w:rFonts w:hint="eastAsia"/>
                <w:color w:val="auto"/>
                <w:lang w:eastAsia="zh-CN"/>
              </w:rPr>
              <w:t>，</w:t>
            </w:r>
            <w:r>
              <w:rPr>
                <w:rFonts w:hint="eastAsia"/>
                <w:color w:val="auto"/>
                <w:lang w:val="en-US" w:eastAsia="zh-CN"/>
              </w:rPr>
              <w:t>产生量按钢板使用量的0.1%计算</w:t>
            </w:r>
            <w:r>
              <w:rPr>
                <w:rFonts w:hint="eastAsia"/>
                <w:color w:val="auto"/>
              </w:rPr>
              <w:t>，项目</w:t>
            </w:r>
            <w:r>
              <w:rPr>
                <w:rFonts w:hint="eastAsia"/>
                <w:color w:val="auto"/>
                <w:lang w:val="en-US" w:eastAsia="zh-CN"/>
              </w:rPr>
              <w:t>废边角料</w:t>
            </w:r>
            <w:r>
              <w:rPr>
                <w:rFonts w:hint="eastAsia"/>
                <w:color w:val="auto"/>
              </w:rPr>
              <w:t>的产生量为</w:t>
            </w:r>
            <w:r>
              <w:rPr>
                <w:rFonts w:hint="eastAsia"/>
                <w:color w:val="auto"/>
                <w:lang w:val="en-US" w:eastAsia="zh-CN"/>
              </w:rPr>
              <w:t>26.7</w:t>
            </w:r>
            <w:r>
              <w:rPr>
                <w:rFonts w:hint="eastAsia"/>
                <w:color w:val="auto"/>
              </w:rPr>
              <w:t>t/a。</w:t>
            </w:r>
          </w:p>
          <w:p w14:paraId="4098EFA2">
            <w:pPr>
              <w:ind w:firstLine="480"/>
              <w:rPr>
                <w:rFonts w:hint="eastAsia"/>
                <w:color w:val="auto"/>
              </w:rPr>
            </w:pPr>
            <w:r>
              <w:rPr>
                <w:rFonts w:hint="eastAsia"/>
                <w:color w:val="auto"/>
                <w:lang w:val="en-US" w:eastAsia="zh-CN"/>
              </w:rPr>
              <w:t>废铁屑</w:t>
            </w:r>
            <w:r>
              <w:rPr>
                <w:rFonts w:hint="eastAsia"/>
                <w:color w:val="auto"/>
              </w:rPr>
              <w:t>：</w:t>
            </w:r>
            <w:r>
              <w:rPr>
                <w:rFonts w:hint="eastAsia"/>
                <w:color w:val="auto"/>
                <w:lang w:eastAsia="zh-CN"/>
              </w:rPr>
              <w:t>项目</w:t>
            </w:r>
            <w:r>
              <w:rPr>
                <w:rFonts w:hint="eastAsia"/>
                <w:color w:val="auto"/>
                <w:lang w:val="en-US" w:eastAsia="zh-CN"/>
              </w:rPr>
              <w:t>机加工</w:t>
            </w:r>
            <w:r>
              <w:rPr>
                <w:rFonts w:hint="eastAsia"/>
                <w:color w:val="auto"/>
                <w:lang w:eastAsia="zh-CN"/>
              </w:rPr>
              <w:t>过程中会产生</w:t>
            </w:r>
            <w:r>
              <w:rPr>
                <w:rFonts w:hint="eastAsia"/>
                <w:color w:val="auto"/>
                <w:lang w:val="en-US" w:eastAsia="zh-CN"/>
              </w:rPr>
              <w:t>废铁屑</w:t>
            </w:r>
            <w:r>
              <w:rPr>
                <w:rFonts w:hint="eastAsia"/>
                <w:color w:val="auto"/>
                <w:lang w:eastAsia="zh-CN"/>
              </w:rPr>
              <w:t>，</w:t>
            </w:r>
            <w:r>
              <w:rPr>
                <w:rFonts w:hint="eastAsia"/>
                <w:color w:val="auto"/>
                <w:lang w:val="en-US" w:eastAsia="zh-CN"/>
              </w:rPr>
              <w:t>产生量按钢板使用量的0.01%计算</w:t>
            </w:r>
            <w:r>
              <w:rPr>
                <w:rFonts w:hint="eastAsia"/>
                <w:color w:val="auto"/>
              </w:rPr>
              <w:t>，项目</w:t>
            </w:r>
            <w:r>
              <w:rPr>
                <w:rFonts w:hint="eastAsia"/>
                <w:color w:val="auto"/>
                <w:lang w:val="en-US" w:eastAsia="zh-CN"/>
              </w:rPr>
              <w:t>废铁屑</w:t>
            </w:r>
            <w:r>
              <w:rPr>
                <w:rFonts w:hint="eastAsia"/>
                <w:color w:val="auto"/>
              </w:rPr>
              <w:t>的产生量为</w:t>
            </w:r>
            <w:r>
              <w:rPr>
                <w:rFonts w:hint="eastAsia"/>
                <w:color w:val="auto"/>
                <w:lang w:val="en-US" w:eastAsia="zh-CN"/>
              </w:rPr>
              <w:t>2.67</w:t>
            </w:r>
            <w:r>
              <w:rPr>
                <w:rFonts w:hint="eastAsia"/>
                <w:color w:val="auto"/>
              </w:rPr>
              <w:t>t/a。</w:t>
            </w:r>
          </w:p>
          <w:p w14:paraId="1EA01DA6">
            <w:pPr>
              <w:ind w:firstLine="480"/>
              <w:rPr>
                <w:rFonts w:hint="eastAsia" w:eastAsia="宋体"/>
                <w:color w:val="auto"/>
                <w:highlight w:val="none"/>
                <w:lang w:eastAsia="zh-CN"/>
              </w:rPr>
            </w:pPr>
            <w:r>
              <w:rPr>
                <w:rFonts w:hint="eastAsia"/>
                <w:color w:val="auto"/>
                <w:highlight w:val="none"/>
                <w:lang w:val="en-US" w:eastAsia="zh-CN"/>
              </w:rPr>
              <w:t>废包装材料</w:t>
            </w:r>
            <w:r>
              <w:rPr>
                <w:rFonts w:hint="eastAsia"/>
                <w:color w:val="auto"/>
                <w:highlight w:val="none"/>
                <w:lang w:eastAsia="zh-CN"/>
              </w:rPr>
              <w:t>：</w:t>
            </w:r>
            <w:r>
              <w:rPr>
                <w:rFonts w:hint="eastAsia"/>
                <w:color w:val="auto"/>
                <w:lang w:eastAsia="zh-CN"/>
              </w:rPr>
              <w:t>项目</w:t>
            </w:r>
            <w:r>
              <w:rPr>
                <w:rFonts w:hint="eastAsia"/>
                <w:color w:val="auto"/>
                <w:lang w:val="en-US" w:eastAsia="zh-CN"/>
              </w:rPr>
              <w:t>拆包</w:t>
            </w:r>
            <w:r>
              <w:rPr>
                <w:rFonts w:hint="eastAsia"/>
                <w:color w:val="auto"/>
                <w:lang w:eastAsia="zh-CN"/>
              </w:rPr>
              <w:t>过程中会产生</w:t>
            </w:r>
            <w:r>
              <w:rPr>
                <w:rFonts w:hint="eastAsia"/>
                <w:color w:val="auto"/>
                <w:highlight w:val="none"/>
                <w:lang w:val="en-US" w:eastAsia="zh-CN"/>
              </w:rPr>
              <w:t>废包装材料</w:t>
            </w:r>
            <w:r>
              <w:rPr>
                <w:rFonts w:hint="eastAsia"/>
                <w:color w:val="auto"/>
                <w:lang w:eastAsia="zh-CN"/>
              </w:rPr>
              <w:t>，</w:t>
            </w:r>
            <w:r>
              <w:rPr>
                <w:rFonts w:hint="eastAsia"/>
                <w:color w:val="auto"/>
              </w:rPr>
              <w:t>项目</w:t>
            </w:r>
            <w:r>
              <w:rPr>
                <w:rFonts w:hint="eastAsia"/>
                <w:color w:val="auto"/>
                <w:highlight w:val="none"/>
                <w:lang w:val="en-US" w:eastAsia="zh-CN"/>
              </w:rPr>
              <w:t>废包装材料</w:t>
            </w:r>
            <w:r>
              <w:rPr>
                <w:rFonts w:hint="eastAsia"/>
                <w:color w:val="auto"/>
              </w:rPr>
              <w:t>的产生量为</w:t>
            </w:r>
            <w:r>
              <w:rPr>
                <w:rFonts w:hint="eastAsia"/>
                <w:color w:val="auto"/>
                <w:lang w:val="en-US" w:eastAsia="zh-CN"/>
              </w:rPr>
              <w:t>5</w:t>
            </w:r>
            <w:r>
              <w:rPr>
                <w:rFonts w:hint="eastAsia"/>
                <w:color w:val="auto"/>
              </w:rPr>
              <w:t>t/a。</w:t>
            </w:r>
          </w:p>
          <w:p w14:paraId="22EC5D45">
            <w:pPr>
              <w:ind w:firstLine="480"/>
              <w:rPr>
                <w:rFonts w:hint="eastAsia"/>
                <w:color w:val="auto"/>
              </w:rPr>
            </w:pPr>
            <w:r>
              <w:rPr>
                <w:rFonts w:hint="eastAsia"/>
                <w:color w:val="auto"/>
                <w:highlight w:val="none"/>
                <w:lang w:val="en-US" w:eastAsia="zh-CN"/>
              </w:rPr>
              <w:t>布袋除尘器收集到的粉尘：根据项目废气源强核算结果，布袋除尘器收集到的粉尘量为59.64</w:t>
            </w:r>
            <w:r>
              <w:rPr>
                <w:rFonts w:hint="eastAsia"/>
                <w:color w:val="auto"/>
              </w:rPr>
              <w:t>t/a。</w:t>
            </w:r>
          </w:p>
          <w:p w14:paraId="567F8D6E">
            <w:pPr>
              <w:ind w:firstLine="480"/>
              <w:rPr>
                <w:rFonts w:hint="eastAsia"/>
                <w:color w:val="auto"/>
              </w:rPr>
            </w:pPr>
            <w:r>
              <w:rPr>
                <w:rFonts w:hint="default"/>
                <w:color w:val="auto"/>
                <w:lang w:val="en-US" w:eastAsia="zh-CN"/>
              </w:rPr>
              <w:t>废布袋</w:t>
            </w:r>
            <w:r>
              <w:rPr>
                <w:rFonts w:hint="eastAsia"/>
                <w:color w:val="auto"/>
                <w:lang w:val="en-US" w:eastAsia="zh-CN"/>
              </w:rPr>
              <w:t>：项目布袋每半年更换一次，每次更换量为0.4t，</w:t>
            </w:r>
            <w:r>
              <w:rPr>
                <w:rFonts w:hint="default"/>
                <w:color w:val="auto"/>
                <w:lang w:val="en-US" w:eastAsia="zh-CN"/>
              </w:rPr>
              <w:t>废布袋</w:t>
            </w:r>
            <w:r>
              <w:rPr>
                <w:rFonts w:hint="eastAsia"/>
                <w:color w:val="auto"/>
                <w:lang w:val="en-US" w:eastAsia="zh-CN"/>
              </w:rPr>
              <w:t>产生量为0.8</w:t>
            </w:r>
            <w:r>
              <w:rPr>
                <w:rFonts w:hint="eastAsia"/>
                <w:color w:val="auto"/>
              </w:rPr>
              <w:t>t/a。</w:t>
            </w:r>
          </w:p>
          <w:p w14:paraId="4B3FB38E">
            <w:pPr>
              <w:ind w:firstLine="480"/>
              <w:rPr>
                <w:rFonts w:hint="default"/>
                <w:color w:val="auto"/>
                <w:lang w:val="en-US" w:eastAsia="zh-CN"/>
              </w:rPr>
            </w:pPr>
            <w:r>
              <w:rPr>
                <w:rFonts w:hint="default"/>
                <w:color w:val="auto"/>
                <w:lang w:val="en-US" w:eastAsia="zh-CN"/>
              </w:rPr>
              <w:t>废钢丸</w:t>
            </w:r>
            <w:r>
              <w:rPr>
                <w:rFonts w:hint="eastAsia"/>
                <w:color w:val="auto"/>
                <w:lang w:val="en-US" w:eastAsia="zh-CN"/>
              </w:rPr>
              <w:t>：项目喷砂所用的钢丸每年更换一次，每次更换量为8t。</w:t>
            </w:r>
          </w:p>
          <w:p w14:paraId="2FD30511">
            <w:pPr>
              <w:ind w:firstLine="480"/>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）危险废物</w:t>
            </w:r>
          </w:p>
          <w:p w14:paraId="512D2159">
            <w:pPr>
              <w:ind w:firstLine="480"/>
              <w:rPr>
                <w:color w:val="auto"/>
                <w:highlight w:val="none"/>
              </w:rPr>
            </w:pPr>
            <w:r>
              <w:rPr>
                <w:rFonts w:hint="eastAsia"/>
                <w:color w:val="auto"/>
                <w:highlight w:val="none"/>
                <w:lang w:val="en-US" w:eastAsia="zh-CN"/>
              </w:rPr>
              <w:t>沾染危险化学品的废包装材料</w:t>
            </w:r>
            <w:r>
              <w:rPr>
                <w:rFonts w:hint="eastAsia"/>
                <w:color w:val="auto"/>
                <w:highlight w:val="none"/>
              </w:rPr>
              <w:t>：根据建设单位提供的资料，项目</w:t>
            </w:r>
            <w:r>
              <w:rPr>
                <w:rFonts w:hint="eastAsia"/>
                <w:color w:val="auto"/>
                <w:highlight w:val="none"/>
                <w:lang w:val="en-US" w:eastAsia="zh-CN"/>
              </w:rPr>
              <w:t>沾染危险化学品的废包装材料</w:t>
            </w:r>
            <w:r>
              <w:rPr>
                <w:rFonts w:hint="eastAsia"/>
                <w:color w:val="auto"/>
                <w:highlight w:val="none"/>
              </w:rPr>
              <w:t>产生量为</w:t>
            </w:r>
            <w:r>
              <w:rPr>
                <w:rFonts w:hint="eastAsia"/>
                <w:color w:val="auto"/>
                <w:highlight w:val="none"/>
                <w:lang w:val="en-US" w:eastAsia="zh-CN"/>
              </w:rPr>
              <w:t>1</w:t>
            </w:r>
            <w:r>
              <w:rPr>
                <w:rFonts w:hint="eastAsia"/>
                <w:color w:val="auto"/>
                <w:highlight w:val="none"/>
              </w:rPr>
              <w:t>t/a。</w:t>
            </w:r>
          </w:p>
          <w:p w14:paraId="4C07D6FB">
            <w:pPr>
              <w:ind w:firstLine="480"/>
              <w:rPr>
                <w:color w:val="auto"/>
                <w:highlight w:val="none"/>
              </w:rPr>
            </w:pPr>
            <w:r>
              <w:rPr>
                <w:rFonts w:hint="eastAsia"/>
                <w:color w:val="auto"/>
                <w:highlight w:val="none"/>
              </w:rPr>
              <w:t>废活性炭：</w:t>
            </w:r>
            <w:r>
              <w:rPr>
                <w:rFonts w:hint="eastAsia" w:ascii="Times New Roman" w:hAnsi="Times New Roman" w:eastAsia="宋体" w:cs="Times New Roman"/>
                <w:bCs/>
                <w:color w:val="auto"/>
                <w:sz w:val="24"/>
                <w:szCs w:val="24"/>
                <w:lang w:val="en-US" w:eastAsia="zh-CN"/>
              </w:rPr>
              <w:t>根据废气污染源强核算，经活性炭吸附的有机废气量5.52t/a，按照1t活性炭可以吸附0.3t有机废气计算，则废活性炭产生量为18.393t/a</w:t>
            </w:r>
            <w:r>
              <w:rPr>
                <w:rFonts w:hint="eastAsia"/>
                <w:color w:val="auto"/>
                <w:highlight w:val="none"/>
              </w:rPr>
              <w:t>。</w:t>
            </w:r>
          </w:p>
          <w:p w14:paraId="0162B41D">
            <w:pPr>
              <w:ind w:firstLine="480"/>
              <w:rPr>
                <w:color w:val="auto"/>
                <w:highlight w:val="none"/>
              </w:rPr>
            </w:pPr>
            <w:r>
              <w:rPr>
                <w:rFonts w:hint="eastAsia"/>
                <w:color w:val="auto"/>
                <w:highlight w:val="none"/>
                <w:lang w:val="en-US" w:eastAsia="zh-CN"/>
              </w:rPr>
              <w:t>废润滑油</w:t>
            </w:r>
            <w:r>
              <w:rPr>
                <w:rFonts w:hint="eastAsia"/>
                <w:color w:val="auto"/>
                <w:highlight w:val="none"/>
              </w:rPr>
              <w:t>：</w:t>
            </w:r>
            <w:r>
              <w:rPr>
                <w:rFonts w:hint="eastAsia"/>
                <w:color w:val="auto"/>
                <w:sz w:val="24"/>
              </w:rPr>
              <w:t>本项目设备维修维保过程会产生废润滑油，产生量约为</w:t>
            </w:r>
            <w:r>
              <w:rPr>
                <w:rFonts w:hint="eastAsia"/>
                <w:color w:val="auto"/>
                <w:sz w:val="24"/>
                <w:lang w:val="en-US" w:eastAsia="zh-CN"/>
              </w:rPr>
              <w:t>5</w:t>
            </w:r>
            <w:r>
              <w:rPr>
                <w:rFonts w:hint="eastAsia"/>
                <w:color w:val="auto"/>
                <w:sz w:val="24"/>
              </w:rPr>
              <w:t>t/a</w:t>
            </w:r>
            <w:r>
              <w:rPr>
                <w:rFonts w:hint="eastAsia"/>
                <w:color w:val="auto"/>
                <w:highlight w:val="none"/>
              </w:rPr>
              <w:t>。</w:t>
            </w:r>
          </w:p>
          <w:p w14:paraId="0994BB0D">
            <w:pPr>
              <w:ind w:firstLine="482"/>
              <w:rPr>
                <w:rFonts w:hint="default" w:eastAsia="宋体"/>
                <w:b w:val="0"/>
                <w:bCs w:val="0"/>
                <w:color w:val="auto"/>
                <w:lang w:val="en-US" w:eastAsia="zh-CN"/>
              </w:rPr>
            </w:pPr>
            <w:r>
              <w:rPr>
                <w:rFonts w:hint="eastAsia"/>
                <w:color w:val="auto"/>
                <w:highlight w:val="none"/>
                <w:lang w:val="en-US" w:eastAsia="zh-CN"/>
              </w:rPr>
              <w:t>废润滑油桶</w:t>
            </w:r>
            <w:r>
              <w:rPr>
                <w:rFonts w:hint="eastAsia"/>
                <w:b w:val="0"/>
                <w:bCs w:val="0"/>
                <w:color w:val="auto"/>
                <w:lang w:eastAsia="zh-CN"/>
              </w:rPr>
              <w:t>：</w:t>
            </w:r>
            <w:r>
              <w:rPr>
                <w:rFonts w:hint="eastAsia"/>
                <w:bCs/>
                <w:color w:val="auto"/>
                <w:sz w:val="24"/>
              </w:rPr>
              <w:t>本项目润滑油使用过程会产生</w:t>
            </w:r>
            <w:r>
              <w:rPr>
                <w:rFonts w:hint="eastAsia"/>
                <w:color w:val="auto"/>
                <w:highlight w:val="none"/>
                <w:lang w:val="en-US" w:eastAsia="zh-CN"/>
              </w:rPr>
              <w:t>废润滑油桶</w:t>
            </w:r>
            <w:r>
              <w:rPr>
                <w:rFonts w:hint="eastAsia"/>
                <w:bCs/>
                <w:color w:val="auto"/>
                <w:sz w:val="24"/>
              </w:rPr>
              <w:t>，产生量约为0.</w:t>
            </w:r>
            <w:r>
              <w:rPr>
                <w:rFonts w:hint="eastAsia"/>
                <w:bCs/>
                <w:color w:val="auto"/>
                <w:sz w:val="24"/>
                <w:lang w:val="en-US" w:eastAsia="zh-CN"/>
              </w:rPr>
              <w:t>5</w:t>
            </w:r>
            <w:r>
              <w:rPr>
                <w:rFonts w:hint="eastAsia"/>
                <w:bCs/>
                <w:color w:val="auto"/>
                <w:sz w:val="24"/>
              </w:rPr>
              <w:t>t/a</w:t>
            </w:r>
            <w:r>
              <w:rPr>
                <w:rFonts w:hint="eastAsia"/>
                <w:color w:val="auto"/>
                <w:highlight w:val="none"/>
              </w:rPr>
              <w:t>。</w:t>
            </w:r>
          </w:p>
          <w:p w14:paraId="4AC6A1CF">
            <w:pPr>
              <w:ind w:firstLine="482"/>
              <w:rPr>
                <w:color w:val="auto"/>
              </w:rPr>
            </w:pPr>
            <w:r>
              <w:rPr>
                <w:rFonts w:hint="eastAsia"/>
                <w:b/>
                <w:bCs/>
                <w:color w:val="auto"/>
              </w:rPr>
              <w:t>②固体废物环境管理要求</w:t>
            </w:r>
          </w:p>
          <w:p w14:paraId="345932D4">
            <w:pPr>
              <w:widowControl/>
              <w:ind w:firstLine="480" w:firstLineChars="200"/>
              <w:rPr>
                <w:color w:val="auto"/>
                <w:szCs w:val="22"/>
              </w:rPr>
            </w:pPr>
            <w:r>
              <w:rPr>
                <w:rFonts w:hint="eastAsia" w:ascii="Calibri" w:hAnsi="Calibri" w:cs="Arial"/>
                <w:color w:val="auto"/>
                <w:szCs w:val="22"/>
              </w:rPr>
              <w:t>为</w:t>
            </w:r>
            <w:r>
              <w:rPr>
                <w:rFonts w:hAnsi="Calibri"/>
                <w:color w:val="auto"/>
                <w:szCs w:val="22"/>
              </w:rPr>
              <w:t>确保项目</w:t>
            </w:r>
            <w:r>
              <w:rPr>
                <w:rFonts w:hint="eastAsia" w:hAnsi="Calibri"/>
                <w:color w:val="auto"/>
                <w:szCs w:val="22"/>
              </w:rPr>
              <w:t>固体</w:t>
            </w:r>
            <w:r>
              <w:rPr>
                <w:rFonts w:hAnsi="Calibri"/>
                <w:color w:val="auto"/>
                <w:szCs w:val="22"/>
              </w:rPr>
              <w:t>废物的安全处置，</w:t>
            </w:r>
            <w:r>
              <w:rPr>
                <w:rFonts w:hint="eastAsia" w:hAnsi="Calibri"/>
                <w:color w:val="auto"/>
                <w:szCs w:val="22"/>
              </w:rPr>
              <w:t>危险废物按</w:t>
            </w:r>
            <w:r>
              <w:rPr>
                <w:rFonts w:hAnsi="Calibri"/>
                <w:color w:val="auto"/>
                <w:szCs w:val="22"/>
              </w:rPr>
              <w:t>《危险废物贮存污染控制标准》（</w:t>
            </w:r>
            <w:r>
              <w:rPr>
                <w:color w:val="auto"/>
                <w:szCs w:val="22"/>
              </w:rPr>
              <w:t>GB18597-20</w:t>
            </w:r>
            <w:r>
              <w:rPr>
                <w:rFonts w:hint="eastAsia"/>
                <w:color w:val="auto"/>
                <w:szCs w:val="22"/>
                <w:lang w:val="en-US" w:eastAsia="zh-CN"/>
              </w:rPr>
              <w:t>23</w:t>
            </w:r>
            <w:r>
              <w:rPr>
                <w:rFonts w:hAnsi="Calibri"/>
                <w:color w:val="auto"/>
                <w:szCs w:val="22"/>
              </w:rPr>
              <w:t>）</w:t>
            </w:r>
            <w:r>
              <w:rPr>
                <w:rFonts w:hint="eastAsia" w:hAnsi="Calibri"/>
                <w:color w:val="auto"/>
                <w:szCs w:val="22"/>
              </w:rPr>
              <w:t>的要求进行贮存，一般工业固废按《一般工业固体废物贮存和填埋污染控制标准》（GB18599-2020）的</w:t>
            </w:r>
            <w:r>
              <w:rPr>
                <w:rFonts w:hAnsi="Calibri"/>
                <w:color w:val="auto"/>
                <w:szCs w:val="22"/>
              </w:rPr>
              <w:t>要求</w:t>
            </w:r>
            <w:r>
              <w:rPr>
                <w:rFonts w:hint="eastAsia" w:hAnsi="Calibri"/>
                <w:color w:val="auto"/>
                <w:szCs w:val="22"/>
              </w:rPr>
              <w:t>进行贮存。</w:t>
            </w:r>
            <w:r>
              <w:rPr>
                <w:color w:val="auto"/>
              </w:rPr>
              <w:t>项目</w:t>
            </w:r>
            <w:r>
              <w:rPr>
                <w:rFonts w:hint="eastAsia"/>
                <w:color w:val="auto"/>
              </w:rPr>
              <w:t>拟</w:t>
            </w:r>
            <w:r>
              <w:rPr>
                <w:color w:val="auto"/>
              </w:rPr>
              <w:t>建设危废暂存间一座，建筑面积约</w:t>
            </w:r>
            <w:r>
              <w:rPr>
                <w:rFonts w:hint="eastAsia"/>
                <w:color w:val="auto"/>
                <w:lang w:val="en-US" w:eastAsia="zh-CN"/>
              </w:rPr>
              <w:t>2</w:t>
            </w:r>
            <w:r>
              <w:rPr>
                <w:rFonts w:hint="eastAsia"/>
                <w:color w:val="auto"/>
              </w:rPr>
              <w:t>0</w:t>
            </w:r>
            <w:r>
              <w:rPr>
                <w:color w:val="auto"/>
              </w:rPr>
              <w:t>m</w:t>
            </w:r>
            <w:r>
              <w:rPr>
                <w:color w:val="auto"/>
                <w:vertAlign w:val="superscript"/>
              </w:rPr>
              <w:t>2</w:t>
            </w:r>
            <w:r>
              <w:rPr>
                <w:color w:val="auto"/>
              </w:rPr>
              <w:t>，贮存能力约</w:t>
            </w:r>
            <w:r>
              <w:rPr>
                <w:rFonts w:hint="eastAsia"/>
                <w:color w:val="auto"/>
                <w:lang w:val="en-US" w:eastAsia="zh-CN"/>
              </w:rPr>
              <w:t>2</w:t>
            </w:r>
            <w:r>
              <w:rPr>
                <w:color w:val="auto"/>
              </w:rPr>
              <w:t>0吨</w:t>
            </w:r>
            <w:r>
              <w:rPr>
                <w:rFonts w:hint="eastAsia"/>
                <w:color w:val="auto"/>
              </w:rPr>
              <w:t>，</w:t>
            </w:r>
            <w:r>
              <w:rPr>
                <w:rFonts w:hAnsi="Calibri"/>
                <w:color w:val="auto"/>
                <w:szCs w:val="22"/>
              </w:rPr>
              <w:t>危废暂存间应采取以下措施：</w:t>
            </w:r>
          </w:p>
          <w:p w14:paraId="41F9ADD6">
            <w:pPr>
              <w:widowControl/>
              <w:ind w:firstLine="480" w:firstLineChars="200"/>
              <w:rPr>
                <w:color w:val="auto"/>
                <w:szCs w:val="22"/>
              </w:rPr>
            </w:pPr>
            <w:r>
              <w:rPr>
                <w:rFonts w:hint="eastAsia" w:ascii="宋体" w:hAnsi="宋体" w:cs="宋体"/>
                <w:color w:val="auto"/>
                <w:szCs w:val="22"/>
              </w:rPr>
              <w:t>①</w:t>
            </w:r>
            <w:r>
              <w:rPr>
                <w:rFonts w:hAnsi="Calibri"/>
                <w:color w:val="auto"/>
                <w:szCs w:val="22"/>
              </w:rPr>
              <w:t>在暂存间外的明显处设置危险废物的警示标识；</w:t>
            </w:r>
          </w:p>
          <w:p w14:paraId="713D6A90">
            <w:pPr>
              <w:widowControl/>
              <w:ind w:firstLine="480" w:firstLineChars="200"/>
              <w:rPr>
                <w:color w:val="auto"/>
                <w:szCs w:val="22"/>
              </w:rPr>
            </w:pPr>
            <w:r>
              <w:rPr>
                <w:rFonts w:hint="eastAsia" w:ascii="宋体" w:hAnsi="宋体" w:cs="宋体"/>
                <w:color w:val="auto"/>
                <w:szCs w:val="22"/>
              </w:rPr>
              <w:t>②</w:t>
            </w:r>
            <w:r>
              <w:rPr>
                <w:rFonts w:hAnsi="Calibri"/>
                <w:color w:val="auto"/>
                <w:szCs w:val="22"/>
              </w:rPr>
              <w:t>基础必须防渗，防渗层至少为</w:t>
            </w:r>
            <w:r>
              <w:rPr>
                <w:color w:val="auto"/>
                <w:szCs w:val="22"/>
              </w:rPr>
              <w:t>1m</w:t>
            </w:r>
            <w:r>
              <w:rPr>
                <w:rFonts w:hAnsi="Calibri"/>
                <w:color w:val="auto"/>
                <w:szCs w:val="22"/>
              </w:rPr>
              <w:t>厚粘土，或</w:t>
            </w:r>
            <w:r>
              <w:rPr>
                <w:color w:val="auto"/>
                <w:szCs w:val="22"/>
              </w:rPr>
              <w:t>2mm</w:t>
            </w:r>
            <w:r>
              <w:rPr>
                <w:rFonts w:hAnsi="Calibri"/>
                <w:color w:val="auto"/>
                <w:szCs w:val="22"/>
              </w:rPr>
              <w:t>厚高密度乙烯，或至少</w:t>
            </w:r>
            <w:r>
              <w:rPr>
                <w:color w:val="auto"/>
                <w:szCs w:val="22"/>
              </w:rPr>
              <w:t>2mm</w:t>
            </w:r>
            <w:r>
              <w:rPr>
                <w:rFonts w:hAnsi="Calibri"/>
                <w:color w:val="auto"/>
                <w:szCs w:val="22"/>
              </w:rPr>
              <w:t>厚的其他人工材料，渗透系数</w:t>
            </w:r>
            <w:r>
              <w:rPr>
                <w:color w:val="auto"/>
                <w:szCs w:val="22"/>
              </w:rPr>
              <w:t>≤10</w:t>
            </w:r>
            <w:r>
              <w:rPr>
                <w:color w:val="auto"/>
                <w:szCs w:val="22"/>
                <w:vertAlign w:val="superscript"/>
              </w:rPr>
              <w:t>-10</w:t>
            </w:r>
            <w:r>
              <w:rPr>
                <w:color w:val="auto"/>
                <w:szCs w:val="22"/>
              </w:rPr>
              <w:t>cm/s</w:t>
            </w:r>
            <w:r>
              <w:rPr>
                <w:rFonts w:hAnsi="Calibri"/>
                <w:color w:val="auto"/>
                <w:szCs w:val="22"/>
              </w:rPr>
              <w:t>；</w:t>
            </w:r>
          </w:p>
          <w:p w14:paraId="657B686F">
            <w:pPr>
              <w:widowControl/>
              <w:ind w:firstLine="480" w:firstLineChars="200"/>
              <w:rPr>
                <w:color w:val="auto"/>
                <w:szCs w:val="22"/>
              </w:rPr>
            </w:pPr>
            <w:r>
              <w:rPr>
                <w:rFonts w:hint="eastAsia" w:ascii="宋体" w:hAnsi="宋体" w:cs="宋体"/>
                <w:color w:val="auto"/>
                <w:szCs w:val="22"/>
              </w:rPr>
              <w:t>③</w:t>
            </w:r>
            <w:r>
              <w:rPr>
                <w:rFonts w:hAnsi="Calibri"/>
                <w:color w:val="auto"/>
                <w:szCs w:val="22"/>
              </w:rPr>
              <w:t>不相容的危险废物必须分类收集，分开存放，并设有隔离间隔断；</w:t>
            </w:r>
          </w:p>
          <w:p w14:paraId="04782B70">
            <w:pPr>
              <w:ind w:firstLine="480" w:firstLineChars="200"/>
              <w:rPr>
                <w:color w:val="auto"/>
              </w:rPr>
            </w:pPr>
            <w:r>
              <w:rPr>
                <w:rFonts w:hint="eastAsia" w:ascii="宋体" w:hAnsi="宋体" w:cs="宋体"/>
                <w:color w:val="auto"/>
                <w:kern w:val="0"/>
              </w:rPr>
              <w:t>④</w:t>
            </w:r>
            <w:r>
              <w:rPr>
                <w:color w:val="auto"/>
                <w:kern w:val="0"/>
              </w:rPr>
              <w:t>应建有堵截泄漏的裙脚，地面与裙脚要用坚固防渗的材料建造。地基高度应确保设施内不受雨洪冲击或浸泡；应有隔离设施、报警装置和防风、防晒、防雨设施</w:t>
            </w:r>
            <w:r>
              <w:rPr>
                <w:rFonts w:hint="eastAsia"/>
                <w:color w:val="auto"/>
                <w:kern w:val="0"/>
              </w:rPr>
              <w:t>。</w:t>
            </w:r>
          </w:p>
          <w:p w14:paraId="5E579C5F">
            <w:pPr>
              <w:ind w:firstLine="480" w:firstLineChars="200"/>
              <w:jc w:val="left"/>
              <w:rPr>
                <w:color w:val="auto"/>
              </w:rPr>
            </w:pPr>
            <w:r>
              <w:rPr>
                <w:color w:val="auto"/>
              </w:rPr>
              <w:t>根据中华人民共和国国务院令第344号《危险化学品安全管理条例》的有关规定，在危险废弃物外运至处置单位时必须严格遵守以下要求：</w:t>
            </w:r>
          </w:p>
          <w:p w14:paraId="4D5F72B6">
            <w:pPr>
              <w:ind w:firstLine="480" w:firstLineChars="200"/>
              <w:rPr>
                <w:color w:val="auto"/>
              </w:rPr>
            </w:pPr>
            <w:r>
              <w:rPr>
                <w:color w:val="auto"/>
              </w:rPr>
              <w:t>①做好每次外运处置废弃物的运输登记，按照危险废物转移规定开展网上申报。</w:t>
            </w:r>
          </w:p>
          <w:p w14:paraId="69BB0C57">
            <w:pPr>
              <w:ind w:firstLine="480" w:firstLineChars="200"/>
              <w:rPr>
                <w:color w:val="auto"/>
              </w:rPr>
            </w:pPr>
            <w:r>
              <w:rPr>
                <w:color w:val="auto"/>
              </w:rPr>
              <w:t>②废弃物处置单位的运输人员必须掌握危险化学品运输的安全知识，了解所运载的危险化学品的性质、危害特性、包装容器的使用特性和发生意外时的应急措施。运输车辆必须具有车辆危险货物运输许可证。驾驶人员必须由取得驾驶执照的熟练人员担任。</w:t>
            </w:r>
          </w:p>
          <w:p w14:paraId="0B315C50">
            <w:pPr>
              <w:ind w:firstLine="480" w:firstLineChars="200"/>
              <w:rPr>
                <w:color w:val="auto"/>
              </w:rPr>
            </w:pPr>
            <w:r>
              <w:rPr>
                <w:color w:val="auto"/>
              </w:rPr>
              <w:t>③处置单位在运输危险废弃物时必须配备押运人员，并随时处于押运人员的监管之下，不得超装、超载，严格按照所在城市规定的行车时间和行车路线行驶，不得进入危险化学品运输车辆禁止通行的区域。</w:t>
            </w:r>
          </w:p>
          <w:p w14:paraId="550A535F">
            <w:pPr>
              <w:ind w:firstLine="480" w:firstLineChars="200"/>
              <w:rPr>
                <w:color w:val="auto"/>
              </w:rPr>
            </w:pPr>
            <w:r>
              <w:rPr>
                <w:color w:val="auto"/>
              </w:rPr>
              <w:t>④危险废弃物在运输途中若发生被盗、丢失、流散、泄漏等情况时，公司及押运人员必须立即向当地公安部门报告，并采取一切可能的警示措施。</w:t>
            </w:r>
          </w:p>
          <w:p w14:paraId="518ED98B">
            <w:pPr>
              <w:ind w:firstLine="480" w:firstLineChars="200"/>
              <w:rPr>
                <w:color w:val="auto"/>
              </w:rPr>
            </w:pPr>
            <w:r>
              <w:rPr>
                <w:color w:val="auto"/>
              </w:rPr>
              <w:t>⑤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等措施，并对事故造成的危害进行监测、处置，直至符合国家环境保护标准</w:t>
            </w:r>
            <w:r>
              <w:rPr>
                <w:rFonts w:hint="eastAsia"/>
                <w:color w:val="auto"/>
              </w:rPr>
              <w:t>。</w:t>
            </w:r>
          </w:p>
          <w:p w14:paraId="455A9028">
            <w:pPr>
              <w:ind w:firstLine="480" w:firstLineChars="200"/>
              <w:rPr>
                <w:rFonts w:hint="eastAsia"/>
                <w:color w:val="auto"/>
              </w:rPr>
            </w:pPr>
            <w:r>
              <w:rPr>
                <w:color w:val="auto"/>
              </w:rPr>
              <w:t>综上所述，通过以上措施，本项目产生的固体废物均得到了妥善处置和利用，对周围环境及人体不会造成影响，亦不会造成二次污染。</w:t>
            </w:r>
          </w:p>
          <w:p w14:paraId="3A511BB7">
            <w:pPr>
              <w:numPr>
                <w:ilvl w:val="0"/>
                <w:numId w:val="8"/>
              </w:numPr>
              <w:ind w:firstLine="0" w:firstLineChars="0"/>
              <w:rPr>
                <w:rFonts w:hint="eastAsia"/>
                <w:b/>
                <w:bCs/>
                <w:color w:val="auto"/>
              </w:rPr>
            </w:pPr>
            <w:r>
              <w:rPr>
                <w:rFonts w:hint="eastAsia"/>
                <w:b/>
                <w:bCs/>
                <w:color w:val="auto"/>
              </w:rPr>
              <w:t>土壤及地下水</w:t>
            </w:r>
          </w:p>
          <w:p w14:paraId="49B92B50">
            <w:pPr>
              <w:ind w:firstLine="480"/>
              <w:rPr>
                <w:rFonts w:hint="eastAsia"/>
                <w:color w:val="auto"/>
              </w:rPr>
            </w:pPr>
            <w:r>
              <w:rPr>
                <w:rFonts w:hint="eastAsia"/>
                <w:color w:val="auto"/>
                <w:lang w:eastAsia="zh-CN"/>
              </w:rPr>
              <w:t>项目使用液体原辅料均为桶装，且均置于塑料托盘上，密闭存放于仓库中；产生的危险废物桶装后存放于危废暂存间。项目建成后危废暂存间、</w:t>
            </w:r>
            <w:r>
              <w:rPr>
                <w:rFonts w:hint="eastAsia"/>
                <w:color w:val="auto"/>
                <w:lang w:val="en-US" w:eastAsia="zh-CN"/>
              </w:rPr>
              <w:t>硫磺防爆间、辅料库房</w:t>
            </w:r>
            <w:r>
              <w:rPr>
                <w:rFonts w:hint="eastAsia"/>
                <w:color w:val="auto"/>
                <w:lang w:eastAsia="zh-CN"/>
              </w:rPr>
              <w:t>均采取严格的防渗漏、防渗措施。</w:t>
            </w:r>
            <w:r>
              <w:rPr>
                <w:rFonts w:hint="eastAsia"/>
                <w:color w:val="auto"/>
              </w:rPr>
              <w:t>项目危废暂存间、车间厂房、一般固废暂存库等均按分区进行防渗处理，</w:t>
            </w:r>
            <w:r>
              <w:rPr>
                <w:rFonts w:hint="eastAsia"/>
                <w:color w:val="auto"/>
                <w:lang w:eastAsia="zh-CN"/>
              </w:rPr>
              <w:t>具体要求如下</w:t>
            </w:r>
            <w:r>
              <w:rPr>
                <w:rFonts w:hint="eastAsia"/>
                <w:color w:val="auto"/>
              </w:rPr>
              <w:t>。</w:t>
            </w:r>
          </w:p>
          <w:p w14:paraId="2D7BC4AD">
            <w:pPr>
              <w:ind w:firstLine="0" w:firstLineChars="0"/>
              <w:jc w:val="center"/>
              <w:rPr>
                <w:b/>
                <w:color w:val="auto"/>
                <w:kern w:val="0"/>
                <w:szCs w:val="21"/>
              </w:rPr>
            </w:pPr>
            <w:r>
              <w:rPr>
                <w:rFonts w:hint="eastAsia"/>
                <w:b/>
                <w:bCs/>
                <w:color w:val="auto"/>
              </w:rPr>
              <w:t>表</w:t>
            </w:r>
            <w:r>
              <w:rPr>
                <w:rFonts w:hint="eastAsia"/>
                <w:b/>
                <w:bCs/>
                <w:color w:val="auto"/>
                <w:lang w:val="en-US" w:eastAsia="zh-CN"/>
              </w:rPr>
              <w:t>4-13</w:t>
            </w:r>
            <w:r>
              <w:rPr>
                <w:rFonts w:hint="eastAsia"/>
                <w:b/>
                <w:bCs/>
                <w:color w:val="auto"/>
              </w:rPr>
              <w:t xml:space="preserve"> 项目分区防渗情况一览表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891"/>
              <w:gridCol w:w="2200"/>
              <w:gridCol w:w="4133"/>
            </w:tblGrid>
            <w:tr w14:paraId="06BC8E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22" w:type="dxa"/>
                  <w:tcBorders>
                    <w:bottom w:val="single" w:color="auto" w:sz="4" w:space="0"/>
                    <w:right w:val="single" w:color="auto" w:sz="4" w:space="0"/>
                  </w:tcBorders>
                  <w:noWrap w:val="0"/>
                  <w:vAlign w:val="center"/>
                </w:tcPr>
                <w:p w14:paraId="1B9D2F15">
                  <w:pPr>
                    <w:widowControl/>
                    <w:autoSpaceDN w:val="0"/>
                    <w:adjustRightInd w:val="0"/>
                    <w:snapToGrid w:val="0"/>
                    <w:spacing w:line="240" w:lineRule="auto"/>
                    <w:jc w:val="center"/>
                    <w:rPr>
                      <w:b/>
                      <w:bCs/>
                      <w:color w:val="auto"/>
                      <w:sz w:val="21"/>
                      <w:szCs w:val="21"/>
                    </w:rPr>
                  </w:pPr>
                  <w:r>
                    <w:rPr>
                      <w:b/>
                      <w:bCs/>
                      <w:color w:val="auto"/>
                      <w:sz w:val="21"/>
                      <w:szCs w:val="21"/>
                    </w:rPr>
                    <w:t>装置、单元名称</w:t>
                  </w:r>
                </w:p>
              </w:tc>
              <w:tc>
                <w:tcPr>
                  <w:tcW w:w="2243" w:type="dxa"/>
                  <w:tcBorders>
                    <w:left w:val="single" w:color="auto" w:sz="4" w:space="0"/>
                    <w:bottom w:val="single" w:color="auto" w:sz="4" w:space="0"/>
                    <w:right w:val="single" w:color="auto" w:sz="4" w:space="0"/>
                  </w:tcBorders>
                  <w:noWrap w:val="0"/>
                  <w:vAlign w:val="center"/>
                </w:tcPr>
                <w:p w14:paraId="541952EF">
                  <w:pPr>
                    <w:widowControl/>
                    <w:autoSpaceDN w:val="0"/>
                    <w:adjustRightInd w:val="0"/>
                    <w:snapToGrid w:val="0"/>
                    <w:spacing w:line="240" w:lineRule="auto"/>
                    <w:jc w:val="center"/>
                    <w:rPr>
                      <w:b/>
                      <w:bCs/>
                      <w:color w:val="auto"/>
                      <w:sz w:val="21"/>
                      <w:szCs w:val="21"/>
                    </w:rPr>
                  </w:pPr>
                  <w:r>
                    <w:rPr>
                      <w:b/>
                      <w:bCs/>
                      <w:color w:val="auto"/>
                      <w:sz w:val="21"/>
                      <w:szCs w:val="21"/>
                    </w:rPr>
                    <w:t>污染防治区类别</w:t>
                  </w:r>
                </w:p>
              </w:tc>
              <w:tc>
                <w:tcPr>
                  <w:tcW w:w="4186" w:type="dxa"/>
                  <w:tcBorders>
                    <w:left w:val="single" w:color="auto" w:sz="4" w:space="0"/>
                    <w:bottom w:val="single" w:color="auto" w:sz="4" w:space="0"/>
                    <w:right w:val="single" w:color="auto" w:sz="4" w:space="0"/>
                  </w:tcBorders>
                  <w:noWrap w:val="0"/>
                  <w:vAlign w:val="center"/>
                </w:tcPr>
                <w:p w14:paraId="4829E0F8">
                  <w:pPr>
                    <w:widowControl/>
                    <w:autoSpaceDN w:val="0"/>
                    <w:adjustRightInd w:val="0"/>
                    <w:snapToGrid w:val="0"/>
                    <w:spacing w:line="240" w:lineRule="auto"/>
                    <w:jc w:val="center"/>
                    <w:rPr>
                      <w:b/>
                      <w:bCs/>
                      <w:color w:val="auto"/>
                      <w:sz w:val="21"/>
                      <w:szCs w:val="21"/>
                    </w:rPr>
                  </w:pPr>
                  <w:r>
                    <w:rPr>
                      <w:b/>
                      <w:bCs/>
                      <w:color w:val="auto"/>
                      <w:sz w:val="21"/>
                      <w:szCs w:val="21"/>
                    </w:rPr>
                    <w:t>防渗设计要求</w:t>
                  </w:r>
                </w:p>
              </w:tc>
            </w:tr>
            <w:tr w14:paraId="14713E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22" w:type="dxa"/>
                  <w:tcBorders>
                    <w:top w:val="single" w:color="auto" w:sz="4" w:space="0"/>
                    <w:bottom w:val="single" w:color="auto" w:sz="4" w:space="0"/>
                    <w:right w:val="single" w:color="auto" w:sz="4" w:space="0"/>
                  </w:tcBorders>
                  <w:noWrap w:val="0"/>
                  <w:vAlign w:val="center"/>
                </w:tcPr>
                <w:p w14:paraId="0EF8ADB7">
                  <w:pPr>
                    <w:widowControl/>
                    <w:autoSpaceDN w:val="0"/>
                    <w:adjustRightInd w:val="0"/>
                    <w:snapToGrid w:val="0"/>
                    <w:spacing w:line="240" w:lineRule="auto"/>
                    <w:jc w:val="center"/>
                    <w:rPr>
                      <w:rFonts w:hint="eastAsia" w:eastAsia="宋体"/>
                      <w:color w:val="auto"/>
                      <w:sz w:val="21"/>
                      <w:szCs w:val="21"/>
                      <w:lang w:eastAsia="zh-CN"/>
                    </w:rPr>
                  </w:pPr>
                  <w:r>
                    <w:rPr>
                      <w:rFonts w:hint="eastAsia"/>
                      <w:color w:val="auto"/>
                      <w:sz w:val="21"/>
                      <w:szCs w:val="21"/>
                    </w:rPr>
                    <w:t>危废暂存间</w:t>
                  </w:r>
                  <w:r>
                    <w:rPr>
                      <w:rFonts w:hint="eastAsia"/>
                      <w:color w:val="auto"/>
                      <w:sz w:val="21"/>
                      <w:szCs w:val="21"/>
                      <w:lang w:eastAsia="zh-CN"/>
                    </w:rPr>
                    <w:t>、</w:t>
                  </w:r>
                  <w:r>
                    <w:rPr>
                      <w:rFonts w:hint="eastAsia"/>
                      <w:color w:val="auto"/>
                      <w:sz w:val="21"/>
                      <w:szCs w:val="21"/>
                      <w:lang w:val="en-US" w:eastAsia="zh-CN"/>
                    </w:rPr>
                    <w:t>硫磺防爆间、辅料库房</w:t>
                  </w:r>
                </w:p>
              </w:tc>
              <w:tc>
                <w:tcPr>
                  <w:tcW w:w="2243" w:type="dxa"/>
                  <w:tcBorders>
                    <w:top w:val="single" w:color="auto" w:sz="4" w:space="0"/>
                    <w:left w:val="single" w:color="auto" w:sz="4" w:space="0"/>
                    <w:bottom w:val="single" w:color="auto" w:sz="4" w:space="0"/>
                    <w:right w:val="single" w:color="auto" w:sz="4" w:space="0"/>
                  </w:tcBorders>
                  <w:noWrap w:val="0"/>
                  <w:vAlign w:val="center"/>
                </w:tcPr>
                <w:p w14:paraId="7D7AB315">
                  <w:pPr>
                    <w:widowControl/>
                    <w:autoSpaceDN w:val="0"/>
                    <w:adjustRightInd w:val="0"/>
                    <w:snapToGrid w:val="0"/>
                    <w:spacing w:line="240" w:lineRule="auto"/>
                    <w:jc w:val="center"/>
                    <w:rPr>
                      <w:color w:val="auto"/>
                      <w:sz w:val="21"/>
                      <w:szCs w:val="21"/>
                    </w:rPr>
                  </w:pPr>
                  <w:r>
                    <w:rPr>
                      <w:color w:val="auto"/>
                      <w:sz w:val="21"/>
                      <w:szCs w:val="21"/>
                    </w:rPr>
                    <w:t>重点防渗区</w:t>
                  </w:r>
                </w:p>
              </w:tc>
              <w:tc>
                <w:tcPr>
                  <w:tcW w:w="4186" w:type="dxa"/>
                  <w:tcBorders>
                    <w:top w:val="single" w:color="auto" w:sz="4" w:space="0"/>
                    <w:left w:val="single" w:color="auto" w:sz="4" w:space="0"/>
                    <w:bottom w:val="single" w:color="auto" w:sz="4" w:space="0"/>
                    <w:right w:val="single" w:color="auto" w:sz="4" w:space="0"/>
                  </w:tcBorders>
                  <w:noWrap w:val="0"/>
                  <w:vAlign w:val="center"/>
                </w:tcPr>
                <w:p w14:paraId="70C914B7">
                  <w:pPr>
                    <w:widowControl/>
                    <w:adjustRightInd w:val="0"/>
                    <w:snapToGrid w:val="0"/>
                    <w:spacing w:line="240" w:lineRule="auto"/>
                    <w:jc w:val="center"/>
                    <w:rPr>
                      <w:color w:val="auto"/>
                      <w:kern w:val="0"/>
                      <w:sz w:val="21"/>
                      <w:szCs w:val="18"/>
                    </w:rPr>
                  </w:pPr>
                  <w:r>
                    <w:rPr>
                      <w:color w:val="auto"/>
                      <w:sz w:val="21"/>
                      <w:szCs w:val="21"/>
                    </w:rPr>
                    <w:t>严格按照《危险废物贮存污染物控制标准》（GB18597-20</w:t>
                  </w:r>
                  <w:r>
                    <w:rPr>
                      <w:rFonts w:hint="eastAsia"/>
                      <w:color w:val="auto"/>
                      <w:sz w:val="21"/>
                      <w:szCs w:val="21"/>
                      <w:lang w:val="en-US" w:eastAsia="zh-CN"/>
                    </w:rPr>
                    <w:t>23</w:t>
                  </w:r>
                  <w:r>
                    <w:rPr>
                      <w:color w:val="auto"/>
                      <w:sz w:val="21"/>
                      <w:szCs w:val="21"/>
                    </w:rPr>
                    <w:t>）的相关要求建设危险废物暂存库，防止危险废物对地下水造成威胁。基础防渗层为至少1米厚粘土层（渗透系数≤10</w:t>
                  </w:r>
                  <w:r>
                    <w:rPr>
                      <w:color w:val="auto"/>
                      <w:sz w:val="21"/>
                      <w:szCs w:val="21"/>
                      <w:vertAlign w:val="superscript"/>
                    </w:rPr>
                    <w:t>-7</w:t>
                  </w:r>
                  <w:r>
                    <w:rPr>
                      <w:color w:val="auto"/>
                      <w:sz w:val="21"/>
                      <w:szCs w:val="21"/>
                    </w:rPr>
                    <w:t>cm/s），或2mm厚高密度聚乙烯，或至少2 mm厚的其它人工材料（渗透系数≤10</w:t>
                  </w:r>
                  <w:r>
                    <w:rPr>
                      <w:color w:val="auto"/>
                      <w:sz w:val="21"/>
                      <w:szCs w:val="21"/>
                      <w:vertAlign w:val="superscript"/>
                    </w:rPr>
                    <w:t>-1</w:t>
                  </w:r>
                  <w:r>
                    <w:rPr>
                      <w:rFonts w:hint="eastAsia"/>
                      <w:color w:val="auto"/>
                      <w:sz w:val="21"/>
                      <w:szCs w:val="21"/>
                      <w:vertAlign w:val="superscript"/>
                    </w:rPr>
                    <w:t>2</w:t>
                  </w:r>
                  <w:r>
                    <w:rPr>
                      <w:color w:val="auto"/>
                      <w:sz w:val="21"/>
                      <w:szCs w:val="21"/>
                    </w:rPr>
                    <w:t>cm/s）</w:t>
                  </w:r>
                  <w:r>
                    <w:rPr>
                      <w:rFonts w:hint="eastAsia"/>
                      <w:color w:val="auto"/>
                      <w:sz w:val="21"/>
                      <w:szCs w:val="21"/>
                    </w:rPr>
                    <w:t>；模具清洗间采用砖砌并采用高标水泥硬化，水池全池涂环氧树脂进行防腐防渗，或者铺设2mm厚的人工防渗材料（如高密度聚丙烯等），渗透系数不大于1</w:t>
                  </w:r>
                  <w:r>
                    <w:rPr>
                      <w:rFonts w:ascii="Arial" w:hAnsi="Arial" w:cs="Arial"/>
                      <w:color w:val="auto"/>
                      <w:sz w:val="21"/>
                      <w:szCs w:val="21"/>
                    </w:rPr>
                    <w:t>×</w:t>
                  </w:r>
                  <w:r>
                    <w:rPr>
                      <w:rFonts w:hint="eastAsia"/>
                      <w:color w:val="auto"/>
                      <w:sz w:val="21"/>
                      <w:szCs w:val="21"/>
                    </w:rPr>
                    <w:t>10</w:t>
                  </w:r>
                  <w:r>
                    <w:rPr>
                      <w:rFonts w:hint="eastAsia"/>
                      <w:color w:val="auto"/>
                      <w:sz w:val="21"/>
                      <w:szCs w:val="21"/>
                      <w:vertAlign w:val="superscript"/>
                    </w:rPr>
                    <w:t>-10</w:t>
                  </w:r>
                  <w:r>
                    <w:rPr>
                      <w:rFonts w:hint="eastAsia"/>
                      <w:color w:val="auto"/>
                      <w:sz w:val="21"/>
                      <w:szCs w:val="21"/>
                    </w:rPr>
                    <w:t>cm/s</w:t>
                  </w:r>
                </w:p>
              </w:tc>
            </w:tr>
            <w:tr w14:paraId="64712C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22" w:type="dxa"/>
                  <w:tcBorders>
                    <w:top w:val="single" w:color="auto" w:sz="4" w:space="0"/>
                    <w:bottom w:val="single" w:color="auto" w:sz="4" w:space="0"/>
                    <w:right w:val="single" w:color="auto" w:sz="4" w:space="0"/>
                  </w:tcBorders>
                  <w:noWrap w:val="0"/>
                  <w:vAlign w:val="center"/>
                </w:tcPr>
                <w:p w14:paraId="259CE3EF">
                  <w:pPr>
                    <w:widowControl/>
                    <w:autoSpaceDN w:val="0"/>
                    <w:adjustRightInd w:val="0"/>
                    <w:snapToGrid w:val="0"/>
                    <w:spacing w:line="240" w:lineRule="auto"/>
                    <w:jc w:val="center"/>
                    <w:rPr>
                      <w:rFonts w:hint="eastAsia" w:eastAsia="宋体"/>
                      <w:color w:val="auto"/>
                      <w:sz w:val="21"/>
                      <w:szCs w:val="21"/>
                      <w:lang w:val="en-US" w:eastAsia="zh-CN"/>
                    </w:rPr>
                  </w:pPr>
                  <w:r>
                    <w:rPr>
                      <w:rFonts w:hint="eastAsia" w:eastAsia="宋体"/>
                      <w:color w:val="auto"/>
                      <w:sz w:val="21"/>
                      <w:szCs w:val="21"/>
                      <w:lang w:val="en-US" w:eastAsia="zh-CN"/>
                    </w:rPr>
                    <w:t>车间其他区域</w:t>
                  </w:r>
                </w:p>
              </w:tc>
              <w:tc>
                <w:tcPr>
                  <w:tcW w:w="2243" w:type="dxa"/>
                  <w:tcBorders>
                    <w:top w:val="single" w:color="auto" w:sz="4" w:space="0"/>
                    <w:left w:val="single" w:color="auto" w:sz="4" w:space="0"/>
                    <w:bottom w:val="single" w:color="auto" w:sz="4" w:space="0"/>
                    <w:right w:val="single" w:color="auto" w:sz="4" w:space="0"/>
                  </w:tcBorders>
                  <w:noWrap w:val="0"/>
                  <w:vAlign w:val="center"/>
                </w:tcPr>
                <w:p w14:paraId="1D02D361">
                  <w:pPr>
                    <w:widowControl/>
                    <w:autoSpaceDN w:val="0"/>
                    <w:adjustRightInd w:val="0"/>
                    <w:snapToGrid w:val="0"/>
                    <w:spacing w:line="240" w:lineRule="auto"/>
                    <w:jc w:val="center"/>
                    <w:rPr>
                      <w:color w:val="auto"/>
                      <w:sz w:val="21"/>
                      <w:szCs w:val="21"/>
                    </w:rPr>
                  </w:pPr>
                  <w:r>
                    <w:rPr>
                      <w:color w:val="auto"/>
                      <w:sz w:val="21"/>
                      <w:szCs w:val="21"/>
                    </w:rPr>
                    <w:t>一般防渗区</w:t>
                  </w:r>
                </w:p>
              </w:tc>
              <w:tc>
                <w:tcPr>
                  <w:tcW w:w="4186" w:type="dxa"/>
                  <w:tcBorders>
                    <w:top w:val="single" w:color="auto" w:sz="4" w:space="0"/>
                    <w:left w:val="single" w:color="auto" w:sz="4" w:space="0"/>
                    <w:bottom w:val="single" w:color="auto" w:sz="4" w:space="0"/>
                    <w:right w:val="single" w:color="auto" w:sz="4" w:space="0"/>
                  </w:tcBorders>
                  <w:noWrap w:val="0"/>
                  <w:vAlign w:val="center"/>
                </w:tcPr>
                <w:p w14:paraId="65C9F717">
                  <w:pPr>
                    <w:widowControl/>
                    <w:autoSpaceDN w:val="0"/>
                    <w:adjustRightInd w:val="0"/>
                    <w:snapToGrid w:val="0"/>
                    <w:spacing w:line="240" w:lineRule="auto"/>
                    <w:jc w:val="center"/>
                    <w:rPr>
                      <w:color w:val="auto"/>
                      <w:sz w:val="21"/>
                      <w:szCs w:val="21"/>
                    </w:rPr>
                  </w:pPr>
                  <w:r>
                    <w:rPr>
                      <w:color w:val="auto"/>
                      <w:kern w:val="0"/>
                      <w:sz w:val="21"/>
                      <w:szCs w:val="18"/>
                    </w:rPr>
                    <w:t>等效黏土防渗层Mb≥1.5m，渗透系数K≤10</w:t>
                  </w:r>
                  <w:r>
                    <w:rPr>
                      <w:color w:val="auto"/>
                      <w:kern w:val="0"/>
                      <w:sz w:val="21"/>
                      <w:szCs w:val="18"/>
                      <w:vertAlign w:val="superscript"/>
                    </w:rPr>
                    <w:t>-7</w:t>
                  </w:r>
                  <w:r>
                    <w:rPr>
                      <w:color w:val="auto"/>
                      <w:kern w:val="0"/>
                      <w:sz w:val="21"/>
                      <w:szCs w:val="18"/>
                    </w:rPr>
                    <w:t>cm/s</w:t>
                  </w:r>
                </w:p>
              </w:tc>
            </w:tr>
            <w:tr w14:paraId="2AAEF56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22" w:type="dxa"/>
                  <w:tcBorders>
                    <w:top w:val="single" w:color="auto" w:sz="4" w:space="0"/>
                    <w:right w:val="single" w:color="auto" w:sz="4" w:space="0"/>
                  </w:tcBorders>
                  <w:noWrap w:val="0"/>
                  <w:vAlign w:val="center"/>
                </w:tcPr>
                <w:p w14:paraId="65D6014B">
                  <w:pPr>
                    <w:widowControl/>
                    <w:autoSpaceDN w:val="0"/>
                    <w:adjustRightInd w:val="0"/>
                    <w:snapToGrid w:val="0"/>
                    <w:spacing w:line="240" w:lineRule="auto"/>
                    <w:ind w:firstLine="0" w:firstLineChars="0"/>
                    <w:jc w:val="center"/>
                    <w:rPr>
                      <w:rFonts w:ascii="Times New Roman" w:hAnsi="Times New Roman" w:eastAsia="宋体" w:cs="Times New Roman"/>
                      <w:color w:val="auto"/>
                      <w:kern w:val="2"/>
                      <w:sz w:val="21"/>
                      <w:szCs w:val="21"/>
                      <w:lang w:val="zh-CN" w:eastAsia="zh-CN" w:bidi="ar-SA"/>
                    </w:rPr>
                  </w:pPr>
                  <w:r>
                    <w:rPr>
                      <w:rFonts w:hint="eastAsia"/>
                      <w:color w:val="auto"/>
                      <w:sz w:val="21"/>
                      <w:szCs w:val="21"/>
                      <w:lang w:val="zh-CN"/>
                    </w:rPr>
                    <w:t>办公区</w:t>
                  </w:r>
                </w:p>
              </w:tc>
              <w:tc>
                <w:tcPr>
                  <w:tcW w:w="2243" w:type="dxa"/>
                  <w:tcBorders>
                    <w:top w:val="single" w:color="auto" w:sz="4" w:space="0"/>
                    <w:left w:val="single" w:color="auto" w:sz="4" w:space="0"/>
                    <w:right w:val="single" w:color="auto" w:sz="4" w:space="0"/>
                  </w:tcBorders>
                  <w:noWrap w:val="0"/>
                  <w:vAlign w:val="center"/>
                </w:tcPr>
                <w:p w14:paraId="77E1D7EA">
                  <w:pPr>
                    <w:widowControl/>
                    <w:autoSpaceDN w:val="0"/>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非污染防治区</w:t>
                  </w:r>
                </w:p>
              </w:tc>
              <w:tc>
                <w:tcPr>
                  <w:tcW w:w="4186" w:type="dxa"/>
                  <w:tcBorders>
                    <w:top w:val="single" w:color="auto" w:sz="4" w:space="0"/>
                    <w:left w:val="single" w:color="auto" w:sz="4" w:space="0"/>
                  </w:tcBorders>
                  <w:noWrap w:val="0"/>
                  <w:vAlign w:val="center"/>
                </w:tcPr>
                <w:p w14:paraId="6D305F81">
                  <w:pPr>
                    <w:widowControl/>
                    <w:autoSpaceDN w:val="0"/>
                    <w:adjustRightInd w:val="0"/>
                    <w:snapToGrid w:val="0"/>
                    <w:spacing w:line="240" w:lineRule="auto"/>
                    <w:jc w:val="center"/>
                    <w:rPr>
                      <w:color w:val="auto"/>
                      <w:sz w:val="21"/>
                      <w:szCs w:val="21"/>
                    </w:rPr>
                  </w:pPr>
                  <w:r>
                    <w:rPr>
                      <w:rFonts w:hint="eastAsia"/>
                      <w:color w:val="auto"/>
                      <w:sz w:val="21"/>
                      <w:szCs w:val="21"/>
                    </w:rPr>
                    <w:t>地面进行一般硬化处理</w:t>
                  </w:r>
                </w:p>
              </w:tc>
            </w:tr>
          </w:tbl>
          <w:p w14:paraId="509197FA">
            <w:pPr>
              <w:ind w:firstLine="480" w:firstLineChars="200"/>
              <w:rPr>
                <w:rFonts w:hint="eastAsia"/>
                <w:color w:val="auto"/>
              </w:rPr>
            </w:pPr>
            <w:r>
              <w:rPr>
                <w:rFonts w:hint="eastAsia"/>
                <w:color w:val="auto"/>
              </w:rPr>
              <w:t>在落实上述分区防渗措施后，本项目不会对区域土壤和地下水环境产生影响，无需对土壤及地下水展开定期监测。</w:t>
            </w:r>
          </w:p>
          <w:p w14:paraId="4A33295F">
            <w:pPr>
              <w:numPr>
                <w:ilvl w:val="0"/>
                <w:numId w:val="8"/>
              </w:numPr>
              <w:ind w:firstLine="0" w:firstLineChars="0"/>
              <w:rPr>
                <w:rFonts w:hint="eastAsia"/>
                <w:b/>
                <w:bCs/>
                <w:color w:val="auto"/>
              </w:rPr>
            </w:pPr>
            <w:r>
              <w:rPr>
                <w:rFonts w:hint="eastAsia"/>
                <w:b/>
                <w:bCs/>
                <w:color w:val="auto"/>
              </w:rPr>
              <w:t>环境风险</w:t>
            </w:r>
          </w:p>
          <w:p w14:paraId="37BF18EE">
            <w:pPr>
              <w:ind w:firstLine="480"/>
              <w:rPr>
                <w:color w:val="auto"/>
              </w:rPr>
            </w:pPr>
            <w:r>
              <w:rPr>
                <w:color w:val="auto"/>
              </w:rPr>
              <w:t>本项目涉及的</w:t>
            </w:r>
            <w:r>
              <w:rPr>
                <w:rFonts w:hint="eastAsia"/>
                <w:color w:val="auto"/>
              </w:rPr>
              <w:t>环境风险</w:t>
            </w:r>
            <w:r>
              <w:rPr>
                <w:color w:val="auto"/>
              </w:rPr>
              <w:t>物质主要为</w:t>
            </w:r>
            <w:r>
              <w:rPr>
                <w:rFonts w:hint="eastAsia"/>
                <w:color w:val="auto"/>
                <w:lang w:val="en-US" w:eastAsia="zh-CN"/>
              </w:rPr>
              <w:t>硫磺</w:t>
            </w:r>
            <w:r>
              <w:rPr>
                <w:color w:val="auto"/>
              </w:rPr>
              <w:t>、</w:t>
            </w:r>
            <w:r>
              <w:rPr>
                <w:rFonts w:hint="eastAsia"/>
                <w:color w:val="auto"/>
                <w:lang w:val="en-US" w:eastAsia="zh-CN"/>
              </w:rPr>
              <w:t>二甲苯</w:t>
            </w:r>
            <w:r>
              <w:rPr>
                <w:color w:val="auto"/>
              </w:rPr>
              <w:t>、危险废物</w:t>
            </w:r>
            <w:r>
              <w:rPr>
                <w:rFonts w:hint="eastAsia"/>
                <w:color w:val="auto"/>
                <w:lang w:val="en-US" w:eastAsia="zh-CN"/>
              </w:rPr>
              <w:t>等</w:t>
            </w:r>
            <w:r>
              <w:rPr>
                <w:color w:val="auto"/>
              </w:rPr>
              <w:t>。根据辨识结果，计算项目涉及的危险物质在厂界内的最大存储量与其对应的临界量的比值Q。本项目按下列公</w:t>
            </w:r>
            <w:r>
              <w:rPr>
                <w:rFonts w:hint="eastAsia"/>
                <w:color w:val="auto"/>
              </w:rPr>
              <w:t>式</w:t>
            </w:r>
            <w:r>
              <w:rPr>
                <w:color w:val="auto"/>
              </w:rPr>
              <w:t>计算物质总量与其临界量比值：</w:t>
            </w:r>
          </w:p>
          <w:p w14:paraId="54613CA8">
            <w:pPr>
              <w:ind w:firstLine="31" w:firstLineChars="13"/>
              <w:jc w:val="center"/>
              <w:rPr>
                <w:color w:val="auto"/>
              </w:rPr>
            </w:pPr>
            <w:r>
              <w:rPr>
                <w:color w:val="auto"/>
              </w:rPr>
              <w:drawing>
                <wp:inline distT="0" distB="0" distL="114300" distR="114300">
                  <wp:extent cx="1438275" cy="514350"/>
                  <wp:effectExtent l="0" t="0" r="9525" b="0"/>
                  <wp:docPr id="9" name="图片 3" descr="C:\Users\GAOSHA~1\AppData\Local\Temp\企业微信截图_156679238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C:\Users\GAOSHA~1\AppData\Local\Temp\企业微信截图_156679238122.png"/>
                          <pic:cNvPicPr>
                            <a:picLocks noChangeAspect="1"/>
                          </pic:cNvPicPr>
                        </pic:nvPicPr>
                        <pic:blipFill>
                          <a:blip r:embed="rId35"/>
                          <a:stretch>
                            <a:fillRect/>
                          </a:stretch>
                        </pic:blipFill>
                        <pic:spPr>
                          <a:xfrm>
                            <a:off x="0" y="0"/>
                            <a:ext cx="1438275" cy="514350"/>
                          </a:xfrm>
                          <a:prstGeom prst="rect">
                            <a:avLst/>
                          </a:prstGeom>
                          <a:noFill/>
                          <a:ln>
                            <a:noFill/>
                          </a:ln>
                        </pic:spPr>
                      </pic:pic>
                    </a:graphicData>
                  </a:graphic>
                </wp:inline>
              </w:drawing>
            </w:r>
          </w:p>
          <w:p w14:paraId="45AE3003">
            <w:pPr>
              <w:ind w:firstLine="480"/>
              <w:rPr>
                <w:color w:val="auto"/>
              </w:rPr>
            </w:pPr>
            <w:r>
              <w:rPr>
                <w:color w:val="auto"/>
              </w:rPr>
              <w:t>式中：</w:t>
            </w:r>
          </w:p>
          <w:p w14:paraId="5AA3EA77">
            <w:pPr>
              <w:ind w:firstLine="480"/>
              <w:rPr>
                <w:color w:val="auto"/>
              </w:rPr>
            </w:pPr>
            <w:r>
              <w:rPr>
                <w:color w:val="auto"/>
              </w:rPr>
              <w:t>q1，q2……qn每种危险物质的最大存在总量t</w:t>
            </w:r>
          </w:p>
          <w:p w14:paraId="35324848">
            <w:pPr>
              <w:ind w:firstLine="480"/>
              <w:rPr>
                <w:color w:val="auto"/>
              </w:rPr>
            </w:pPr>
            <w:r>
              <w:rPr>
                <w:color w:val="auto"/>
              </w:rPr>
              <w:t>Q1，Q2……Qn每种危险物质的临界量t。</w:t>
            </w:r>
          </w:p>
          <w:p w14:paraId="7E41B0A9">
            <w:pPr>
              <w:ind w:firstLine="480"/>
              <w:rPr>
                <w:color w:val="auto"/>
              </w:rPr>
            </w:pPr>
            <w:r>
              <w:rPr>
                <w:color w:val="auto"/>
              </w:rPr>
              <w:t>当Q＜1时，该项目环境风险潜势为I。</w:t>
            </w:r>
          </w:p>
          <w:p w14:paraId="396FEDEB">
            <w:pPr>
              <w:ind w:firstLine="480"/>
              <w:rPr>
                <w:color w:val="auto"/>
              </w:rPr>
            </w:pPr>
            <w:r>
              <w:rPr>
                <w:color w:val="auto"/>
              </w:rPr>
              <w:t>通过查询《建设项目环境风险评价技术导则》（HJ169-2018）中附录B的表B1和表B2计算危险物质的Q值。计算结果如下表所示：</w:t>
            </w:r>
          </w:p>
          <w:p w14:paraId="2EB40A2F">
            <w:pPr>
              <w:ind w:firstLine="0" w:firstLineChars="0"/>
              <w:jc w:val="center"/>
              <w:rPr>
                <w:color w:val="auto"/>
              </w:rPr>
            </w:pPr>
            <w:r>
              <w:rPr>
                <w:rFonts w:hint="eastAsia"/>
                <w:b/>
                <w:bCs/>
                <w:color w:val="auto"/>
              </w:rPr>
              <w:t>表37 项目主要危险物质临界量表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2282"/>
              <w:gridCol w:w="1158"/>
              <w:gridCol w:w="1387"/>
              <w:gridCol w:w="1020"/>
              <w:gridCol w:w="836"/>
              <w:gridCol w:w="1019"/>
            </w:tblGrid>
            <w:tr w14:paraId="06D71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noWrap w:val="0"/>
                  <w:vAlign w:val="center"/>
                </w:tcPr>
                <w:p w14:paraId="0126FA38">
                  <w:pPr>
                    <w:adjustRightInd w:val="0"/>
                    <w:spacing w:line="240" w:lineRule="auto"/>
                    <w:ind w:firstLine="0" w:firstLineChars="0"/>
                    <w:jc w:val="center"/>
                    <w:rPr>
                      <w:b/>
                      <w:bCs/>
                      <w:color w:val="auto"/>
                      <w:sz w:val="21"/>
                      <w:szCs w:val="21"/>
                    </w:rPr>
                  </w:pPr>
                  <w:r>
                    <w:rPr>
                      <w:b/>
                      <w:bCs/>
                      <w:color w:val="auto"/>
                      <w:sz w:val="21"/>
                      <w:szCs w:val="21"/>
                    </w:rPr>
                    <w:t>序号</w:t>
                  </w:r>
                </w:p>
              </w:tc>
              <w:tc>
                <w:tcPr>
                  <w:tcW w:w="2282" w:type="dxa"/>
                  <w:noWrap w:val="0"/>
                  <w:vAlign w:val="center"/>
                </w:tcPr>
                <w:p w14:paraId="1870A0CB">
                  <w:pPr>
                    <w:adjustRightInd w:val="0"/>
                    <w:spacing w:line="240" w:lineRule="auto"/>
                    <w:ind w:firstLine="0" w:firstLineChars="0"/>
                    <w:jc w:val="center"/>
                    <w:rPr>
                      <w:b/>
                      <w:bCs/>
                      <w:color w:val="auto"/>
                      <w:sz w:val="21"/>
                      <w:szCs w:val="21"/>
                    </w:rPr>
                  </w:pPr>
                  <w:r>
                    <w:rPr>
                      <w:b/>
                      <w:bCs/>
                      <w:color w:val="auto"/>
                      <w:sz w:val="21"/>
                      <w:szCs w:val="21"/>
                    </w:rPr>
                    <w:t>物质名称</w:t>
                  </w:r>
                </w:p>
              </w:tc>
              <w:tc>
                <w:tcPr>
                  <w:tcW w:w="1158" w:type="dxa"/>
                  <w:noWrap w:val="0"/>
                  <w:vAlign w:val="center"/>
                </w:tcPr>
                <w:p w14:paraId="140B2AA7">
                  <w:pPr>
                    <w:adjustRightInd w:val="0"/>
                    <w:spacing w:line="240" w:lineRule="auto"/>
                    <w:ind w:firstLine="0" w:firstLineChars="0"/>
                    <w:jc w:val="center"/>
                    <w:rPr>
                      <w:b/>
                      <w:bCs/>
                      <w:color w:val="auto"/>
                      <w:sz w:val="21"/>
                      <w:szCs w:val="21"/>
                    </w:rPr>
                  </w:pPr>
                  <w:r>
                    <w:rPr>
                      <w:rFonts w:hint="eastAsia"/>
                      <w:b/>
                      <w:bCs/>
                      <w:color w:val="auto"/>
                      <w:sz w:val="21"/>
                      <w:szCs w:val="21"/>
                    </w:rPr>
                    <w:t>CAS号</w:t>
                  </w:r>
                </w:p>
              </w:tc>
              <w:tc>
                <w:tcPr>
                  <w:tcW w:w="1387" w:type="dxa"/>
                  <w:noWrap w:val="0"/>
                  <w:vAlign w:val="center"/>
                </w:tcPr>
                <w:p w14:paraId="2BB8B438">
                  <w:pPr>
                    <w:adjustRightInd w:val="0"/>
                    <w:spacing w:line="240" w:lineRule="auto"/>
                    <w:ind w:firstLine="0" w:firstLineChars="0"/>
                    <w:jc w:val="center"/>
                    <w:rPr>
                      <w:b/>
                      <w:bCs/>
                      <w:color w:val="auto"/>
                      <w:sz w:val="21"/>
                      <w:szCs w:val="21"/>
                    </w:rPr>
                  </w:pPr>
                  <w:r>
                    <w:rPr>
                      <w:rFonts w:hint="eastAsia"/>
                      <w:b/>
                      <w:bCs/>
                      <w:color w:val="auto"/>
                      <w:sz w:val="21"/>
                      <w:szCs w:val="21"/>
                    </w:rPr>
                    <w:t>储存位置</w:t>
                  </w:r>
                </w:p>
              </w:tc>
              <w:tc>
                <w:tcPr>
                  <w:tcW w:w="1020" w:type="dxa"/>
                  <w:noWrap w:val="0"/>
                  <w:vAlign w:val="center"/>
                </w:tcPr>
                <w:p w14:paraId="6F2BBF67">
                  <w:pPr>
                    <w:adjustRightInd w:val="0"/>
                    <w:spacing w:line="240" w:lineRule="auto"/>
                    <w:ind w:firstLine="0" w:firstLineChars="0"/>
                    <w:jc w:val="center"/>
                    <w:rPr>
                      <w:b/>
                      <w:bCs/>
                      <w:color w:val="auto"/>
                      <w:sz w:val="21"/>
                      <w:szCs w:val="21"/>
                    </w:rPr>
                  </w:pPr>
                  <w:r>
                    <w:rPr>
                      <w:b/>
                      <w:bCs/>
                      <w:color w:val="auto"/>
                      <w:sz w:val="21"/>
                      <w:szCs w:val="21"/>
                    </w:rPr>
                    <w:t>存储量（t）</w:t>
                  </w:r>
                </w:p>
              </w:tc>
              <w:tc>
                <w:tcPr>
                  <w:tcW w:w="836" w:type="dxa"/>
                  <w:noWrap w:val="0"/>
                  <w:vAlign w:val="center"/>
                </w:tcPr>
                <w:p w14:paraId="17716A2C">
                  <w:pPr>
                    <w:adjustRightInd w:val="0"/>
                    <w:spacing w:line="240" w:lineRule="auto"/>
                    <w:ind w:firstLine="0" w:firstLineChars="0"/>
                    <w:jc w:val="center"/>
                    <w:rPr>
                      <w:b/>
                      <w:bCs/>
                      <w:color w:val="auto"/>
                      <w:sz w:val="21"/>
                      <w:szCs w:val="21"/>
                    </w:rPr>
                  </w:pPr>
                  <w:r>
                    <w:rPr>
                      <w:b/>
                      <w:bCs/>
                      <w:color w:val="auto"/>
                      <w:sz w:val="21"/>
                      <w:szCs w:val="21"/>
                    </w:rPr>
                    <w:t>临界量（t）</w:t>
                  </w:r>
                </w:p>
              </w:tc>
              <w:tc>
                <w:tcPr>
                  <w:tcW w:w="1019" w:type="dxa"/>
                  <w:noWrap w:val="0"/>
                  <w:vAlign w:val="center"/>
                </w:tcPr>
                <w:p w14:paraId="73EB5712">
                  <w:pPr>
                    <w:adjustRightInd w:val="0"/>
                    <w:spacing w:line="240" w:lineRule="auto"/>
                    <w:ind w:firstLine="0" w:firstLineChars="0"/>
                    <w:jc w:val="center"/>
                    <w:rPr>
                      <w:b/>
                      <w:bCs/>
                      <w:color w:val="auto"/>
                      <w:sz w:val="21"/>
                      <w:szCs w:val="21"/>
                    </w:rPr>
                  </w:pPr>
                  <w:r>
                    <w:rPr>
                      <w:b/>
                      <w:bCs/>
                      <w:color w:val="auto"/>
                      <w:sz w:val="21"/>
                      <w:szCs w:val="21"/>
                    </w:rPr>
                    <w:t>q/Q</w:t>
                  </w:r>
                </w:p>
              </w:tc>
            </w:tr>
            <w:tr w14:paraId="7F0EE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noWrap w:val="0"/>
                  <w:vAlign w:val="center"/>
                </w:tcPr>
                <w:p w14:paraId="01430077">
                  <w:pPr>
                    <w:adjustRightInd w:val="0"/>
                    <w:spacing w:line="240" w:lineRule="auto"/>
                    <w:ind w:firstLine="0" w:firstLineChars="0"/>
                    <w:jc w:val="center"/>
                    <w:rPr>
                      <w:color w:val="auto"/>
                      <w:sz w:val="21"/>
                      <w:szCs w:val="21"/>
                    </w:rPr>
                  </w:pPr>
                  <w:r>
                    <w:rPr>
                      <w:color w:val="auto"/>
                      <w:sz w:val="21"/>
                      <w:szCs w:val="21"/>
                    </w:rPr>
                    <w:t>1</w:t>
                  </w:r>
                </w:p>
              </w:tc>
              <w:tc>
                <w:tcPr>
                  <w:tcW w:w="2282" w:type="dxa"/>
                  <w:noWrap w:val="0"/>
                  <w:vAlign w:val="center"/>
                </w:tcPr>
                <w:p w14:paraId="7D303E71">
                  <w:pPr>
                    <w:adjustRightInd w:val="0"/>
                    <w:spacing w:line="240" w:lineRule="auto"/>
                    <w:ind w:firstLine="0" w:firstLineChars="0"/>
                    <w:jc w:val="center"/>
                    <w:rPr>
                      <w:rFonts w:hint="eastAsia" w:eastAsia="宋体"/>
                      <w:color w:val="auto"/>
                      <w:sz w:val="21"/>
                      <w:szCs w:val="21"/>
                      <w:lang w:eastAsia="zh-CN"/>
                    </w:rPr>
                  </w:pPr>
                  <w:r>
                    <w:rPr>
                      <w:rFonts w:hint="eastAsia"/>
                      <w:color w:val="auto"/>
                      <w:sz w:val="21"/>
                      <w:szCs w:val="21"/>
                      <w:lang w:val="en-US" w:eastAsia="zh-CN"/>
                    </w:rPr>
                    <w:t>硫磺</w:t>
                  </w:r>
                </w:p>
              </w:tc>
              <w:tc>
                <w:tcPr>
                  <w:tcW w:w="1158" w:type="dxa"/>
                  <w:noWrap w:val="0"/>
                  <w:vAlign w:val="center"/>
                </w:tcPr>
                <w:p w14:paraId="7C5192C1">
                  <w:pPr>
                    <w:adjustRightIn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7704-34-9</w:t>
                  </w:r>
                </w:p>
              </w:tc>
              <w:tc>
                <w:tcPr>
                  <w:tcW w:w="1387" w:type="dxa"/>
                  <w:noWrap w:val="0"/>
                  <w:vAlign w:val="center"/>
                </w:tcPr>
                <w:p w14:paraId="30B1E4EC">
                  <w:pPr>
                    <w:adjustRightIn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硫磺防爆库</w:t>
                  </w:r>
                </w:p>
              </w:tc>
              <w:tc>
                <w:tcPr>
                  <w:tcW w:w="1020" w:type="dxa"/>
                  <w:noWrap w:val="0"/>
                  <w:vAlign w:val="center"/>
                </w:tcPr>
                <w:p w14:paraId="6EB9E94A">
                  <w:pPr>
                    <w:adjustRightIn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3</w:t>
                  </w:r>
                </w:p>
              </w:tc>
              <w:tc>
                <w:tcPr>
                  <w:tcW w:w="836" w:type="dxa"/>
                  <w:noWrap w:val="0"/>
                  <w:vAlign w:val="center"/>
                </w:tcPr>
                <w:p w14:paraId="6E9A6BA2">
                  <w:pPr>
                    <w:adjustRightIn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10</w:t>
                  </w:r>
                </w:p>
              </w:tc>
              <w:tc>
                <w:tcPr>
                  <w:tcW w:w="1019" w:type="dxa"/>
                  <w:shd w:val="clear" w:color="auto" w:fill="auto"/>
                  <w:noWrap w:val="0"/>
                  <w:vAlign w:val="center"/>
                </w:tcPr>
                <w:p w14:paraId="02C458E3">
                  <w:pPr>
                    <w:adjustRightIn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0.3</w:t>
                  </w:r>
                </w:p>
              </w:tc>
            </w:tr>
            <w:tr w14:paraId="5C0AF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0F9831E7">
                  <w:pPr>
                    <w:adjustRightInd w:val="0"/>
                    <w:spacing w:line="240" w:lineRule="auto"/>
                    <w:ind w:firstLine="0" w:firstLineChars="0"/>
                    <w:jc w:val="center"/>
                    <w:rPr>
                      <w:rFonts w:hint="eastAsia" w:eastAsia="宋体"/>
                      <w:color w:val="auto"/>
                      <w:sz w:val="21"/>
                      <w:szCs w:val="21"/>
                      <w:lang w:val="zh-CN" w:eastAsia="zh-CN"/>
                    </w:rPr>
                  </w:pPr>
                  <w:r>
                    <w:rPr>
                      <w:rFonts w:hint="eastAsia"/>
                      <w:color w:val="auto"/>
                      <w:sz w:val="21"/>
                      <w:szCs w:val="21"/>
                      <w:lang w:eastAsia="zh-CN"/>
                    </w:rPr>
                    <w:t>2</w:t>
                  </w:r>
                </w:p>
              </w:tc>
              <w:tc>
                <w:tcPr>
                  <w:tcW w:w="2282" w:type="dxa"/>
                  <w:noWrap w:val="0"/>
                  <w:vAlign w:val="center"/>
                </w:tcPr>
                <w:p w14:paraId="0575136C">
                  <w:pPr>
                    <w:adjustRightIn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二甲苯</w:t>
                  </w:r>
                  <w:r>
                    <w:rPr>
                      <w:rFonts w:hint="eastAsia"/>
                      <w:color w:val="auto"/>
                      <w:sz w:val="21"/>
                      <w:szCs w:val="21"/>
                      <w:lang w:eastAsia="zh-CN"/>
                    </w:rPr>
                    <w:t>（</w:t>
                  </w:r>
                  <w:r>
                    <w:rPr>
                      <w:rFonts w:hint="eastAsia"/>
                      <w:color w:val="auto"/>
                      <w:sz w:val="21"/>
                      <w:szCs w:val="21"/>
                      <w:lang w:val="en-US" w:eastAsia="zh-CN"/>
                    </w:rPr>
                    <w:t>15%折纯后）</w:t>
                  </w:r>
                </w:p>
              </w:tc>
              <w:tc>
                <w:tcPr>
                  <w:tcW w:w="1158" w:type="dxa"/>
                  <w:noWrap w:val="0"/>
                  <w:vAlign w:val="center"/>
                </w:tcPr>
                <w:p w14:paraId="6B26AE5E">
                  <w:pPr>
                    <w:adjustRightInd w:val="0"/>
                    <w:spacing w:line="240" w:lineRule="auto"/>
                    <w:ind w:firstLine="0" w:firstLineChars="0"/>
                    <w:jc w:val="center"/>
                    <w:rPr>
                      <w:rFonts w:hint="eastAsia" w:eastAsia="宋体"/>
                      <w:color w:val="auto"/>
                      <w:sz w:val="21"/>
                      <w:szCs w:val="21"/>
                      <w:lang w:val="zh-CN" w:eastAsia="zh-CN"/>
                    </w:rPr>
                  </w:pPr>
                  <w:r>
                    <w:rPr>
                      <w:rFonts w:hint="eastAsia"/>
                      <w:color w:val="auto"/>
                      <w:sz w:val="21"/>
                      <w:szCs w:val="21"/>
                      <w:lang w:val="en-US" w:eastAsia="zh-CN"/>
                    </w:rPr>
                    <w:t>95</w:t>
                  </w:r>
                  <w:r>
                    <w:rPr>
                      <w:color w:val="auto"/>
                      <w:sz w:val="21"/>
                      <w:szCs w:val="21"/>
                      <w:lang w:val="zh-CN"/>
                    </w:rPr>
                    <w:t>-</w:t>
                  </w:r>
                  <w:r>
                    <w:rPr>
                      <w:rFonts w:hint="eastAsia"/>
                      <w:color w:val="auto"/>
                      <w:sz w:val="21"/>
                      <w:szCs w:val="21"/>
                      <w:lang w:val="en-US" w:eastAsia="zh-CN"/>
                    </w:rPr>
                    <w:t>4</w:t>
                  </w:r>
                  <w:r>
                    <w:rPr>
                      <w:color w:val="auto"/>
                      <w:sz w:val="21"/>
                      <w:szCs w:val="21"/>
                      <w:lang w:val="zh-CN"/>
                    </w:rPr>
                    <w:t>7-</w:t>
                  </w:r>
                  <w:r>
                    <w:rPr>
                      <w:rFonts w:hint="eastAsia"/>
                      <w:color w:val="auto"/>
                      <w:sz w:val="21"/>
                      <w:szCs w:val="21"/>
                      <w:lang w:val="en-US" w:eastAsia="zh-CN"/>
                    </w:rPr>
                    <w:t>6</w:t>
                  </w:r>
                </w:p>
              </w:tc>
              <w:tc>
                <w:tcPr>
                  <w:tcW w:w="1387" w:type="dxa"/>
                  <w:noWrap w:val="0"/>
                  <w:vAlign w:val="center"/>
                </w:tcPr>
                <w:p w14:paraId="24A37A4C">
                  <w:pPr>
                    <w:adjustRightInd w:val="0"/>
                    <w:spacing w:line="240" w:lineRule="auto"/>
                    <w:ind w:firstLine="0" w:firstLineChars="0"/>
                    <w:jc w:val="center"/>
                    <w:rPr>
                      <w:rFonts w:hint="eastAsia" w:eastAsia="宋体"/>
                      <w:color w:val="auto"/>
                      <w:sz w:val="21"/>
                      <w:szCs w:val="21"/>
                      <w:lang w:val="en-US" w:eastAsia="zh-CN"/>
                    </w:rPr>
                  </w:pPr>
                  <w:r>
                    <w:rPr>
                      <w:rFonts w:hint="eastAsia" w:eastAsia="宋体"/>
                      <w:color w:val="auto"/>
                      <w:sz w:val="21"/>
                      <w:szCs w:val="21"/>
                      <w:lang w:val="en-US" w:eastAsia="zh-CN"/>
                    </w:rPr>
                    <w:t>辅料库房</w:t>
                  </w:r>
                </w:p>
              </w:tc>
              <w:tc>
                <w:tcPr>
                  <w:tcW w:w="0" w:type="auto"/>
                  <w:noWrap w:val="0"/>
                  <w:vAlign w:val="center"/>
                </w:tcPr>
                <w:p w14:paraId="7244F40E">
                  <w:pPr>
                    <w:adjustRightIn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0.045</w:t>
                  </w:r>
                </w:p>
              </w:tc>
              <w:tc>
                <w:tcPr>
                  <w:tcW w:w="0" w:type="auto"/>
                  <w:noWrap w:val="0"/>
                  <w:vAlign w:val="center"/>
                </w:tcPr>
                <w:p w14:paraId="39C9F6C0">
                  <w:pPr>
                    <w:adjustRightIn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10</w:t>
                  </w:r>
                </w:p>
              </w:tc>
              <w:tc>
                <w:tcPr>
                  <w:tcW w:w="0" w:type="auto"/>
                  <w:shd w:val="clear" w:color="auto" w:fill="auto"/>
                  <w:noWrap w:val="0"/>
                  <w:vAlign w:val="center"/>
                </w:tcPr>
                <w:p w14:paraId="0B91FE9A">
                  <w:pPr>
                    <w:adjustRightIn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0.0045</w:t>
                  </w:r>
                </w:p>
              </w:tc>
            </w:tr>
            <w:tr w14:paraId="0B412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13D73952">
                  <w:pPr>
                    <w:adjustRightIn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3</w:t>
                  </w:r>
                </w:p>
              </w:tc>
              <w:tc>
                <w:tcPr>
                  <w:tcW w:w="2282" w:type="dxa"/>
                  <w:noWrap w:val="0"/>
                  <w:vAlign w:val="center"/>
                </w:tcPr>
                <w:p w14:paraId="12252248">
                  <w:pPr>
                    <w:adjustRightInd w:val="0"/>
                    <w:spacing w:line="240" w:lineRule="auto"/>
                    <w:ind w:firstLine="0" w:firstLineChars="0"/>
                    <w:jc w:val="center"/>
                    <w:rPr>
                      <w:rFonts w:hint="eastAsia" w:eastAsia="宋体"/>
                      <w:color w:val="auto"/>
                      <w:sz w:val="21"/>
                      <w:szCs w:val="21"/>
                      <w:lang w:val="zh-CN" w:eastAsia="zh-CN"/>
                    </w:rPr>
                  </w:pPr>
                  <w:r>
                    <w:rPr>
                      <w:rFonts w:hint="eastAsia"/>
                      <w:color w:val="auto"/>
                      <w:sz w:val="21"/>
                      <w:szCs w:val="21"/>
                      <w:lang w:val="en-US" w:eastAsia="zh-CN"/>
                    </w:rPr>
                    <w:t>危险废物</w:t>
                  </w:r>
                </w:p>
              </w:tc>
              <w:tc>
                <w:tcPr>
                  <w:tcW w:w="1158" w:type="dxa"/>
                  <w:noWrap w:val="0"/>
                  <w:vAlign w:val="center"/>
                </w:tcPr>
                <w:p w14:paraId="5DE5902C">
                  <w:pPr>
                    <w:adjustRightInd w:val="0"/>
                    <w:spacing w:line="240" w:lineRule="auto"/>
                    <w:ind w:firstLine="0" w:firstLineChars="0"/>
                    <w:jc w:val="center"/>
                    <w:rPr>
                      <w:color w:val="auto"/>
                      <w:sz w:val="21"/>
                      <w:szCs w:val="21"/>
                      <w:lang w:val="zh-CN"/>
                    </w:rPr>
                  </w:pPr>
                  <w:r>
                    <w:rPr>
                      <w:color w:val="auto"/>
                      <w:sz w:val="21"/>
                      <w:szCs w:val="21"/>
                    </w:rPr>
                    <w:t>74-82-8</w:t>
                  </w:r>
                </w:p>
              </w:tc>
              <w:tc>
                <w:tcPr>
                  <w:tcW w:w="1387" w:type="dxa"/>
                  <w:noWrap w:val="0"/>
                  <w:vAlign w:val="center"/>
                </w:tcPr>
                <w:p w14:paraId="02154202">
                  <w:pPr>
                    <w:adjustRightIn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危废暂存间</w:t>
                  </w:r>
                </w:p>
              </w:tc>
              <w:tc>
                <w:tcPr>
                  <w:tcW w:w="0" w:type="auto"/>
                  <w:noWrap w:val="0"/>
                  <w:vAlign w:val="center"/>
                </w:tcPr>
                <w:p w14:paraId="71AB39BA">
                  <w:pPr>
                    <w:adjustRightIn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24.893</w:t>
                  </w:r>
                </w:p>
              </w:tc>
              <w:tc>
                <w:tcPr>
                  <w:tcW w:w="0" w:type="auto"/>
                  <w:noWrap w:val="0"/>
                  <w:vAlign w:val="center"/>
                </w:tcPr>
                <w:p w14:paraId="2699A1A1">
                  <w:pPr>
                    <w:adjustRightIn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50</w:t>
                  </w:r>
                </w:p>
              </w:tc>
              <w:tc>
                <w:tcPr>
                  <w:tcW w:w="0" w:type="auto"/>
                  <w:shd w:val="clear" w:color="auto" w:fill="auto"/>
                  <w:noWrap w:val="0"/>
                  <w:vAlign w:val="center"/>
                </w:tcPr>
                <w:p w14:paraId="3B0BF6BD">
                  <w:pPr>
                    <w:adjustRightIn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0.49786</w:t>
                  </w:r>
                </w:p>
              </w:tc>
            </w:tr>
            <w:tr w14:paraId="0E1B2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50D44500">
                  <w:pPr>
                    <w:adjustRightIn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4</w:t>
                  </w:r>
                </w:p>
              </w:tc>
              <w:tc>
                <w:tcPr>
                  <w:tcW w:w="2282" w:type="dxa"/>
                  <w:noWrap w:val="0"/>
                  <w:vAlign w:val="center"/>
                </w:tcPr>
                <w:p w14:paraId="42381106">
                  <w:pPr>
                    <w:adjustRightInd w:val="0"/>
                    <w:spacing w:line="240" w:lineRule="auto"/>
                    <w:ind w:firstLine="0" w:firstLineChars="0"/>
                    <w:jc w:val="center"/>
                    <w:rPr>
                      <w:rFonts w:hint="eastAsia"/>
                      <w:color w:val="auto"/>
                      <w:sz w:val="21"/>
                      <w:szCs w:val="21"/>
                    </w:rPr>
                  </w:pPr>
                  <w:r>
                    <w:rPr>
                      <w:rFonts w:hint="eastAsia"/>
                      <w:color w:val="auto"/>
                      <w:sz w:val="21"/>
                      <w:szCs w:val="21"/>
                    </w:rPr>
                    <w:t>合计</w:t>
                  </w:r>
                </w:p>
              </w:tc>
              <w:tc>
                <w:tcPr>
                  <w:tcW w:w="1158" w:type="dxa"/>
                  <w:noWrap w:val="0"/>
                  <w:vAlign w:val="center"/>
                </w:tcPr>
                <w:p w14:paraId="06BC4945">
                  <w:pPr>
                    <w:adjustRightInd w:val="0"/>
                    <w:spacing w:line="240" w:lineRule="auto"/>
                    <w:ind w:firstLine="0" w:firstLineChars="0"/>
                    <w:jc w:val="center"/>
                    <w:rPr>
                      <w:rFonts w:hint="eastAsia"/>
                      <w:color w:val="auto"/>
                      <w:sz w:val="21"/>
                      <w:szCs w:val="21"/>
                    </w:rPr>
                  </w:pPr>
                  <w:r>
                    <w:rPr>
                      <w:rFonts w:hint="eastAsia"/>
                      <w:color w:val="auto"/>
                      <w:sz w:val="21"/>
                      <w:szCs w:val="21"/>
                    </w:rPr>
                    <w:t>/</w:t>
                  </w:r>
                </w:p>
              </w:tc>
              <w:tc>
                <w:tcPr>
                  <w:tcW w:w="1387" w:type="dxa"/>
                  <w:noWrap w:val="0"/>
                  <w:vAlign w:val="center"/>
                </w:tcPr>
                <w:p w14:paraId="3C57F277">
                  <w:pPr>
                    <w:adjustRightInd w:val="0"/>
                    <w:spacing w:line="240" w:lineRule="auto"/>
                    <w:ind w:firstLine="0" w:firstLineChars="0"/>
                    <w:jc w:val="center"/>
                    <w:rPr>
                      <w:color w:val="auto"/>
                      <w:sz w:val="21"/>
                      <w:szCs w:val="21"/>
                    </w:rPr>
                  </w:pPr>
                  <w:r>
                    <w:rPr>
                      <w:rFonts w:hint="eastAsia"/>
                      <w:color w:val="auto"/>
                      <w:sz w:val="21"/>
                      <w:szCs w:val="21"/>
                    </w:rPr>
                    <w:t>/</w:t>
                  </w:r>
                </w:p>
              </w:tc>
              <w:tc>
                <w:tcPr>
                  <w:tcW w:w="0" w:type="auto"/>
                  <w:noWrap w:val="0"/>
                  <w:vAlign w:val="center"/>
                </w:tcPr>
                <w:p w14:paraId="73D4CE57">
                  <w:pPr>
                    <w:adjustRightInd w:val="0"/>
                    <w:spacing w:line="240" w:lineRule="auto"/>
                    <w:ind w:firstLine="0" w:firstLineChars="0"/>
                    <w:jc w:val="center"/>
                    <w:rPr>
                      <w:rFonts w:hint="eastAsia"/>
                      <w:color w:val="auto"/>
                      <w:sz w:val="21"/>
                      <w:szCs w:val="21"/>
                    </w:rPr>
                  </w:pPr>
                  <w:r>
                    <w:rPr>
                      <w:rFonts w:hint="eastAsia"/>
                      <w:color w:val="auto"/>
                      <w:sz w:val="21"/>
                      <w:szCs w:val="21"/>
                    </w:rPr>
                    <w:t>/</w:t>
                  </w:r>
                </w:p>
              </w:tc>
              <w:tc>
                <w:tcPr>
                  <w:tcW w:w="0" w:type="auto"/>
                  <w:noWrap w:val="0"/>
                  <w:vAlign w:val="center"/>
                </w:tcPr>
                <w:p w14:paraId="4F8CE27A">
                  <w:pPr>
                    <w:adjustRightInd w:val="0"/>
                    <w:spacing w:line="240" w:lineRule="auto"/>
                    <w:ind w:firstLine="0" w:firstLineChars="0"/>
                    <w:jc w:val="center"/>
                    <w:rPr>
                      <w:rFonts w:hint="eastAsia"/>
                      <w:color w:val="auto"/>
                      <w:sz w:val="21"/>
                      <w:szCs w:val="21"/>
                    </w:rPr>
                  </w:pPr>
                  <w:r>
                    <w:rPr>
                      <w:rFonts w:hint="eastAsia"/>
                      <w:color w:val="auto"/>
                      <w:sz w:val="21"/>
                      <w:szCs w:val="21"/>
                    </w:rPr>
                    <w:t>/</w:t>
                  </w:r>
                </w:p>
              </w:tc>
              <w:tc>
                <w:tcPr>
                  <w:tcW w:w="0" w:type="auto"/>
                  <w:shd w:val="clear" w:color="auto" w:fill="auto"/>
                  <w:noWrap w:val="0"/>
                  <w:vAlign w:val="center"/>
                </w:tcPr>
                <w:p w14:paraId="4BBBA17B">
                  <w:pPr>
                    <w:adjustRightIn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sum(G2:G4)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0.80236</w:t>
                  </w:r>
                  <w:r>
                    <w:rPr>
                      <w:rFonts w:hint="default" w:ascii="Times New Roman" w:hAnsi="Times New Roman" w:eastAsia="宋体" w:cs="Times New Roman"/>
                      <w:color w:val="auto"/>
                      <w:sz w:val="21"/>
                      <w:szCs w:val="21"/>
                      <w:lang w:val="en-US" w:eastAsia="zh-CN"/>
                    </w:rPr>
                    <w:fldChar w:fldCharType="end"/>
                  </w:r>
                </w:p>
              </w:tc>
            </w:tr>
          </w:tbl>
          <w:p w14:paraId="7FEF7451">
            <w:pPr>
              <w:ind w:firstLine="480"/>
              <w:rPr>
                <w:color w:val="auto"/>
              </w:rPr>
            </w:pPr>
            <w:r>
              <w:rPr>
                <w:color w:val="auto"/>
              </w:rPr>
              <w:t>由上表可知，项目</w:t>
            </w:r>
            <w:r>
              <w:rPr>
                <w:rFonts w:hint="eastAsia"/>
                <w:color w:val="auto"/>
                <w:lang w:val="en-US" w:eastAsia="zh-CN"/>
              </w:rPr>
              <w:t>厂区</w:t>
            </w:r>
            <w:r>
              <w:rPr>
                <w:color w:val="auto"/>
              </w:rPr>
              <w:t>内最大存在总量中各危险物质实际量与临界量比值之和为</w:t>
            </w:r>
            <w:r>
              <w:rPr>
                <w:rFonts w:hint="default"/>
                <w:color w:val="auto"/>
                <w:lang w:val="en-US" w:eastAsia="zh-CN"/>
              </w:rPr>
              <w:fldChar w:fldCharType="begin"/>
            </w:r>
            <w:r>
              <w:rPr>
                <w:rFonts w:hint="default"/>
                <w:color w:val="auto"/>
                <w:lang w:val="en-US" w:eastAsia="zh-CN"/>
              </w:rPr>
              <w:instrText xml:space="preserve"> = sum(G2:G4) \* MERGEFORMAT </w:instrText>
            </w:r>
            <w:r>
              <w:rPr>
                <w:rFonts w:hint="default"/>
                <w:color w:val="auto"/>
                <w:lang w:val="en-US" w:eastAsia="zh-CN"/>
              </w:rPr>
              <w:fldChar w:fldCharType="separate"/>
            </w:r>
            <w:r>
              <w:rPr>
                <w:rFonts w:hint="default"/>
                <w:color w:val="auto"/>
                <w:lang w:val="en-US" w:eastAsia="zh-CN"/>
              </w:rPr>
              <w:t>0.80236</w:t>
            </w:r>
            <w:r>
              <w:rPr>
                <w:rFonts w:hint="default"/>
                <w:color w:val="auto"/>
                <w:lang w:val="en-US" w:eastAsia="zh-CN"/>
              </w:rPr>
              <w:fldChar w:fldCharType="end"/>
            </w:r>
            <w:r>
              <w:rPr>
                <w:color w:val="auto"/>
              </w:rPr>
              <w:t>&lt;1。</w:t>
            </w:r>
            <w:r>
              <w:rPr>
                <w:rStyle w:val="31"/>
                <w:rFonts w:hint="eastAsia"/>
                <w:color w:val="auto"/>
                <w:kern w:val="0"/>
                <w:sz w:val="24"/>
                <w:szCs w:val="22"/>
              </w:rPr>
              <w:t>因此</w:t>
            </w:r>
            <w:r>
              <w:rPr>
                <w:rStyle w:val="31"/>
                <w:color w:val="auto"/>
                <w:kern w:val="0"/>
                <w:sz w:val="24"/>
                <w:szCs w:val="22"/>
              </w:rPr>
              <w:t>本项目仅需</w:t>
            </w:r>
            <w:r>
              <w:rPr>
                <w:rStyle w:val="31"/>
                <w:rFonts w:hint="eastAsia"/>
                <w:color w:val="auto"/>
                <w:kern w:val="0"/>
                <w:sz w:val="24"/>
                <w:szCs w:val="22"/>
              </w:rPr>
              <w:t>明确有毒有害和易燃易爆等危险物质和风险源分布情况及可能影响途径，并提出相应环境风险防范措施。</w:t>
            </w:r>
          </w:p>
          <w:p w14:paraId="393D7F83">
            <w:pPr>
              <w:ind w:firstLine="480"/>
              <w:rPr>
                <w:color w:val="auto"/>
              </w:rPr>
            </w:pPr>
            <w:r>
              <w:rPr>
                <w:color w:val="auto"/>
              </w:rPr>
              <w:t>根据项目工程分析及危险物质的储存、转运情况，识别各危险单元可能发生的环境风险类型、危险物质影响环境途径如下：</w:t>
            </w:r>
          </w:p>
          <w:p w14:paraId="6F02E234">
            <w:pPr>
              <w:ind w:firstLine="480"/>
              <w:rPr>
                <w:color w:val="auto"/>
              </w:rPr>
            </w:pPr>
            <w:r>
              <w:rPr>
                <w:rFonts w:hint="eastAsia"/>
                <w:color w:val="auto"/>
              </w:rPr>
              <w:t>①本项目使用的</w:t>
            </w:r>
            <w:r>
              <w:rPr>
                <w:rFonts w:hint="eastAsia"/>
                <w:color w:val="auto"/>
                <w:lang w:val="en-US" w:eastAsia="zh-CN"/>
              </w:rPr>
              <w:t>硫磺、二甲苯</w:t>
            </w:r>
            <w:r>
              <w:rPr>
                <w:rFonts w:hint="eastAsia"/>
                <w:color w:val="auto"/>
              </w:rPr>
              <w:t>泄漏，造成地表水污染；</w:t>
            </w:r>
          </w:p>
          <w:p w14:paraId="48010706">
            <w:pPr>
              <w:ind w:firstLine="480"/>
              <w:rPr>
                <w:color w:val="auto"/>
              </w:rPr>
            </w:pPr>
            <w:r>
              <w:rPr>
                <w:rFonts w:hint="eastAsia"/>
                <w:color w:val="auto"/>
              </w:rPr>
              <w:t>②本项目使用天然橡胶</w:t>
            </w:r>
            <w:r>
              <w:rPr>
                <w:rFonts w:hint="eastAsia"/>
                <w:color w:val="auto"/>
                <w:lang w:eastAsia="zh-CN"/>
              </w:rPr>
              <w:t>、</w:t>
            </w:r>
            <w:r>
              <w:rPr>
                <w:rFonts w:hint="eastAsia"/>
                <w:color w:val="auto"/>
                <w:lang w:val="en-US" w:eastAsia="zh-CN"/>
              </w:rPr>
              <w:t>硫磺</w:t>
            </w:r>
            <w:r>
              <w:rPr>
                <w:rFonts w:hint="eastAsia"/>
                <w:color w:val="auto"/>
              </w:rPr>
              <w:t>等易燃可能造成火灾，同时会影响周围环境空气质量；</w:t>
            </w:r>
          </w:p>
          <w:p w14:paraId="4AC698CB">
            <w:pPr>
              <w:ind w:firstLine="480"/>
              <w:rPr>
                <w:rFonts w:hint="eastAsia"/>
                <w:color w:val="auto"/>
              </w:rPr>
            </w:pPr>
            <w:r>
              <w:rPr>
                <w:rFonts w:hint="eastAsia"/>
                <w:color w:val="auto"/>
              </w:rPr>
              <w:t>③项目废气处理设施发生故障，废气超标排放对周围环境空气质量造成严重影响。</w:t>
            </w:r>
          </w:p>
          <w:p w14:paraId="6D95B2AB">
            <w:pPr>
              <w:ind w:firstLine="480"/>
              <w:rPr>
                <w:rFonts w:hint="eastAsia"/>
                <w:color w:val="auto"/>
              </w:rPr>
            </w:pPr>
            <w:r>
              <w:rPr>
                <w:rFonts w:hint="eastAsia" w:ascii="宋体" w:hAnsi="宋体" w:cs="宋体"/>
                <w:color w:val="auto"/>
              </w:rPr>
              <w:t>④</w:t>
            </w:r>
            <w:r>
              <w:rPr>
                <w:rFonts w:hint="eastAsia"/>
                <w:color w:val="auto"/>
              </w:rPr>
              <w:t>项目储存的危废流失，造成地表水污染。</w:t>
            </w:r>
          </w:p>
          <w:p w14:paraId="353CF7B2">
            <w:pPr>
              <w:ind w:firstLine="480"/>
              <w:rPr>
                <w:rFonts w:hint="eastAsia" w:eastAsia="宋体"/>
                <w:color w:val="auto"/>
                <w:lang w:eastAsia="zh-CN"/>
              </w:rPr>
            </w:pPr>
            <w:r>
              <w:rPr>
                <w:rFonts w:hint="eastAsia" w:ascii="宋体" w:hAnsi="宋体" w:eastAsia="宋体" w:cs="宋体"/>
                <w:color w:val="auto"/>
              </w:rPr>
              <w:t>⑤</w:t>
            </w:r>
            <w:r>
              <w:rPr>
                <w:rFonts w:hint="eastAsia" w:eastAsia="宋体"/>
                <w:color w:val="auto"/>
                <w:lang w:eastAsia="zh-CN"/>
              </w:rPr>
              <w:t>本项目</w:t>
            </w:r>
            <w:r>
              <w:rPr>
                <w:rFonts w:hint="eastAsia"/>
                <w:color w:val="auto"/>
                <w:lang w:val="en-US" w:eastAsia="zh-CN"/>
              </w:rPr>
              <w:t>厂区</w:t>
            </w:r>
            <w:r>
              <w:rPr>
                <w:rFonts w:hint="eastAsia" w:eastAsia="宋体"/>
                <w:color w:val="auto"/>
                <w:lang w:eastAsia="zh-CN"/>
              </w:rPr>
              <w:t>发生火灾，产生消防废水。</w:t>
            </w:r>
          </w:p>
          <w:p w14:paraId="322B6E65">
            <w:pPr>
              <w:ind w:firstLine="480"/>
              <w:rPr>
                <w:rFonts w:hint="eastAsia"/>
                <w:color w:val="auto"/>
              </w:rPr>
            </w:pPr>
            <w:r>
              <w:rPr>
                <w:rFonts w:hint="eastAsia"/>
                <w:color w:val="auto"/>
              </w:rPr>
              <w:t>根据本项目的风险识别及风险分析结果，提出风险防范措施如下：</w:t>
            </w:r>
          </w:p>
          <w:p w14:paraId="3ACF3CF3">
            <w:pPr>
              <w:ind w:firstLine="480"/>
              <w:rPr>
                <w:color w:val="auto"/>
              </w:rPr>
            </w:pPr>
            <w:r>
              <w:rPr>
                <w:rFonts w:hint="eastAsia"/>
                <w:color w:val="auto"/>
              </w:rPr>
              <w:t>①</w:t>
            </w:r>
            <w:r>
              <w:rPr>
                <w:rFonts w:hint="eastAsia"/>
                <w:color w:val="auto"/>
                <w:lang w:eastAsia="zh-CN"/>
              </w:rPr>
              <w:t>项目所用</w:t>
            </w:r>
            <w:r>
              <w:rPr>
                <w:rFonts w:hint="eastAsia"/>
                <w:color w:val="auto"/>
                <w:lang w:val="en-US" w:eastAsia="zh-CN"/>
              </w:rPr>
              <w:t>硫磺</w:t>
            </w:r>
            <w:r>
              <w:rPr>
                <w:rFonts w:hint="eastAsia"/>
                <w:color w:val="auto"/>
                <w:lang w:eastAsia="zh-CN"/>
              </w:rPr>
              <w:t>应密封存放于</w:t>
            </w:r>
            <w:r>
              <w:rPr>
                <w:rFonts w:hint="eastAsia"/>
                <w:color w:val="auto"/>
                <w:lang w:val="en-US" w:eastAsia="zh-CN"/>
              </w:rPr>
              <w:t>硫磺防爆库</w:t>
            </w:r>
            <w:r>
              <w:rPr>
                <w:rFonts w:hint="eastAsia"/>
                <w:color w:val="auto"/>
                <w:lang w:eastAsia="zh-CN"/>
              </w:rPr>
              <w:t>中，并放置于托盘上，</w:t>
            </w:r>
            <w:r>
              <w:rPr>
                <w:rFonts w:hint="eastAsia"/>
                <w:color w:val="auto"/>
                <w:lang w:val="en-US" w:eastAsia="zh-CN"/>
              </w:rPr>
              <w:t>硫磺防爆库</w:t>
            </w:r>
            <w:r>
              <w:rPr>
                <w:rFonts w:hint="eastAsia"/>
                <w:color w:val="auto"/>
                <w:lang w:eastAsia="zh-CN"/>
              </w:rPr>
              <w:t>地面重点防渗</w:t>
            </w:r>
            <w:r>
              <w:rPr>
                <w:rFonts w:hint="eastAsia"/>
                <w:color w:val="auto"/>
              </w:rPr>
              <w:t>；</w:t>
            </w:r>
          </w:p>
          <w:p w14:paraId="1F6F9678">
            <w:pPr>
              <w:ind w:firstLine="480"/>
              <w:rPr>
                <w:rFonts w:hint="eastAsia"/>
                <w:color w:val="auto"/>
              </w:rPr>
            </w:pPr>
            <w:r>
              <w:rPr>
                <w:rFonts w:hint="default" w:ascii="Times New Roman" w:hAnsi="Times New Roman" w:eastAsia="微软雅黑" w:cs="Times New Roman"/>
                <w:color w:val="auto"/>
              </w:rPr>
              <w:t>②</w:t>
            </w:r>
            <w:r>
              <w:rPr>
                <w:rFonts w:hint="eastAsia" w:ascii="宋体" w:hAnsi="宋体" w:eastAsia="宋体" w:cs="宋体"/>
                <w:color w:val="auto"/>
                <w:lang w:eastAsia="zh-CN"/>
              </w:rPr>
              <w:t>雨水总排口设置切断阀</w:t>
            </w:r>
            <w:r>
              <w:rPr>
                <w:rFonts w:hint="eastAsia" w:ascii="宋体" w:hAnsi="宋体" w:cs="宋体"/>
                <w:color w:val="auto"/>
                <w:lang w:eastAsia="zh-CN"/>
              </w:rPr>
              <w:t>，</w:t>
            </w:r>
            <w:r>
              <w:rPr>
                <w:rFonts w:hint="eastAsia"/>
                <w:color w:val="auto"/>
                <w:vertAlign w:val="baseline"/>
                <w:lang w:eastAsia="zh-CN"/>
              </w:rPr>
              <w:t>当发生火灾时，及时关闭厂区雨水总排口切断阀，可以有效防止消防废水进入市政雨水管网，将消防废水截留在厂区内</w:t>
            </w:r>
            <w:r>
              <w:rPr>
                <w:rFonts w:hint="eastAsia" w:ascii="宋体" w:hAnsi="宋体" w:cs="宋体"/>
                <w:color w:val="auto"/>
                <w:lang w:eastAsia="zh-CN"/>
              </w:rPr>
              <w:t>。</w:t>
            </w:r>
          </w:p>
          <w:p w14:paraId="431FC285">
            <w:pPr>
              <w:ind w:firstLine="480"/>
              <w:rPr>
                <w:color w:val="auto"/>
              </w:rPr>
            </w:pPr>
            <w:r>
              <w:rPr>
                <w:rFonts w:hint="eastAsia"/>
                <w:color w:val="auto"/>
              </w:rPr>
              <w:t>③废气处理设施中，应设置相应的备用设备，主要是风机</w:t>
            </w:r>
            <w:r>
              <w:rPr>
                <w:rFonts w:hint="eastAsia"/>
                <w:color w:val="auto"/>
                <w:lang w:eastAsia="zh-CN"/>
              </w:rPr>
              <w:t>；</w:t>
            </w:r>
            <w:r>
              <w:rPr>
                <w:rFonts w:hint="eastAsia"/>
                <w:color w:val="auto"/>
              </w:rPr>
              <w:t>废气处理设施一旦发生故障，应立即停止实验作业，并应及时检修，尽快使其恢复运行；</w:t>
            </w:r>
          </w:p>
          <w:p w14:paraId="24702015">
            <w:pPr>
              <w:ind w:firstLine="480"/>
              <w:rPr>
                <w:color w:val="auto"/>
              </w:rPr>
            </w:pPr>
            <w:r>
              <w:rPr>
                <w:rFonts w:hint="eastAsia"/>
                <w:color w:val="auto"/>
              </w:rPr>
              <w:t>④加强危险废物管理，危险废物严格按照《危险废物转移联单管理办法》的相关规定；</w:t>
            </w:r>
          </w:p>
          <w:p w14:paraId="57D6F73F">
            <w:pPr>
              <w:pStyle w:val="59"/>
              <w:spacing w:line="360" w:lineRule="auto"/>
              <w:ind w:firstLine="480"/>
              <w:jc w:val="both"/>
              <w:rPr>
                <w:color w:val="auto"/>
              </w:rPr>
            </w:pPr>
            <w:r>
              <w:rPr>
                <w:rFonts w:hint="eastAsia"/>
                <w:color w:val="auto"/>
              </w:rPr>
              <w:t>⑤</w:t>
            </w:r>
            <w:r>
              <w:rPr>
                <w:rFonts w:hint="eastAsia" w:eastAsia="宋体"/>
                <w:color w:val="auto"/>
              </w:rPr>
              <w:t>危废</w:t>
            </w:r>
            <w:r>
              <w:rPr>
                <w:rFonts w:hint="eastAsia"/>
                <w:color w:val="auto"/>
              </w:rPr>
              <w:t>等关键位置设有手动报警按钮，火灾报警等设施，并配备相应数量灭火器；</w:t>
            </w:r>
          </w:p>
          <w:p w14:paraId="18EE4266">
            <w:pPr>
              <w:ind w:firstLine="480"/>
              <w:rPr>
                <w:color w:val="auto"/>
              </w:rPr>
            </w:pPr>
            <w:r>
              <w:rPr>
                <w:rFonts w:hint="eastAsia"/>
                <w:color w:val="auto"/>
              </w:rPr>
              <w:t>⑥</w:t>
            </w:r>
            <w:r>
              <w:rPr>
                <w:rFonts w:hint="eastAsia"/>
                <w:color w:val="auto"/>
                <w:lang w:val="en-US" w:eastAsia="zh-CN"/>
              </w:rPr>
              <w:t>硫磺防爆库、辅料库房</w:t>
            </w:r>
            <w:r>
              <w:rPr>
                <w:rFonts w:hint="eastAsia"/>
                <w:color w:val="auto"/>
              </w:rPr>
              <w:t>等存在环境风险的关键地点，需设置明显警示标记，并设置专人监管；</w:t>
            </w:r>
          </w:p>
          <w:p w14:paraId="63B3D3DA">
            <w:pPr>
              <w:ind w:firstLine="480"/>
              <w:rPr>
                <w:rFonts w:hint="eastAsia"/>
                <w:color w:val="auto"/>
              </w:rPr>
            </w:pPr>
            <w:r>
              <w:rPr>
                <w:rFonts w:hint="eastAsia"/>
                <w:color w:val="auto"/>
              </w:rPr>
              <w:t>⑦</w:t>
            </w:r>
            <w:r>
              <w:rPr>
                <w:color w:val="auto"/>
              </w:rPr>
              <w:t>配置消防沙、应急照明、急救药品、灭火器等应急物资</w:t>
            </w:r>
            <w:r>
              <w:rPr>
                <w:rFonts w:hint="eastAsia"/>
                <w:color w:val="auto"/>
              </w:rPr>
              <w:t>。</w:t>
            </w:r>
          </w:p>
          <w:p w14:paraId="51CB4652">
            <w:pPr>
              <w:ind w:firstLine="480"/>
              <w:rPr>
                <w:rFonts w:hint="eastAsia"/>
                <w:color w:val="auto"/>
              </w:rPr>
            </w:pPr>
          </w:p>
        </w:tc>
      </w:tr>
    </w:tbl>
    <w:p w14:paraId="46E4DA2E">
      <w:pPr>
        <w:ind w:firstLine="0" w:firstLineChars="0"/>
        <w:rPr>
          <w:rFonts w:hint="eastAsia"/>
          <w:color w:val="auto"/>
        </w:rPr>
        <w:sectPr>
          <w:pgSz w:w="11905" w:h="16838"/>
          <w:pgMar w:top="1701" w:right="1531" w:bottom="1701" w:left="1531" w:header="851" w:footer="850" w:gutter="0"/>
          <w:pgNumType w:fmt="decimal"/>
          <w:cols w:space="720" w:num="1"/>
          <w:docGrid w:type="linesAndChars" w:linePitch="312" w:charSpace="0"/>
        </w:sectPr>
      </w:pPr>
    </w:p>
    <w:p w14:paraId="4F28F556">
      <w:pPr>
        <w:pStyle w:val="20"/>
        <w:ind w:firstLine="600"/>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7" w:name="_Hlk54167917"/>
      <w:r>
        <w:rPr>
          <w:rFonts w:hint="eastAsia" w:ascii="黑体" w:hAnsi="黑体" w:eastAsia="黑体"/>
          <w:snapToGrid w:val="0"/>
          <w:color w:val="auto"/>
          <w:sz w:val="30"/>
          <w:szCs w:val="30"/>
        </w:rPr>
        <w:t>环境保护措施监督检查清单</w:t>
      </w:r>
      <w:bookmarkEnd w:id="7"/>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1725"/>
        <w:gridCol w:w="1821"/>
        <w:gridCol w:w="2275"/>
        <w:gridCol w:w="1757"/>
      </w:tblGrid>
      <w:tr w14:paraId="1FE094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22" w:type="dxa"/>
            <w:tcBorders>
              <w:tl2br w:val="single" w:color="auto" w:sz="4" w:space="0"/>
            </w:tcBorders>
            <w:noWrap w:val="0"/>
            <w:vAlign w:val="center"/>
          </w:tcPr>
          <w:p w14:paraId="259EDC1F">
            <w:pPr>
              <w:spacing w:line="240" w:lineRule="auto"/>
              <w:ind w:firstLine="0" w:firstLineChars="0"/>
              <w:jc w:val="center"/>
              <w:rPr>
                <w:color w:val="auto"/>
                <w:sz w:val="24"/>
                <w:szCs w:val="24"/>
              </w:rPr>
            </w:pPr>
            <w:r>
              <w:rPr>
                <w:color w:val="auto"/>
                <w:sz w:val="24"/>
                <w:szCs w:val="24"/>
              </w:rPr>
              <w:t xml:space="preserve">    内容</w:t>
            </w:r>
          </w:p>
          <w:p w14:paraId="0721B36B">
            <w:pPr>
              <w:spacing w:line="240" w:lineRule="auto"/>
              <w:ind w:firstLine="0" w:firstLineChars="0"/>
              <w:rPr>
                <w:color w:val="auto"/>
                <w:sz w:val="24"/>
                <w:szCs w:val="24"/>
              </w:rPr>
            </w:pPr>
            <w:r>
              <w:rPr>
                <w:color w:val="auto"/>
                <w:sz w:val="24"/>
                <w:szCs w:val="24"/>
              </w:rPr>
              <w:t>要素</w:t>
            </w:r>
          </w:p>
        </w:tc>
        <w:tc>
          <w:tcPr>
            <w:tcW w:w="1725" w:type="dxa"/>
            <w:noWrap w:val="0"/>
            <w:vAlign w:val="center"/>
          </w:tcPr>
          <w:p w14:paraId="1D869F6F">
            <w:pPr>
              <w:spacing w:line="240" w:lineRule="auto"/>
              <w:ind w:firstLine="0" w:firstLineChars="0"/>
              <w:jc w:val="center"/>
              <w:rPr>
                <w:color w:val="auto"/>
                <w:sz w:val="24"/>
                <w:szCs w:val="24"/>
              </w:rPr>
            </w:pPr>
            <w:r>
              <w:rPr>
                <w:color w:val="auto"/>
                <w:sz w:val="24"/>
                <w:szCs w:val="24"/>
              </w:rPr>
              <w:t>排放口(编号、</w:t>
            </w:r>
          </w:p>
          <w:p w14:paraId="27F4DCCF">
            <w:pPr>
              <w:spacing w:line="240" w:lineRule="auto"/>
              <w:ind w:firstLine="0" w:firstLineChars="0"/>
              <w:jc w:val="center"/>
              <w:rPr>
                <w:color w:val="auto"/>
                <w:sz w:val="24"/>
                <w:szCs w:val="24"/>
              </w:rPr>
            </w:pPr>
            <w:r>
              <w:rPr>
                <w:color w:val="auto"/>
                <w:sz w:val="24"/>
                <w:szCs w:val="24"/>
              </w:rPr>
              <w:t>名称)/污染源</w:t>
            </w:r>
          </w:p>
        </w:tc>
        <w:tc>
          <w:tcPr>
            <w:tcW w:w="1821" w:type="dxa"/>
            <w:noWrap w:val="0"/>
            <w:vAlign w:val="center"/>
          </w:tcPr>
          <w:p w14:paraId="1CF70FED">
            <w:pPr>
              <w:spacing w:line="240" w:lineRule="auto"/>
              <w:ind w:firstLine="0" w:firstLineChars="0"/>
              <w:jc w:val="center"/>
              <w:rPr>
                <w:color w:val="auto"/>
                <w:sz w:val="24"/>
                <w:szCs w:val="24"/>
              </w:rPr>
            </w:pPr>
            <w:r>
              <w:rPr>
                <w:color w:val="auto"/>
                <w:sz w:val="24"/>
                <w:szCs w:val="24"/>
              </w:rPr>
              <w:t>污染物项目</w:t>
            </w:r>
          </w:p>
        </w:tc>
        <w:tc>
          <w:tcPr>
            <w:tcW w:w="2275" w:type="dxa"/>
            <w:noWrap w:val="0"/>
            <w:vAlign w:val="center"/>
          </w:tcPr>
          <w:p w14:paraId="1BF53A1E">
            <w:pPr>
              <w:spacing w:line="240" w:lineRule="auto"/>
              <w:ind w:firstLine="0" w:firstLineChars="0"/>
              <w:jc w:val="center"/>
              <w:rPr>
                <w:color w:val="auto"/>
                <w:sz w:val="24"/>
                <w:szCs w:val="24"/>
              </w:rPr>
            </w:pPr>
            <w:r>
              <w:rPr>
                <w:color w:val="auto"/>
                <w:sz w:val="24"/>
                <w:szCs w:val="24"/>
              </w:rPr>
              <w:t>环境保护措施</w:t>
            </w:r>
          </w:p>
        </w:tc>
        <w:tc>
          <w:tcPr>
            <w:tcW w:w="1757" w:type="dxa"/>
            <w:noWrap w:val="0"/>
            <w:vAlign w:val="center"/>
          </w:tcPr>
          <w:p w14:paraId="4EAF7612">
            <w:pPr>
              <w:spacing w:line="240" w:lineRule="auto"/>
              <w:ind w:firstLine="0" w:firstLineChars="0"/>
              <w:jc w:val="center"/>
              <w:rPr>
                <w:color w:val="auto"/>
                <w:sz w:val="24"/>
                <w:szCs w:val="24"/>
              </w:rPr>
            </w:pPr>
            <w:r>
              <w:rPr>
                <w:color w:val="auto"/>
                <w:sz w:val="24"/>
                <w:szCs w:val="24"/>
              </w:rPr>
              <w:t>执行标准</w:t>
            </w:r>
          </w:p>
        </w:tc>
      </w:tr>
      <w:tr w14:paraId="48A839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22" w:type="dxa"/>
            <w:vMerge w:val="restart"/>
            <w:noWrap w:val="0"/>
            <w:vAlign w:val="center"/>
          </w:tcPr>
          <w:p w14:paraId="5435BCBC">
            <w:pPr>
              <w:spacing w:line="240" w:lineRule="auto"/>
              <w:ind w:firstLine="0" w:firstLineChars="0"/>
              <w:jc w:val="center"/>
              <w:rPr>
                <w:color w:val="auto"/>
                <w:sz w:val="24"/>
                <w:szCs w:val="24"/>
              </w:rPr>
            </w:pPr>
            <w:r>
              <w:rPr>
                <w:color w:val="auto"/>
                <w:sz w:val="24"/>
                <w:szCs w:val="24"/>
              </w:rPr>
              <w:t>大气环境</w:t>
            </w:r>
          </w:p>
          <w:p w14:paraId="21B41DDC">
            <w:pPr>
              <w:spacing w:line="240" w:lineRule="auto"/>
              <w:ind w:firstLine="0" w:firstLineChars="0"/>
              <w:jc w:val="center"/>
              <w:rPr>
                <w:color w:val="auto"/>
                <w:sz w:val="24"/>
                <w:szCs w:val="24"/>
              </w:rPr>
            </w:pPr>
          </w:p>
          <w:p w14:paraId="0DBB04DB">
            <w:pPr>
              <w:pStyle w:val="10"/>
              <w:spacing w:line="240" w:lineRule="auto"/>
              <w:rPr>
                <w:color w:val="auto"/>
                <w:sz w:val="24"/>
                <w:szCs w:val="24"/>
              </w:rPr>
            </w:pPr>
          </w:p>
        </w:tc>
        <w:tc>
          <w:tcPr>
            <w:tcW w:w="1725" w:type="dxa"/>
            <w:noWrap w:val="0"/>
            <w:vAlign w:val="center"/>
          </w:tcPr>
          <w:p w14:paraId="6A4AC72B">
            <w:pPr>
              <w:spacing w:line="240" w:lineRule="auto"/>
              <w:ind w:firstLine="0" w:firstLineChars="0"/>
              <w:jc w:val="center"/>
              <w:rPr>
                <w:rFonts w:hint="default"/>
                <w:color w:val="auto"/>
                <w:sz w:val="24"/>
                <w:szCs w:val="24"/>
                <w:lang w:val="en-US"/>
              </w:rPr>
            </w:pPr>
            <w:r>
              <w:rPr>
                <w:rFonts w:hint="eastAsia"/>
                <w:color w:val="auto"/>
                <w:sz w:val="24"/>
                <w:szCs w:val="24"/>
                <w:lang w:val="en-US" w:eastAsia="zh-CN"/>
              </w:rPr>
              <w:t>DA001、1#排气筒</w:t>
            </w:r>
          </w:p>
        </w:tc>
        <w:tc>
          <w:tcPr>
            <w:tcW w:w="1821" w:type="dxa"/>
            <w:noWrap w:val="0"/>
            <w:vAlign w:val="center"/>
          </w:tcPr>
          <w:p w14:paraId="7CBDFEE8">
            <w:pPr>
              <w:spacing w:line="240" w:lineRule="auto"/>
              <w:ind w:firstLine="0" w:firstLineChars="0"/>
              <w:jc w:val="center"/>
              <w:rPr>
                <w:rFonts w:hint="default" w:eastAsia="宋体"/>
                <w:color w:val="auto"/>
                <w:sz w:val="24"/>
                <w:szCs w:val="24"/>
                <w:lang w:val="en-US" w:eastAsia="zh-CN"/>
              </w:rPr>
            </w:pPr>
            <w:r>
              <w:rPr>
                <w:rFonts w:hint="eastAsia"/>
                <w:color w:val="auto"/>
                <w:sz w:val="24"/>
                <w:szCs w:val="24"/>
                <w:lang w:val="en-US" w:eastAsia="zh-CN"/>
              </w:rPr>
              <w:t>颗粒物、非甲烷总烃、臭气浓度</w:t>
            </w:r>
          </w:p>
        </w:tc>
        <w:tc>
          <w:tcPr>
            <w:tcW w:w="2275" w:type="dxa"/>
            <w:noWrap w:val="0"/>
            <w:vAlign w:val="center"/>
          </w:tcPr>
          <w:p w14:paraId="44C3B827">
            <w:pPr>
              <w:spacing w:line="240" w:lineRule="auto"/>
              <w:ind w:firstLine="0" w:firstLineChars="0"/>
              <w:jc w:val="center"/>
              <w:rPr>
                <w:rFonts w:hint="eastAsia" w:ascii="Times New Roman" w:hAnsi="Times New Roman" w:eastAsia="宋体" w:cs="Times New Roman"/>
                <w:bCs/>
                <w:color w:val="auto"/>
                <w:kern w:val="2"/>
                <w:sz w:val="24"/>
                <w:szCs w:val="21"/>
                <w:lang w:val="en-US" w:eastAsia="zh-CN" w:bidi="ar-SA"/>
              </w:rPr>
            </w:pPr>
            <w:r>
              <w:rPr>
                <w:rFonts w:hint="eastAsia" w:ascii="Times New Roman" w:hAnsi="Times New Roman" w:eastAsia="宋体" w:cs="Times New Roman"/>
                <w:bCs/>
                <w:color w:val="auto"/>
                <w:kern w:val="2"/>
                <w:sz w:val="24"/>
                <w:szCs w:val="21"/>
                <w:lang w:val="en-US" w:eastAsia="zh-CN" w:bidi="ar-SA"/>
              </w:rPr>
              <w:t>配料粉尘经密闭配料室集风管收集、投料粉尘经投料口上方集气罩收集，布袋除尘器+二级活性炭吸附装置处理后经15m高排气筒（DA001）排放</w:t>
            </w:r>
            <w:r>
              <w:rPr>
                <w:rFonts w:hint="eastAsia" w:cs="Times New Roman"/>
                <w:bCs/>
                <w:color w:val="auto"/>
                <w:kern w:val="2"/>
                <w:sz w:val="24"/>
                <w:szCs w:val="21"/>
                <w:lang w:val="en-US" w:eastAsia="zh-CN" w:bidi="ar-SA"/>
              </w:rPr>
              <w:t>；</w:t>
            </w:r>
            <w:r>
              <w:rPr>
                <w:rFonts w:hint="eastAsia" w:ascii="Times New Roman" w:hAnsi="Times New Roman" w:eastAsia="宋体" w:cs="Times New Roman"/>
                <w:bCs/>
                <w:color w:val="auto"/>
                <w:kern w:val="2"/>
                <w:sz w:val="24"/>
                <w:szCs w:val="21"/>
                <w:lang w:val="en-US" w:eastAsia="zh-CN" w:bidi="ar-SA"/>
              </w:rPr>
              <w:t>密炼、开炼废气经设备上方集气罩+软帘收集，布袋除尘器+二级活性炭吸附装置处理后经15m高排气筒（DA001）排放</w:t>
            </w:r>
          </w:p>
        </w:tc>
        <w:tc>
          <w:tcPr>
            <w:tcW w:w="1757" w:type="dxa"/>
            <w:vMerge w:val="restart"/>
            <w:noWrap w:val="0"/>
            <w:vAlign w:val="center"/>
          </w:tcPr>
          <w:p w14:paraId="0916D452">
            <w:pPr>
              <w:spacing w:line="240" w:lineRule="auto"/>
              <w:ind w:firstLine="0" w:firstLineChars="0"/>
              <w:jc w:val="center"/>
              <w:rPr>
                <w:rFonts w:hint="eastAsia" w:eastAsia="宋体"/>
                <w:color w:val="auto"/>
                <w:sz w:val="24"/>
                <w:szCs w:val="24"/>
                <w:lang w:eastAsia="zh-CN"/>
              </w:rPr>
            </w:pPr>
            <w:r>
              <w:rPr>
                <w:rFonts w:hint="eastAsia" w:eastAsia="宋体"/>
                <w:color w:val="auto"/>
                <w:sz w:val="24"/>
                <w:szCs w:val="24"/>
                <w:lang w:val="en-US" w:eastAsia="zh-CN"/>
              </w:rPr>
              <w:t>安徽省《固定源挥发性有机物综合排放标准 第6部分 其他行业》（DB34/4812.6-2024）、</w:t>
            </w:r>
            <w:r>
              <w:rPr>
                <w:rFonts w:hint="eastAsia" w:eastAsia="宋体"/>
                <w:color w:val="auto"/>
                <w:sz w:val="24"/>
                <w:szCs w:val="24"/>
                <w:lang w:eastAsia="zh-CN"/>
              </w:rPr>
              <w:t>《恶臭污染物排放标准》（GB14554-93）、</w:t>
            </w:r>
            <w:r>
              <w:rPr>
                <w:rFonts w:hint="eastAsia" w:eastAsia="宋体"/>
                <w:color w:val="auto"/>
                <w:sz w:val="24"/>
                <w:szCs w:val="24"/>
                <w:lang w:val="en-US" w:eastAsia="zh-CN"/>
              </w:rPr>
              <w:t>《大气污染物综合排放标准》（GB16297-1996）、《橡胶制品工业污染物排放标准》（GB27632-2011）</w:t>
            </w:r>
          </w:p>
        </w:tc>
      </w:tr>
      <w:tr w14:paraId="6DA4EA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22" w:type="dxa"/>
            <w:vMerge w:val="continue"/>
            <w:noWrap w:val="0"/>
            <w:vAlign w:val="center"/>
          </w:tcPr>
          <w:p w14:paraId="200DFC2E">
            <w:pPr>
              <w:spacing w:line="240" w:lineRule="auto"/>
              <w:ind w:firstLine="0" w:firstLineChars="0"/>
              <w:jc w:val="center"/>
              <w:rPr>
                <w:color w:val="auto"/>
                <w:sz w:val="24"/>
                <w:szCs w:val="24"/>
              </w:rPr>
            </w:pPr>
          </w:p>
        </w:tc>
        <w:tc>
          <w:tcPr>
            <w:tcW w:w="1725" w:type="dxa"/>
            <w:noWrap w:val="0"/>
            <w:vAlign w:val="center"/>
          </w:tcPr>
          <w:p w14:paraId="4BBE060E">
            <w:pPr>
              <w:spacing w:line="240" w:lineRule="auto"/>
              <w:ind w:firstLine="0" w:firstLineChars="0"/>
              <w:jc w:val="center"/>
              <w:rPr>
                <w:rFonts w:hint="default"/>
                <w:color w:val="auto"/>
                <w:sz w:val="24"/>
                <w:szCs w:val="24"/>
                <w:lang w:val="en-US"/>
              </w:rPr>
            </w:pPr>
            <w:r>
              <w:rPr>
                <w:rFonts w:hint="eastAsia"/>
                <w:color w:val="auto"/>
                <w:sz w:val="24"/>
                <w:szCs w:val="24"/>
                <w:lang w:val="en-US" w:eastAsia="zh-CN"/>
              </w:rPr>
              <w:t>DA002、2#排气筒</w:t>
            </w:r>
          </w:p>
        </w:tc>
        <w:tc>
          <w:tcPr>
            <w:tcW w:w="1821" w:type="dxa"/>
            <w:noWrap w:val="0"/>
            <w:vAlign w:val="center"/>
          </w:tcPr>
          <w:p w14:paraId="2D984A40">
            <w:pPr>
              <w:spacing w:line="240" w:lineRule="auto"/>
              <w:ind w:firstLine="0" w:firstLineChars="0"/>
              <w:jc w:val="center"/>
              <w:rPr>
                <w:color w:val="auto"/>
                <w:sz w:val="24"/>
                <w:szCs w:val="24"/>
              </w:rPr>
            </w:pPr>
            <w:r>
              <w:rPr>
                <w:rFonts w:hint="eastAsia"/>
                <w:color w:val="auto"/>
                <w:sz w:val="24"/>
                <w:szCs w:val="24"/>
                <w:lang w:val="en-US" w:eastAsia="zh-CN"/>
              </w:rPr>
              <w:t>颗粒物</w:t>
            </w:r>
          </w:p>
        </w:tc>
        <w:tc>
          <w:tcPr>
            <w:tcW w:w="2275" w:type="dxa"/>
            <w:noWrap w:val="0"/>
            <w:vAlign w:val="center"/>
          </w:tcPr>
          <w:p w14:paraId="17F37B9A">
            <w:pPr>
              <w:spacing w:line="240" w:lineRule="auto"/>
              <w:ind w:firstLine="0" w:firstLineChars="0"/>
              <w:jc w:val="center"/>
              <w:rPr>
                <w:rFonts w:hint="eastAsia" w:ascii="Times New Roman" w:hAnsi="Times New Roman" w:eastAsia="宋体" w:cs="Times New Roman"/>
                <w:bCs/>
                <w:color w:val="auto"/>
                <w:kern w:val="2"/>
                <w:sz w:val="24"/>
                <w:szCs w:val="21"/>
                <w:lang w:val="en-US" w:eastAsia="zh-CN" w:bidi="ar-SA"/>
              </w:rPr>
            </w:pPr>
            <w:r>
              <w:rPr>
                <w:rFonts w:hint="eastAsia" w:ascii="Times New Roman" w:hAnsi="Times New Roman" w:eastAsia="宋体" w:cs="Times New Roman"/>
                <w:bCs/>
                <w:color w:val="auto"/>
                <w:kern w:val="2"/>
                <w:sz w:val="24"/>
                <w:szCs w:val="21"/>
                <w:lang w:val="en-US" w:eastAsia="zh-CN" w:bidi="ar-SA"/>
              </w:rPr>
              <w:t>剪切粉尘经设备上方集气罩收集、喷砂粉尘经密闭设备内部集风管收集，布袋除尘器处理后经15m高排气筒（DA002）排放</w:t>
            </w:r>
          </w:p>
        </w:tc>
        <w:tc>
          <w:tcPr>
            <w:tcW w:w="1757" w:type="dxa"/>
            <w:vMerge w:val="continue"/>
            <w:noWrap w:val="0"/>
            <w:vAlign w:val="center"/>
          </w:tcPr>
          <w:p w14:paraId="51E58CF1">
            <w:pPr>
              <w:spacing w:line="240" w:lineRule="auto"/>
              <w:ind w:firstLine="0" w:firstLineChars="0"/>
              <w:jc w:val="center"/>
              <w:rPr>
                <w:color w:val="auto"/>
                <w:sz w:val="24"/>
                <w:szCs w:val="24"/>
              </w:rPr>
            </w:pPr>
          </w:p>
        </w:tc>
      </w:tr>
      <w:tr w14:paraId="46051F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22" w:type="dxa"/>
            <w:vMerge w:val="continue"/>
            <w:noWrap w:val="0"/>
            <w:vAlign w:val="center"/>
          </w:tcPr>
          <w:p w14:paraId="41E85F65">
            <w:pPr>
              <w:spacing w:line="240" w:lineRule="auto"/>
              <w:ind w:firstLine="0" w:firstLineChars="0"/>
              <w:jc w:val="center"/>
              <w:rPr>
                <w:color w:val="auto"/>
                <w:sz w:val="24"/>
                <w:szCs w:val="24"/>
              </w:rPr>
            </w:pPr>
          </w:p>
        </w:tc>
        <w:tc>
          <w:tcPr>
            <w:tcW w:w="1725" w:type="dxa"/>
            <w:noWrap w:val="0"/>
            <w:vAlign w:val="center"/>
          </w:tcPr>
          <w:p w14:paraId="69159635">
            <w:pPr>
              <w:spacing w:line="240" w:lineRule="auto"/>
              <w:ind w:firstLine="0" w:firstLineChars="0"/>
              <w:jc w:val="center"/>
              <w:rPr>
                <w:rFonts w:hint="default"/>
                <w:color w:val="auto"/>
                <w:sz w:val="24"/>
                <w:szCs w:val="24"/>
                <w:lang w:val="en-US"/>
              </w:rPr>
            </w:pPr>
            <w:r>
              <w:rPr>
                <w:rFonts w:hint="eastAsia"/>
                <w:color w:val="auto"/>
                <w:sz w:val="24"/>
                <w:szCs w:val="24"/>
                <w:lang w:val="en-US" w:eastAsia="zh-CN"/>
              </w:rPr>
              <w:t>DA003、3#排气筒</w:t>
            </w:r>
          </w:p>
        </w:tc>
        <w:tc>
          <w:tcPr>
            <w:tcW w:w="1821" w:type="dxa"/>
            <w:noWrap w:val="0"/>
            <w:vAlign w:val="center"/>
          </w:tcPr>
          <w:p w14:paraId="61BC95CE">
            <w:pPr>
              <w:spacing w:line="240" w:lineRule="auto"/>
              <w:ind w:firstLine="0" w:firstLineChars="0"/>
              <w:jc w:val="center"/>
              <w:rPr>
                <w:color w:val="auto"/>
                <w:sz w:val="24"/>
                <w:szCs w:val="24"/>
              </w:rPr>
            </w:pPr>
            <w:r>
              <w:rPr>
                <w:rFonts w:hint="eastAsia"/>
                <w:color w:val="auto"/>
                <w:sz w:val="24"/>
                <w:szCs w:val="24"/>
                <w:lang w:val="en-US" w:eastAsia="zh-CN"/>
              </w:rPr>
              <w:t>颗粒物、非甲烷总烃、硫化氢、臭气浓度</w:t>
            </w:r>
          </w:p>
        </w:tc>
        <w:tc>
          <w:tcPr>
            <w:tcW w:w="2275" w:type="dxa"/>
            <w:noWrap w:val="0"/>
            <w:vAlign w:val="center"/>
          </w:tcPr>
          <w:p w14:paraId="13F94DA0">
            <w:pPr>
              <w:spacing w:line="240" w:lineRule="auto"/>
              <w:ind w:firstLine="0" w:firstLineChars="0"/>
              <w:jc w:val="center"/>
              <w:rPr>
                <w:rFonts w:hint="eastAsia" w:ascii="Times New Roman" w:hAnsi="Times New Roman" w:eastAsia="宋体" w:cs="Times New Roman"/>
                <w:bCs/>
                <w:color w:val="auto"/>
                <w:kern w:val="2"/>
                <w:sz w:val="24"/>
                <w:szCs w:val="21"/>
                <w:lang w:val="en-US" w:eastAsia="zh-CN" w:bidi="ar-SA"/>
              </w:rPr>
            </w:pPr>
            <w:r>
              <w:rPr>
                <w:rFonts w:hint="eastAsia" w:ascii="Times New Roman" w:hAnsi="Times New Roman" w:eastAsia="宋体" w:cs="Times New Roman"/>
                <w:bCs/>
                <w:color w:val="auto"/>
                <w:kern w:val="2"/>
                <w:sz w:val="24"/>
                <w:szCs w:val="21"/>
                <w:lang w:val="en-US" w:eastAsia="zh-CN" w:bidi="ar-SA"/>
              </w:rPr>
              <w:t>涂胶废气经密闭涂胶间集风管收集、硫化废气经设备上方集气罩+软帘收集，二级活性炭吸附装置处理后经15m高排气筒（DA003）排放</w:t>
            </w:r>
          </w:p>
        </w:tc>
        <w:tc>
          <w:tcPr>
            <w:tcW w:w="1757" w:type="dxa"/>
            <w:vMerge w:val="continue"/>
            <w:noWrap w:val="0"/>
            <w:vAlign w:val="center"/>
          </w:tcPr>
          <w:p w14:paraId="28199B4D">
            <w:pPr>
              <w:spacing w:line="240" w:lineRule="auto"/>
              <w:ind w:firstLine="0" w:firstLineChars="0"/>
              <w:jc w:val="center"/>
              <w:rPr>
                <w:color w:val="auto"/>
                <w:sz w:val="24"/>
                <w:szCs w:val="24"/>
              </w:rPr>
            </w:pPr>
          </w:p>
        </w:tc>
      </w:tr>
      <w:tr w14:paraId="30ABEE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22" w:type="dxa"/>
            <w:noWrap w:val="0"/>
            <w:vAlign w:val="center"/>
          </w:tcPr>
          <w:p w14:paraId="174BA7A5">
            <w:pPr>
              <w:spacing w:line="240" w:lineRule="auto"/>
              <w:ind w:firstLine="0" w:firstLineChars="0"/>
              <w:jc w:val="center"/>
              <w:rPr>
                <w:color w:val="auto"/>
                <w:sz w:val="24"/>
                <w:szCs w:val="24"/>
              </w:rPr>
            </w:pPr>
            <w:r>
              <w:rPr>
                <w:color w:val="auto"/>
                <w:sz w:val="24"/>
                <w:szCs w:val="24"/>
              </w:rPr>
              <w:t>地表水环境</w:t>
            </w:r>
          </w:p>
        </w:tc>
        <w:tc>
          <w:tcPr>
            <w:tcW w:w="1725" w:type="dxa"/>
            <w:noWrap w:val="0"/>
            <w:vAlign w:val="center"/>
          </w:tcPr>
          <w:p w14:paraId="0CC63816">
            <w:pPr>
              <w:spacing w:line="240" w:lineRule="auto"/>
              <w:ind w:firstLine="0" w:firstLineChars="0"/>
              <w:jc w:val="center"/>
              <w:rPr>
                <w:color w:val="auto"/>
                <w:sz w:val="24"/>
                <w:szCs w:val="24"/>
                <w:lang w:val="zh-CN"/>
              </w:rPr>
            </w:pPr>
            <w:r>
              <w:rPr>
                <w:rFonts w:hint="eastAsia"/>
                <w:color w:val="auto"/>
                <w:sz w:val="24"/>
                <w:szCs w:val="24"/>
              </w:rPr>
              <w:t>生活污水、保洁废水、</w:t>
            </w:r>
            <w:r>
              <w:rPr>
                <w:rFonts w:hint="eastAsia"/>
                <w:color w:val="auto"/>
                <w:sz w:val="24"/>
                <w:szCs w:val="24"/>
                <w:lang w:val="en-US" w:eastAsia="zh-CN"/>
              </w:rPr>
              <w:t>冷却循环系统排</w:t>
            </w:r>
            <w:r>
              <w:rPr>
                <w:rFonts w:hint="eastAsia"/>
                <w:color w:val="auto"/>
                <w:sz w:val="24"/>
                <w:szCs w:val="24"/>
              </w:rPr>
              <w:t>水</w:t>
            </w:r>
          </w:p>
        </w:tc>
        <w:tc>
          <w:tcPr>
            <w:tcW w:w="1821" w:type="dxa"/>
            <w:noWrap w:val="0"/>
            <w:vAlign w:val="center"/>
          </w:tcPr>
          <w:p w14:paraId="15706B83">
            <w:pPr>
              <w:spacing w:line="240" w:lineRule="auto"/>
              <w:ind w:firstLine="0" w:firstLineChars="0"/>
              <w:jc w:val="center"/>
              <w:rPr>
                <w:rFonts w:hint="eastAsia"/>
                <w:color w:val="auto"/>
                <w:sz w:val="24"/>
                <w:szCs w:val="24"/>
              </w:rPr>
            </w:pPr>
          </w:p>
          <w:p w14:paraId="2DBBA076">
            <w:pPr>
              <w:spacing w:line="240" w:lineRule="auto"/>
              <w:ind w:firstLine="0" w:firstLineChars="0"/>
              <w:jc w:val="center"/>
              <w:rPr>
                <w:rFonts w:hint="eastAsia"/>
                <w:color w:val="auto"/>
                <w:sz w:val="24"/>
                <w:szCs w:val="24"/>
              </w:rPr>
            </w:pPr>
            <w:r>
              <w:rPr>
                <w:rFonts w:hint="eastAsia"/>
                <w:color w:val="auto"/>
                <w:sz w:val="24"/>
                <w:szCs w:val="24"/>
              </w:rPr>
              <w:t>pH、COD、BOD</w:t>
            </w:r>
            <w:r>
              <w:rPr>
                <w:rFonts w:hint="eastAsia"/>
                <w:color w:val="auto"/>
                <w:sz w:val="24"/>
                <w:szCs w:val="24"/>
                <w:vertAlign w:val="subscript"/>
              </w:rPr>
              <w:t>5</w:t>
            </w:r>
            <w:r>
              <w:rPr>
                <w:rFonts w:hint="eastAsia"/>
                <w:color w:val="auto"/>
                <w:sz w:val="24"/>
                <w:szCs w:val="24"/>
              </w:rPr>
              <w:t>、SS、</w:t>
            </w:r>
          </w:p>
          <w:p w14:paraId="7C66D273">
            <w:pPr>
              <w:spacing w:line="240" w:lineRule="auto"/>
              <w:ind w:firstLine="0" w:firstLineChars="0"/>
              <w:jc w:val="center"/>
              <w:rPr>
                <w:rFonts w:hint="default" w:eastAsia="宋体"/>
                <w:color w:val="auto"/>
                <w:sz w:val="24"/>
                <w:szCs w:val="24"/>
                <w:lang w:val="en-US" w:eastAsia="zh-CN"/>
              </w:rPr>
            </w:pPr>
            <w:r>
              <w:rPr>
                <w:rFonts w:hint="eastAsia"/>
                <w:color w:val="auto"/>
                <w:sz w:val="24"/>
                <w:szCs w:val="24"/>
              </w:rPr>
              <w:t>NH</w:t>
            </w:r>
            <w:r>
              <w:rPr>
                <w:rFonts w:hint="eastAsia"/>
                <w:color w:val="auto"/>
                <w:sz w:val="24"/>
                <w:szCs w:val="24"/>
                <w:vertAlign w:val="subscript"/>
              </w:rPr>
              <w:t>3</w:t>
            </w:r>
            <w:r>
              <w:rPr>
                <w:rFonts w:hint="eastAsia"/>
                <w:color w:val="auto"/>
                <w:sz w:val="24"/>
                <w:szCs w:val="24"/>
              </w:rPr>
              <w:t>-N</w:t>
            </w:r>
          </w:p>
        </w:tc>
        <w:tc>
          <w:tcPr>
            <w:tcW w:w="2275" w:type="dxa"/>
            <w:noWrap w:val="0"/>
            <w:vAlign w:val="center"/>
          </w:tcPr>
          <w:p w14:paraId="00A91F27">
            <w:pPr>
              <w:spacing w:line="240" w:lineRule="auto"/>
              <w:ind w:firstLine="0" w:firstLineChars="0"/>
              <w:jc w:val="center"/>
              <w:rPr>
                <w:color w:val="auto"/>
                <w:sz w:val="24"/>
                <w:szCs w:val="24"/>
                <w:lang w:val="zh-CN"/>
              </w:rPr>
            </w:pPr>
            <w:r>
              <w:rPr>
                <w:rFonts w:hint="default"/>
                <w:color w:val="auto"/>
                <w:sz w:val="24"/>
                <w:szCs w:val="24"/>
                <w:lang w:val="zh-CN" w:eastAsia="zh-CN"/>
              </w:rPr>
              <w:t>生活污水</w:t>
            </w:r>
            <w:r>
              <w:rPr>
                <w:rFonts w:hint="eastAsia"/>
                <w:color w:val="auto"/>
                <w:sz w:val="24"/>
                <w:szCs w:val="24"/>
                <w:lang w:val="zh-CN" w:eastAsia="zh-CN"/>
              </w:rPr>
              <w:t>、保洁废水</w:t>
            </w:r>
            <w:r>
              <w:rPr>
                <w:rFonts w:hint="default"/>
                <w:color w:val="auto"/>
                <w:sz w:val="24"/>
                <w:szCs w:val="24"/>
                <w:lang w:val="zh-CN" w:eastAsia="zh-CN"/>
              </w:rPr>
              <w:t>经化粪池预处理后</w:t>
            </w:r>
            <w:r>
              <w:rPr>
                <w:rFonts w:hint="eastAsia"/>
                <w:color w:val="auto"/>
                <w:sz w:val="24"/>
                <w:szCs w:val="24"/>
                <w:lang w:val="zh-CN" w:eastAsia="zh-CN"/>
              </w:rPr>
              <w:t>，汇同循环冷却系统排水</w:t>
            </w:r>
            <w:r>
              <w:rPr>
                <w:rFonts w:hint="default"/>
                <w:color w:val="auto"/>
                <w:sz w:val="24"/>
                <w:szCs w:val="24"/>
                <w:lang w:val="zh-CN" w:eastAsia="zh-CN"/>
              </w:rPr>
              <w:t>满足排放标准后排</w:t>
            </w:r>
            <w:r>
              <w:rPr>
                <w:rFonts w:hint="eastAsia"/>
                <w:color w:val="auto"/>
                <w:sz w:val="24"/>
                <w:szCs w:val="24"/>
                <w:lang w:val="zh-CN" w:eastAsia="zh-CN"/>
              </w:rPr>
              <w:t>入</w:t>
            </w:r>
            <w:r>
              <w:rPr>
                <w:rFonts w:hint="default"/>
                <w:color w:val="auto"/>
                <w:sz w:val="24"/>
                <w:szCs w:val="24"/>
                <w:lang w:val="zh-CN" w:eastAsia="zh-CN"/>
              </w:rPr>
              <w:t>市政污水管网，最终进入</w:t>
            </w:r>
            <w:r>
              <w:rPr>
                <w:rFonts w:hint="eastAsia"/>
                <w:color w:val="auto"/>
                <w:sz w:val="24"/>
                <w:szCs w:val="24"/>
                <w:lang w:val="zh-CN" w:eastAsia="zh-CN"/>
              </w:rPr>
              <w:t>龙湖污水处理厂</w:t>
            </w:r>
            <w:r>
              <w:rPr>
                <w:rFonts w:hint="default"/>
                <w:color w:val="auto"/>
                <w:sz w:val="24"/>
                <w:szCs w:val="24"/>
                <w:lang w:val="zh-CN" w:eastAsia="zh-CN"/>
              </w:rPr>
              <w:t>集中处理</w:t>
            </w:r>
          </w:p>
        </w:tc>
        <w:tc>
          <w:tcPr>
            <w:tcW w:w="1757" w:type="dxa"/>
            <w:noWrap w:val="0"/>
            <w:vAlign w:val="center"/>
          </w:tcPr>
          <w:p w14:paraId="66C605FF">
            <w:pPr>
              <w:spacing w:line="240" w:lineRule="auto"/>
              <w:ind w:firstLine="0" w:firstLineChars="0"/>
              <w:jc w:val="center"/>
              <w:rPr>
                <w:color w:val="auto"/>
                <w:sz w:val="24"/>
                <w:szCs w:val="24"/>
                <w:lang w:val="zh-CN"/>
              </w:rPr>
            </w:pPr>
            <w:r>
              <w:rPr>
                <w:rFonts w:hint="eastAsia"/>
                <w:color w:val="auto"/>
                <w:sz w:val="24"/>
                <w:szCs w:val="24"/>
              </w:rPr>
              <w:t>达到</w:t>
            </w:r>
            <w:r>
              <w:rPr>
                <w:rFonts w:hint="eastAsia"/>
                <w:color w:val="auto"/>
                <w:sz w:val="24"/>
                <w:szCs w:val="24"/>
                <w:lang w:val="en-US" w:eastAsia="zh-CN"/>
              </w:rPr>
              <w:t>龙湖</w:t>
            </w:r>
            <w:r>
              <w:rPr>
                <w:rFonts w:hint="eastAsia"/>
                <w:color w:val="auto"/>
                <w:sz w:val="24"/>
                <w:szCs w:val="24"/>
              </w:rPr>
              <w:t>污水处理厂接管要求</w:t>
            </w:r>
          </w:p>
        </w:tc>
      </w:tr>
      <w:tr w14:paraId="2F1E3E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22" w:type="dxa"/>
            <w:noWrap w:val="0"/>
            <w:vAlign w:val="center"/>
          </w:tcPr>
          <w:p w14:paraId="0D718B4F">
            <w:pPr>
              <w:spacing w:line="240" w:lineRule="auto"/>
              <w:ind w:firstLine="0" w:firstLineChars="0"/>
              <w:jc w:val="center"/>
              <w:rPr>
                <w:color w:val="auto"/>
                <w:sz w:val="24"/>
                <w:szCs w:val="24"/>
              </w:rPr>
            </w:pPr>
            <w:r>
              <w:rPr>
                <w:color w:val="auto"/>
                <w:sz w:val="24"/>
                <w:szCs w:val="24"/>
              </w:rPr>
              <w:t>声环境</w:t>
            </w:r>
          </w:p>
        </w:tc>
        <w:tc>
          <w:tcPr>
            <w:tcW w:w="1725" w:type="dxa"/>
            <w:noWrap w:val="0"/>
            <w:vAlign w:val="center"/>
          </w:tcPr>
          <w:p w14:paraId="37CC41E8">
            <w:pPr>
              <w:spacing w:line="240" w:lineRule="auto"/>
              <w:ind w:firstLine="0" w:firstLineChars="0"/>
              <w:jc w:val="center"/>
              <w:rPr>
                <w:color w:val="auto"/>
                <w:sz w:val="24"/>
                <w:szCs w:val="24"/>
              </w:rPr>
            </w:pPr>
            <w:r>
              <w:rPr>
                <w:rFonts w:hint="eastAsia"/>
                <w:color w:val="auto"/>
                <w:sz w:val="24"/>
                <w:szCs w:val="24"/>
              </w:rPr>
              <w:t>厂界噪声</w:t>
            </w:r>
          </w:p>
        </w:tc>
        <w:tc>
          <w:tcPr>
            <w:tcW w:w="1821" w:type="dxa"/>
            <w:noWrap w:val="0"/>
            <w:vAlign w:val="center"/>
          </w:tcPr>
          <w:p w14:paraId="09AD52B0">
            <w:pPr>
              <w:spacing w:line="240" w:lineRule="auto"/>
              <w:ind w:firstLine="0" w:firstLineChars="0"/>
              <w:jc w:val="center"/>
              <w:rPr>
                <w:color w:val="auto"/>
                <w:sz w:val="24"/>
                <w:szCs w:val="24"/>
              </w:rPr>
            </w:pPr>
            <w:r>
              <w:rPr>
                <w:rFonts w:hint="eastAsia"/>
                <w:color w:val="auto"/>
                <w:sz w:val="24"/>
                <w:szCs w:val="24"/>
              </w:rPr>
              <w:t>连续等效A声级Leq</w:t>
            </w:r>
          </w:p>
        </w:tc>
        <w:tc>
          <w:tcPr>
            <w:tcW w:w="2275" w:type="dxa"/>
            <w:noWrap w:val="0"/>
            <w:vAlign w:val="center"/>
          </w:tcPr>
          <w:p w14:paraId="628F14C8">
            <w:pPr>
              <w:spacing w:line="240" w:lineRule="auto"/>
              <w:ind w:firstLine="0" w:firstLineChars="0"/>
              <w:jc w:val="center"/>
              <w:rPr>
                <w:color w:val="auto"/>
                <w:sz w:val="24"/>
                <w:szCs w:val="24"/>
              </w:rPr>
            </w:pPr>
            <w:r>
              <w:rPr>
                <w:rFonts w:hint="eastAsia"/>
                <w:color w:val="auto"/>
                <w:sz w:val="24"/>
                <w:szCs w:val="24"/>
              </w:rPr>
              <w:t>通过选用低噪设备、安装减振基座，经厂区建筑的隔声、距离的衰减的降噪措施</w:t>
            </w:r>
          </w:p>
        </w:tc>
        <w:tc>
          <w:tcPr>
            <w:tcW w:w="1757" w:type="dxa"/>
            <w:noWrap w:val="0"/>
            <w:vAlign w:val="center"/>
          </w:tcPr>
          <w:p w14:paraId="477EEB68">
            <w:pPr>
              <w:spacing w:line="240" w:lineRule="auto"/>
              <w:ind w:firstLine="0" w:firstLineChars="0"/>
              <w:jc w:val="center"/>
              <w:rPr>
                <w:color w:val="auto"/>
                <w:sz w:val="24"/>
                <w:szCs w:val="24"/>
              </w:rPr>
            </w:pPr>
            <w:r>
              <w:rPr>
                <w:rFonts w:hint="eastAsia"/>
                <w:color w:val="auto"/>
                <w:sz w:val="24"/>
                <w:szCs w:val="24"/>
              </w:rPr>
              <w:t>《工业企业厂界环境噪声排放标准》（GB12348-2008）中</w:t>
            </w:r>
            <w:r>
              <w:rPr>
                <w:rFonts w:hint="eastAsia"/>
                <w:color w:val="auto"/>
                <w:sz w:val="24"/>
                <w:szCs w:val="24"/>
                <w:lang w:val="en-US" w:eastAsia="zh-CN"/>
              </w:rPr>
              <w:t>3</w:t>
            </w:r>
            <w:r>
              <w:rPr>
                <w:rFonts w:hint="eastAsia"/>
                <w:color w:val="auto"/>
                <w:sz w:val="24"/>
                <w:szCs w:val="24"/>
              </w:rPr>
              <w:t>类区标准</w:t>
            </w:r>
          </w:p>
        </w:tc>
      </w:tr>
      <w:tr w14:paraId="190C7A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22" w:type="dxa"/>
            <w:noWrap w:val="0"/>
            <w:vAlign w:val="center"/>
          </w:tcPr>
          <w:p w14:paraId="2D026FDC">
            <w:pPr>
              <w:spacing w:line="240" w:lineRule="auto"/>
              <w:ind w:firstLine="0" w:firstLineChars="0"/>
              <w:jc w:val="center"/>
              <w:rPr>
                <w:color w:val="auto"/>
                <w:sz w:val="24"/>
                <w:szCs w:val="24"/>
              </w:rPr>
            </w:pPr>
            <w:r>
              <w:rPr>
                <w:color w:val="auto"/>
                <w:sz w:val="24"/>
                <w:szCs w:val="24"/>
              </w:rPr>
              <w:t>电磁辐射</w:t>
            </w:r>
          </w:p>
        </w:tc>
        <w:tc>
          <w:tcPr>
            <w:tcW w:w="7578" w:type="dxa"/>
            <w:gridSpan w:val="4"/>
            <w:noWrap w:val="0"/>
            <w:vAlign w:val="center"/>
          </w:tcPr>
          <w:p w14:paraId="53CB39EF">
            <w:pPr>
              <w:spacing w:line="240" w:lineRule="auto"/>
              <w:ind w:firstLine="0" w:firstLineChars="0"/>
              <w:jc w:val="center"/>
              <w:rPr>
                <w:color w:val="auto"/>
                <w:sz w:val="24"/>
                <w:szCs w:val="24"/>
              </w:rPr>
            </w:pPr>
            <w:r>
              <w:rPr>
                <w:rFonts w:hint="eastAsia"/>
                <w:color w:val="auto"/>
                <w:sz w:val="24"/>
                <w:szCs w:val="24"/>
              </w:rPr>
              <w:t>无</w:t>
            </w:r>
          </w:p>
        </w:tc>
      </w:tr>
      <w:tr w14:paraId="0111F1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222" w:type="dxa"/>
            <w:noWrap w:val="0"/>
            <w:vAlign w:val="center"/>
          </w:tcPr>
          <w:p w14:paraId="7801D43E">
            <w:pPr>
              <w:spacing w:line="240" w:lineRule="auto"/>
              <w:ind w:firstLine="0" w:firstLineChars="0"/>
              <w:jc w:val="center"/>
              <w:rPr>
                <w:color w:val="auto"/>
                <w:sz w:val="24"/>
                <w:szCs w:val="24"/>
              </w:rPr>
            </w:pPr>
            <w:r>
              <w:rPr>
                <w:color w:val="auto"/>
                <w:sz w:val="24"/>
                <w:szCs w:val="24"/>
              </w:rPr>
              <w:t>固体废物</w:t>
            </w:r>
          </w:p>
        </w:tc>
        <w:tc>
          <w:tcPr>
            <w:tcW w:w="7578" w:type="dxa"/>
            <w:gridSpan w:val="4"/>
            <w:noWrap w:val="0"/>
            <w:vAlign w:val="center"/>
          </w:tcPr>
          <w:p w14:paraId="66621BF3">
            <w:pPr>
              <w:spacing w:line="240" w:lineRule="auto"/>
              <w:ind w:firstLine="0" w:firstLineChars="0"/>
              <w:jc w:val="center"/>
              <w:rPr>
                <w:rFonts w:hint="eastAsia" w:eastAsia="宋体"/>
                <w:color w:val="auto"/>
                <w:sz w:val="32"/>
                <w:szCs w:val="32"/>
                <w:lang w:eastAsia="zh-CN"/>
              </w:rPr>
            </w:pPr>
            <w:r>
              <w:rPr>
                <w:rFonts w:hint="eastAsia"/>
                <w:bCs/>
                <w:color w:val="auto"/>
                <w:kern w:val="2"/>
                <w:sz w:val="24"/>
                <w:szCs w:val="21"/>
                <w:lang w:val="en-US" w:eastAsia="zh-CN" w:bidi="ar-SA"/>
              </w:rPr>
              <w:t>生活垃圾收集后交由环卫部门处理；废边角料、废铁屑、废包装材料、</w:t>
            </w:r>
            <w:r>
              <w:rPr>
                <w:rFonts w:hint="eastAsia" w:ascii="Times New Roman" w:hAnsi="Times New Roman"/>
                <w:color w:val="000000"/>
                <w:sz w:val="24"/>
                <w:szCs w:val="24"/>
                <w:lang w:eastAsia="zh-CN"/>
              </w:rPr>
              <w:t>布袋</w:t>
            </w:r>
            <w:r>
              <w:rPr>
                <w:rFonts w:hint="eastAsia"/>
                <w:color w:val="000000"/>
                <w:sz w:val="24"/>
                <w:szCs w:val="24"/>
                <w:lang w:val="en-US" w:eastAsia="zh-CN"/>
              </w:rPr>
              <w:t>除尘器收集到的粉尘、废布袋、废钢丸等一般固废</w:t>
            </w:r>
            <w:r>
              <w:rPr>
                <w:rFonts w:hint="eastAsia"/>
                <w:bCs/>
                <w:color w:val="auto"/>
                <w:kern w:val="2"/>
                <w:sz w:val="24"/>
                <w:szCs w:val="21"/>
                <w:lang w:val="en-US" w:eastAsia="zh-CN" w:bidi="ar-SA"/>
              </w:rPr>
              <w:t>收集后由厂家或物资公司回收利用；沾染危险</w:t>
            </w:r>
            <w:r>
              <w:rPr>
                <w:color w:val="auto"/>
                <w:sz w:val="24"/>
                <w:szCs w:val="32"/>
              </w:rPr>
              <w:t>化学品的废包装</w:t>
            </w:r>
            <w:r>
              <w:rPr>
                <w:rFonts w:hint="eastAsia"/>
                <w:color w:val="auto"/>
                <w:sz w:val="24"/>
                <w:szCs w:val="32"/>
                <w:lang w:val="en-US" w:eastAsia="zh-CN"/>
              </w:rPr>
              <w:t>材料、废活性炭、废润滑油、废润滑油桶等</w:t>
            </w:r>
            <w:r>
              <w:rPr>
                <w:rFonts w:hint="eastAsia"/>
                <w:bCs/>
                <w:color w:val="auto"/>
                <w:kern w:val="2"/>
                <w:sz w:val="24"/>
                <w:szCs w:val="21"/>
                <w:lang w:val="en-US" w:eastAsia="zh-CN" w:bidi="ar-SA"/>
              </w:rPr>
              <w:t>危险废物收集后贮存于危废暂存间（</w:t>
            </w:r>
            <w:r>
              <w:rPr>
                <w:rFonts w:hint="eastAsia"/>
                <w:b w:val="0"/>
                <w:bCs/>
                <w:color w:val="auto"/>
                <w:sz w:val="24"/>
                <w:szCs w:val="24"/>
                <w:lang w:val="en-US" w:eastAsia="zh-CN"/>
              </w:rPr>
              <w:t>位于密炼车间西侧，建筑面积约20m</w:t>
            </w:r>
            <w:r>
              <w:rPr>
                <w:rFonts w:hint="eastAsia"/>
                <w:b w:val="0"/>
                <w:bCs/>
                <w:color w:val="auto"/>
                <w:sz w:val="24"/>
                <w:szCs w:val="24"/>
                <w:vertAlign w:val="superscript"/>
                <w:lang w:val="en-US" w:eastAsia="zh-CN"/>
              </w:rPr>
              <w:t>2</w:t>
            </w:r>
            <w:r>
              <w:rPr>
                <w:rFonts w:hint="eastAsia"/>
                <w:bCs/>
                <w:color w:val="auto"/>
                <w:kern w:val="2"/>
                <w:sz w:val="24"/>
                <w:szCs w:val="21"/>
                <w:lang w:val="en-US" w:eastAsia="zh-CN" w:bidi="ar-SA"/>
              </w:rPr>
              <w:t>）内，定期委托有资质单位处置</w:t>
            </w:r>
          </w:p>
        </w:tc>
      </w:tr>
      <w:tr w14:paraId="062271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222" w:type="dxa"/>
            <w:noWrap w:val="0"/>
            <w:vAlign w:val="center"/>
          </w:tcPr>
          <w:p w14:paraId="041D508C">
            <w:pPr>
              <w:spacing w:line="240" w:lineRule="auto"/>
              <w:ind w:firstLine="0" w:firstLineChars="0"/>
              <w:jc w:val="center"/>
              <w:rPr>
                <w:color w:val="auto"/>
                <w:sz w:val="24"/>
                <w:szCs w:val="24"/>
              </w:rPr>
            </w:pPr>
            <w:r>
              <w:rPr>
                <w:color w:val="auto"/>
                <w:sz w:val="24"/>
                <w:szCs w:val="24"/>
              </w:rPr>
              <w:t>土壤及地下水污染防治措施</w:t>
            </w:r>
          </w:p>
        </w:tc>
        <w:tc>
          <w:tcPr>
            <w:tcW w:w="7578" w:type="dxa"/>
            <w:gridSpan w:val="4"/>
            <w:noWrap w:val="0"/>
            <w:vAlign w:val="center"/>
          </w:tcPr>
          <w:p w14:paraId="1AD803A6">
            <w:pPr>
              <w:spacing w:line="240" w:lineRule="auto"/>
              <w:ind w:firstLine="0" w:firstLineChars="0"/>
              <w:jc w:val="center"/>
              <w:rPr>
                <w:color w:val="auto"/>
                <w:sz w:val="32"/>
                <w:szCs w:val="32"/>
              </w:rPr>
            </w:pPr>
            <w:r>
              <w:rPr>
                <w:rFonts w:hint="default" w:eastAsia="宋体"/>
                <w:bCs/>
                <w:color w:val="auto"/>
                <w:kern w:val="2"/>
                <w:sz w:val="24"/>
                <w:szCs w:val="21"/>
                <w:lang w:val="en-US" w:eastAsia="zh-CN" w:bidi="ar-SA"/>
              </w:rPr>
              <w:t>危废</w:t>
            </w:r>
            <w:r>
              <w:rPr>
                <w:rFonts w:hint="eastAsia" w:eastAsia="宋体"/>
                <w:bCs/>
                <w:color w:val="auto"/>
                <w:kern w:val="2"/>
                <w:sz w:val="24"/>
                <w:szCs w:val="21"/>
                <w:lang w:val="en-US" w:eastAsia="zh-CN" w:bidi="ar-SA"/>
              </w:rPr>
              <w:t>暂存</w:t>
            </w:r>
            <w:r>
              <w:rPr>
                <w:rFonts w:hint="default" w:eastAsia="宋体"/>
                <w:bCs/>
                <w:color w:val="auto"/>
                <w:kern w:val="2"/>
                <w:sz w:val="24"/>
                <w:szCs w:val="21"/>
                <w:lang w:val="en-US" w:eastAsia="zh-CN" w:bidi="ar-SA"/>
              </w:rPr>
              <w:t>间</w:t>
            </w:r>
            <w:r>
              <w:rPr>
                <w:rFonts w:hint="eastAsia" w:eastAsia="宋体"/>
                <w:bCs/>
                <w:color w:val="auto"/>
                <w:kern w:val="2"/>
                <w:sz w:val="24"/>
                <w:szCs w:val="21"/>
                <w:lang w:val="en-US" w:eastAsia="zh-CN" w:bidi="ar-SA"/>
              </w:rPr>
              <w:t>、硫磺防爆间、</w:t>
            </w:r>
            <w:r>
              <w:rPr>
                <w:rFonts w:hint="eastAsia"/>
                <w:bCs/>
                <w:color w:val="auto"/>
                <w:kern w:val="2"/>
                <w:sz w:val="24"/>
                <w:szCs w:val="21"/>
                <w:lang w:val="en-US" w:eastAsia="zh-CN" w:bidi="ar-SA"/>
              </w:rPr>
              <w:t>辅料</w:t>
            </w:r>
            <w:r>
              <w:rPr>
                <w:rFonts w:hint="eastAsia" w:eastAsia="宋体"/>
                <w:bCs/>
                <w:color w:val="auto"/>
                <w:kern w:val="2"/>
                <w:sz w:val="24"/>
                <w:szCs w:val="21"/>
                <w:lang w:val="en-US" w:eastAsia="zh-CN" w:bidi="ar-SA"/>
              </w:rPr>
              <w:t>库房</w:t>
            </w:r>
            <w:r>
              <w:rPr>
                <w:rFonts w:hint="default" w:eastAsia="宋体"/>
                <w:bCs/>
                <w:color w:val="auto"/>
                <w:kern w:val="2"/>
                <w:sz w:val="24"/>
                <w:szCs w:val="21"/>
                <w:lang w:val="en-US" w:eastAsia="zh-CN" w:bidi="ar-SA"/>
              </w:rPr>
              <w:t>地面采取重点防渗措施（等效黏土防渗层Mb≥6.0m，渗透系数K≤10</w:t>
            </w:r>
            <w:r>
              <w:rPr>
                <w:rFonts w:hint="default" w:eastAsia="宋体"/>
                <w:bCs/>
                <w:color w:val="auto"/>
                <w:kern w:val="2"/>
                <w:sz w:val="24"/>
                <w:szCs w:val="21"/>
                <w:vertAlign w:val="superscript"/>
                <w:lang w:val="en-US" w:eastAsia="zh-CN" w:bidi="ar-SA"/>
              </w:rPr>
              <w:t>-10</w:t>
            </w:r>
            <w:r>
              <w:rPr>
                <w:rFonts w:hint="default" w:eastAsia="宋体"/>
                <w:bCs/>
                <w:color w:val="auto"/>
                <w:kern w:val="2"/>
                <w:sz w:val="24"/>
                <w:szCs w:val="21"/>
                <w:lang w:val="en-US" w:eastAsia="zh-CN" w:bidi="ar-SA"/>
              </w:rPr>
              <w:t>cm/s）；</w:t>
            </w:r>
            <w:r>
              <w:rPr>
                <w:rFonts w:hint="eastAsia" w:eastAsia="宋体"/>
                <w:bCs/>
                <w:color w:val="auto"/>
                <w:kern w:val="2"/>
                <w:sz w:val="24"/>
                <w:szCs w:val="21"/>
                <w:lang w:val="en-US" w:eastAsia="zh-CN" w:bidi="ar-SA"/>
              </w:rPr>
              <w:t>车间其他区域</w:t>
            </w:r>
            <w:r>
              <w:rPr>
                <w:rFonts w:hint="default" w:eastAsia="宋体"/>
                <w:bCs/>
                <w:color w:val="auto"/>
                <w:kern w:val="2"/>
                <w:sz w:val="24"/>
                <w:szCs w:val="21"/>
                <w:lang w:val="en-US" w:eastAsia="zh-CN" w:bidi="ar-SA"/>
              </w:rPr>
              <w:t>地面采取一般防渗措施（等效黏土防渗层Mb≥1.5m，渗透系数K≤10</w:t>
            </w:r>
            <w:r>
              <w:rPr>
                <w:rFonts w:hint="default" w:eastAsia="宋体"/>
                <w:bCs/>
                <w:color w:val="auto"/>
                <w:kern w:val="2"/>
                <w:sz w:val="24"/>
                <w:szCs w:val="21"/>
                <w:vertAlign w:val="superscript"/>
                <w:lang w:val="en-US" w:eastAsia="zh-CN" w:bidi="ar-SA"/>
              </w:rPr>
              <w:t>-7</w:t>
            </w:r>
            <w:r>
              <w:rPr>
                <w:rFonts w:hint="default" w:eastAsia="宋体"/>
                <w:bCs/>
                <w:color w:val="auto"/>
                <w:kern w:val="2"/>
                <w:sz w:val="24"/>
                <w:szCs w:val="21"/>
                <w:lang w:val="en-US" w:eastAsia="zh-CN" w:bidi="ar-SA"/>
              </w:rPr>
              <w:t>cm/s）</w:t>
            </w:r>
            <w:r>
              <w:rPr>
                <w:rFonts w:hint="eastAsia" w:eastAsia="宋体"/>
                <w:bCs/>
                <w:color w:val="auto"/>
                <w:kern w:val="2"/>
                <w:sz w:val="24"/>
                <w:szCs w:val="21"/>
                <w:lang w:val="en-US" w:eastAsia="zh-CN" w:bidi="ar-SA"/>
              </w:rPr>
              <w:t>；办公室</w:t>
            </w:r>
            <w:r>
              <w:rPr>
                <w:rFonts w:hint="default" w:eastAsia="宋体"/>
                <w:bCs/>
                <w:color w:val="auto"/>
                <w:kern w:val="2"/>
                <w:sz w:val="24"/>
                <w:szCs w:val="21"/>
                <w:lang w:val="en-US" w:eastAsia="zh-CN" w:bidi="ar-SA"/>
              </w:rPr>
              <w:t>采取</w:t>
            </w:r>
            <w:r>
              <w:rPr>
                <w:rFonts w:hint="eastAsia" w:eastAsia="宋体"/>
                <w:bCs/>
                <w:color w:val="auto"/>
                <w:kern w:val="2"/>
                <w:sz w:val="24"/>
                <w:szCs w:val="21"/>
                <w:lang w:val="en-US" w:eastAsia="zh-CN" w:bidi="ar-SA"/>
              </w:rPr>
              <w:t>简单</w:t>
            </w:r>
            <w:r>
              <w:rPr>
                <w:rFonts w:hint="default" w:eastAsia="宋体"/>
                <w:bCs/>
                <w:color w:val="auto"/>
                <w:kern w:val="2"/>
                <w:sz w:val="24"/>
                <w:szCs w:val="21"/>
                <w:lang w:val="en-US" w:eastAsia="zh-CN" w:bidi="ar-SA"/>
              </w:rPr>
              <w:t>防渗措施</w:t>
            </w:r>
          </w:p>
        </w:tc>
      </w:tr>
      <w:tr w14:paraId="45220E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222" w:type="dxa"/>
            <w:noWrap w:val="0"/>
            <w:vAlign w:val="center"/>
          </w:tcPr>
          <w:p w14:paraId="5A1C0672">
            <w:pPr>
              <w:spacing w:line="240" w:lineRule="auto"/>
              <w:ind w:firstLine="0" w:firstLineChars="0"/>
              <w:jc w:val="center"/>
              <w:rPr>
                <w:color w:val="auto"/>
                <w:sz w:val="24"/>
                <w:szCs w:val="24"/>
              </w:rPr>
            </w:pPr>
            <w:r>
              <w:rPr>
                <w:color w:val="auto"/>
                <w:sz w:val="24"/>
                <w:szCs w:val="24"/>
              </w:rPr>
              <w:t>生态保护措施</w:t>
            </w:r>
          </w:p>
        </w:tc>
        <w:tc>
          <w:tcPr>
            <w:tcW w:w="7578" w:type="dxa"/>
            <w:gridSpan w:val="4"/>
            <w:noWrap w:val="0"/>
            <w:vAlign w:val="center"/>
          </w:tcPr>
          <w:p w14:paraId="3142B7BC">
            <w:pPr>
              <w:spacing w:line="240" w:lineRule="auto"/>
              <w:ind w:firstLine="0" w:firstLineChars="0"/>
              <w:jc w:val="center"/>
              <w:rPr>
                <w:color w:val="auto"/>
                <w:sz w:val="24"/>
                <w:szCs w:val="24"/>
              </w:rPr>
            </w:pPr>
            <w:r>
              <w:rPr>
                <w:rFonts w:hint="eastAsia"/>
                <w:color w:val="auto"/>
                <w:sz w:val="24"/>
                <w:szCs w:val="24"/>
              </w:rPr>
              <w:t>无</w:t>
            </w:r>
          </w:p>
        </w:tc>
      </w:tr>
      <w:tr w14:paraId="3378D4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222" w:type="dxa"/>
            <w:noWrap w:val="0"/>
            <w:vAlign w:val="center"/>
          </w:tcPr>
          <w:p w14:paraId="79AB0738">
            <w:pPr>
              <w:spacing w:line="240" w:lineRule="auto"/>
              <w:ind w:firstLine="0" w:firstLineChars="0"/>
              <w:jc w:val="center"/>
              <w:rPr>
                <w:color w:val="auto"/>
                <w:spacing w:val="-8"/>
                <w:sz w:val="24"/>
                <w:szCs w:val="24"/>
              </w:rPr>
            </w:pPr>
            <w:r>
              <w:rPr>
                <w:color w:val="auto"/>
                <w:spacing w:val="-8"/>
                <w:sz w:val="24"/>
                <w:szCs w:val="24"/>
              </w:rPr>
              <w:t>环境风险</w:t>
            </w:r>
          </w:p>
          <w:p w14:paraId="2F53D8AB">
            <w:pPr>
              <w:spacing w:line="240" w:lineRule="auto"/>
              <w:ind w:firstLine="0" w:firstLineChars="0"/>
              <w:jc w:val="center"/>
              <w:rPr>
                <w:color w:val="auto"/>
                <w:spacing w:val="-8"/>
                <w:sz w:val="24"/>
                <w:szCs w:val="24"/>
              </w:rPr>
            </w:pPr>
            <w:r>
              <w:rPr>
                <w:color w:val="auto"/>
                <w:spacing w:val="-8"/>
                <w:sz w:val="24"/>
                <w:szCs w:val="24"/>
              </w:rPr>
              <w:t>防范措施</w:t>
            </w:r>
          </w:p>
        </w:tc>
        <w:tc>
          <w:tcPr>
            <w:tcW w:w="7578" w:type="dxa"/>
            <w:gridSpan w:val="4"/>
            <w:noWrap w:val="0"/>
            <w:vAlign w:val="center"/>
          </w:tcPr>
          <w:p w14:paraId="09118690">
            <w:pPr>
              <w:spacing w:line="240" w:lineRule="auto"/>
              <w:ind w:firstLine="0" w:firstLineChars="0"/>
              <w:jc w:val="center"/>
              <w:rPr>
                <w:color w:val="auto"/>
                <w:sz w:val="24"/>
                <w:szCs w:val="24"/>
              </w:rPr>
            </w:pPr>
            <w:r>
              <w:rPr>
                <w:rFonts w:hint="eastAsia"/>
                <w:color w:val="auto"/>
                <w:sz w:val="24"/>
                <w:szCs w:val="24"/>
              </w:rPr>
              <w:t>项目危废暂存间</w:t>
            </w:r>
            <w:r>
              <w:rPr>
                <w:rFonts w:hint="eastAsia"/>
                <w:color w:val="auto"/>
                <w:sz w:val="24"/>
                <w:szCs w:val="24"/>
                <w:lang w:val="en-US" w:eastAsia="zh-CN"/>
              </w:rPr>
              <w:t>和库房放置托盘</w:t>
            </w:r>
            <w:r>
              <w:rPr>
                <w:rFonts w:hint="eastAsia"/>
                <w:color w:val="auto"/>
                <w:sz w:val="24"/>
                <w:szCs w:val="24"/>
                <w:lang w:eastAsia="zh-CN"/>
              </w:rPr>
              <w:t>，</w:t>
            </w:r>
            <w:r>
              <w:rPr>
                <w:rFonts w:hint="eastAsia"/>
                <w:color w:val="auto"/>
                <w:sz w:val="24"/>
                <w:szCs w:val="24"/>
              </w:rPr>
              <w:t>液体</w:t>
            </w:r>
            <w:r>
              <w:rPr>
                <w:rFonts w:hint="eastAsia"/>
                <w:color w:val="auto"/>
                <w:sz w:val="24"/>
                <w:szCs w:val="24"/>
                <w:lang w:val="en-US" w:eastAsia="zh-CN"/>
              </w:rPr>
              <w:t>物料</w:t>
            </w:r>
            <w:r>
              <w:rPr>
                <w:rFonts w:hint="eastAsia"/>
                <w:color w:val="auto"/>
                <w:sz w:val="24"/>
                <w:szCs w:val="24"/>
              </w:rPr>
              <w:t>储存于</w:t>
            </w:r>
            <w:r>
              <w:rPr>
                <w:rFonts w:hint="eastAsia"/>
                <w:color w:val="auto"/>
                <w:sz w:val="24"/>
                <w:szCs w:val="24"/>
                <w:lang w:val="en-US" w:eastAsia="zh-CN"/>
              </w:rPr>
              <w:t>密封桶</w:t>
            </w:r>
            <w:r>
              <w:rPr>
                <w:rFonts w:hint="eastAsia"/>
                <w:color w:val="auto"/>
                <w:sz w:val="24"/>
                <w:szCs w:val="24"/>
              </w:rPr>
              <w:t>中并摆放在</w:t>
            </w:r>
            <w:r>
              <w:rPr>
                <w:rFonts w:hint="eastAsia"/>
                <w:color w:val="auto"/>
                <w:sz w:val="24"/>
                <w:szCs w:val="24"/>
                <w:lang w:val="en-US" w:eastAsia="zh-CN"/>
              </w:rPr>
              <w:t>托盘</w:t>
            </w:r>
            <w:r>
              <w:rPr>
                <w:rFonts w:hint="eastAsia"/>
                <w:color w:val="auto"/>
                <w:sz w:val="24"/>
                <w:szCs w:val="24"/>
              </w:rPr>
              <w:t>内</w:t>
            </w:r>
            <w:r>
              <w:rPr>
                <w:rFonts w:hint="eastAsia"/>
                <w:color w:val="auto"/>
                <w:sz w:val="24"/>
                <w:szCs w:val="24"/>
                <w:lang w:eastAsia="zh-CN"/>
              </w:rPr>
              <w:t>，雨水总排口设置切断阀</w:t>
            </w:r>
          </w:p>
        </w:tc>
      </w:tr>
      <w:tr w14:paraId="3BFD79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222" w:type="dxa"/>
            <w:noWrap w:val="0"/>
            <w:vAlign w:val="center"/>
          </w:tcPr>
          <w:p w14:paraId="107A242E">
            <w:pPr>
              <w:spacing w:line="240" w:lineRule="auto"/>
              <w:ind w:firstLine="0" w:firstLineChars="0"/>
              <w:jc w:val="center"/>
              <w:rPr>
                <w:color w:val="auto"/>
                <w:spacing w:val="-8"/>
                <w:sz w:val="24"/>
                <w:szCs w:val="24"/>
              </w:rPr>
            </w:pPr>
            <w:r>
              <w:rPr>
                <w:color w:val="auto"/>
                <w:spacing w:val="-8"/>
                <w:sz w:val="24"/>
                <w:szCs w:val="24"/>
              </w:rPr>
              <w:t>其他环境</w:t>
            </w:r>
          </w:p>
          <w:p w14:paraId="25FC38BC">
            <w:pPr>
              <w:spacing w:line="240" w:lineRule="auto"/>
              <w:ind w:firstLine="0" w:firstLineChars="0"/>
              <w:jc w:val="center"/>
              <w:rPr>
                <w:color w:val="auto"/>
                <w:spacing w:val="-8"/>
                <w:sz w:val="24"/>
                <w:szCs w:val="24"/>
              </w:rPr>
            </w:pPr>
            <w:r>
              <w:rPr>
                <w:color w:val="auto"/>
                <w:spacing w:val="-8"/>
                <w:sz w:val="24"/>
                <w:szCs w:val="24"/>
              </w:rPr>
              <w:t>管理要求</w:t>
            </w:r>
          </w:p>
        </w:tc>
        <w:tc>
          <w:tcPr>
            <w:tcW w:w="7578" w:type="dxa"/>
            <w:gridSpan w:val="4"/>
            <w:noWrap w:val="0"/>
            <w:vAlign w:val="center"/>
          </w:tcPr>
          <w:p w14:paraId="6F838E5D">
            <w:pPr>
              <w:spacing w:line="240" w:lineRule="auto"/>
              <w:ind w:firstLine="0" w:firstLineChars="0"/>
              <w:jc w:val="center"/>
              <w:rPr>
                <w:color w:val="auto"/>
                <w:sz w:val="24"/>
                <w:szCs w:val="24"/>
              </w:rPr>
            </w:pPr>
            <w:r>
              <w:rPr>
                <w:rFonts w:hint="eastAsia"/>
                <w:color w:val="auto"/>
                <w:kern w:val="0"/>
                <w:sz w:val="24"/>
                <w:szCs w:val="24"/>
                <w:lang w:val="en-US" w:eastAsia="zh-CN"/>
              </w:rPr>
              <w:t>根据</w:t>
            </w:r>
            <w:r>
              <w:rPr>
                <w:rFonts w:hint="eastAsia"/>
                <w:color w:val="auto"/>
                <w:kern w:val="0"/>
                <w:sz w:val="24"/>
                <w:szCs w:val="24"/>
              </w:rPr>
              <w:t>《固定污染源排污许可分类管理名录（2019年版）》可知，</w:t>
            </w:r>
            <w:r>
              <w:rPr>
                <w:rFonts w:hint="eastAsia"/>
                <w:color w:val="auto"/>
                <w:kern w:val="0"/>
                <w:sz w:val="24"/>
                <w:szCs w:val="24"/>
                <w:lang w:eastAsia="zh-CN"/>
              </w:rPr>
              <w:t>本项目</w:t>
            </w:r>
            <w:r>
              <w:rPr>
                <w:rFonts w:hint="eastAsia"/>
                <w:color w:val="auto"/>
                <w:kern w:val="0"/>
                <w:sz w:val="24"/>
                <w:szCs w:val="24"/>
              </w:rPr>
              <w:t>排污许可需进行</w:t>
            </w:r>
            <w:r>
              <w:rPr>
                <w:rFonts w:hint="eastAsia"/>
                <w:color w:val="auto"/>
                <w:kern w:val="0"/>
                <w:sz w:val="24"/>
                <w:szCs w:val="24"/>
                <w:lang w:val="en-US" w:eastAsia="zh-CN"/>
              </w:rPr>
              <w:t>简化</w:t>
            </w:r>
            <w:r>
              <w:rPr>
                <w:rFonts w:hint="eastAsia"/>
                <w:color w:val="auto"/>
                <w:kern w:val="0"/>
                <w:sz w:val="24"/>
                <w:szCs w:val="24"/>
              </w:rPr>
              <w:t>管理。项目需</w:t>
            </w:r>
            <w:r>
              <w:rPr>
                <w:rFonts w:hint="eastAsia"/>
                <w:color w:val="auto"/>
                <w:sz w:val="24"/>
                <w:szCs w:val="24"/>
              </w:rPr>
              <w:t>设置专门的环保机构及专职人员负责环保管理工作，每日检查环保工作情况，污染治理设施运转情况，保证废水与废气达标排放；建立污染源监测数据档案，定期对污染源进行监测并记录，出现超标情况及时整改；排污口规范化管理并设置标志牌</w:t>
            </w:r>
          </w:p>
        </w:tc>
      </w:tr>
    </w:tbl>
    <w:p w14:paraId="004BE347">
      <w:pPr>
        <w:pStyle w:val="20"/>
        <w:ind w:firstLine="480"/>
        <w:jc w:val="center"/>
        <w:outlineLvl w:val="0"/>
        <w:rPr>
          <w:rFonts w:ascii="黑体" w:hAnsi="黑体" w:eastAsia="黑体"/>
          <w:snapToGrid w:val="0"/>
          <w:color w:val="auto"/>
          <w:sz w:val="30"/>
          <w:szCs w:val="30"/>
        </w:rPr>
      </w:pPr>
      <w:r>
        <w:rPr>
          <w:snapToGrid w:val="0"/>
          <w:color w:val="auto"/>
        </w:rPr>
        <w:br w:type="page"/>
      </w:r>
      <w:r>
        <w:rPr>
          <w:rFonts w:hint="eastAsia" w:ascii="黑体" w:hAnsi="黑体" w:eastAsia="黑体"/>
          <w:snapToGrid w:val="0"/>
          <w:color w:val="auto"/>
          <w:sz w:val="30"/>
          <w:szCs w:val="30"/>
        </w:rPr>
        <w:t>六、结论</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1AA7F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1369C7E8">
            <w:pPr>
              <w:ind w:firstLine="480"/>
              <w:rPr>
                <w:rFonts w:ascii="宋体" w:cs="宋体"/>
                <w:color w:val="auto"/>
              </w:rPr>
            </w:pPr>
            <w:r>
              <w:rPr>
                <w:rFonts w:hint="eastAsia" w:ascii="宋体" w:cs="宋体"/>
                <w:color w:val="auto"/>
              </w:rPr>
              <w:t>综上所述，项目的建设符合国家和地方产业政策，符合规划要求，选址合理，项目在落实环评中的污染防治措施后，各项污染物可以达标排放，对环境的影响也比较小，不会造成区域环境功能的改变，从环境影响的角度分析，项目的建设是可行的。</w:t>
            </w:r>
          </w:p>
        </w:tc>
      </w:tr>
    </w:tbl>
    <w:p w14:paraId="658B37AA">
      <w:pPr>
        <w:ind w:firstLine="480"/>
        <w:rPr>
          <w:rFonts w:ascii="宋体"/>
          <w:color w:val="auto"/>
        </w:rPr>
        <w:sectPr>
          <w:pgSz w:w="11905" w:h="16838"/>
          <w:pgMar w:top="1701" w:right="1531" w:bottom="1701" w:left="1531" w:header="851" w:footer="850" w:gutter="0"/>
          <w:pgNumType w:fmt="decimal"/>
          <w:cols w:space="720" w:num="1"/>
          <w:docGrid w:type="linesAndChars" w:linePitch="312" w:charSpace="0"/>
        </w:sectPr>
      </w:pPr>
    </w:p>
    <w:p w14:paraId="7B911276">
      <w:pPr>
        <w:pStyle w:val="20"/>
        <w:adjustRightInd w:val="0"/>
        <w:snapToGrid w:val="0"/>
        <w:spacing w:before="0" w:beforeAutospacing="0" w:after="0" w:afterAutospacing="0" w:line="552" w:lineRule="auto"/>
        <w:ind w:firstLine="760"/>
        <w:jc w:val="center"/>
        <w:outlineLvl w:val="0"/>
        <w:rPr>
          <w:rFonts w:hint="eastAsia" w:ascii="方正小标宋_GBK" w:hAnsi="黑体" w:eastAsia="方正小标宋_GBK"/>
          <w:snapToGrid w:val="0"/>
          <w:color w:val="auto"/>
          <w:sz w:val="38"/>
          <w:szCs w:val="38"/>
        </w:rPr>
      </w:pPr>
      <w:r>
        <w:rPr>
          <w:rFonts w:hint="eastAsia" w:ascii="方正小标宋_GBK" w:hAnsi="黑体" w:eastAsia="方正小标宋_GBK"/>
          <w:snapToGrid w:val="0"/>
          <w:color w:val="auto"/>
          <w:sz w:val="38"/>
          <w:szCs w:val="38"/>
        </w:rPr>
        <w:t>建设项目污染物排放量汇总表</w:t>
      </w:r>
    </w:p>
    <w:tbl>
      <w:tblPr>
        <w:tblStyle w:val="23"/>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159"/>
        <w:gridCol w:w="1725"/>
        <w:gridCol w:w="1463"/>
        <w:gridCol w:w="1450"/>
        <w:gridCol w:w="1825"/>
        <w:gridCol w:w="1460"/>
      </w:tblGrid>
      <w:tr w14:paraId="61CA6D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14:paraId="34D97AA0">
            <w:pPr>
              <w:ind w:firstLine="0" w:firstLineChars="0"/>
              <w:jc w:val="center"/>
              <w:rPr>
                <w:rFonts w:hint="eastAsia"/>
                <w:color w:val="auto"/>
              </w:rPr>
            </w:pPr>
            <w:r>
              <w:rPr>
                <w:rFonts w:hint="eastAsia"/>
                <w:color w:val="auto"/>
              </w:rPr>
              <w:t xml:space="preserve">        项目</w:t>
            </w:r>
          </w:p>
          <w:p w14:paraId="33CF6054">
            <w:pPr>
              <w:ind w:firstLine="0" w:firstLineChars="0"/>
              <w:rPr>
                <w:rFonts w:hint="eastAsia"/>
                <w:color w:val="auto"/>
              </w:rPr>
            </w:pPr>
            <w:r>
              <w:rPr>
                <w:rFonts w:hint="eastAsia"/>
                <w:color w:val="auto"/>
              </w:rPr>
              <w:t>分类</w:t>
            </w:r>
          </w:p>
        </w:tc>
        <w:tc>
          <w:tcPr>
            <w:tcW w:w="1417" w:type="dxa"/>
            <w:noWrap w:val="0"/>
            <w:tcMar>
              <w:left w:w="28" w:type="dxa"/>
              <w:right w:w="28" w:type="dxa"/>
            </w:tcMar>
            <w:vAlign w:val="center"/>
          </w:tcPr>
          <w:p w14:paraId="4A6E63A4">
            <w:pPr>
              <w:spacing w:line="240" w:lineRule="auto"/>
              <w:ind w:firstLine="0" w:firstLineChars="0"/>
              <w:jc w:val="center"/>
              <w:rPr>
                <w:rFonts w:hint="eastAsia"/>
                <w:color w:val="auto"/>
              </w:rPr>
            </w:pPr>
            <w:r>
              <w:rPr>
                <w:rFonts w:hint="eastAsia"/>
                <w:color w:val="auto"/>
              </w:rPr>
              <w:t>污染物名称</w:t>
            </w:r>
          </w:p>
        </w:tc>
        <w:tc>
          <w:tcPr>
            <w:tcW w:w="1701" w:type="dxa"/>
            <w:noWrap w:val="0"/>
            <w:tcMar>
              <w:left w:w="28" w:type="dxa"/>
              <w:right w:w="28" w:type="dxa"/>
            </w:tcMar>
            <w:vAlign w:val="center"/>
          </w:tcPr>
          <w:p w14:paraId="3E5985F9">
            <w:pPr>
              <w:spacing w:line="240" w:lineRule="auto"/>
              <w:ind w:firstLine="0" w:firstLineChars="0"/>
              <w:jc w:val="center"/>
              <w:rPr>
                <w:rFonts w:hint="eastAsia"/>
                <w:color w:val="auto"/>
              </w:rPr>
            </w:pPr>
            <w:r>
              <w:rPr>
                <w:color w:val="auto"/>
              </w:rPr>
              <w:t>现有工程</w:t>
            </w:r>
          </w:p>
          <w:p w14:paraId="1020C6E7">
            <w:pPr>
              <w:spacing w:line="240" w:lineRule="auto"/>
              <w:ind w:firstLine="0" w:firstLineChars="0"/>
              <w:jc w:val="center"/>
              <w:rPr>
                <w:color w:val="auto"/>
              </w:rPr>
            </w:pPr>
            <w:r>
              <w:rPr>
                <w:color w:val="auto"/>
              </w:rPr>
              <w:t>排放量（固</w:t>
            </w:r>
            <w:r>
              <w:rPr>
                <w:rFonts w:hint="eastAsia"/>
                <w:color w:val="auto"/>
              </w:rPr>
              <w:t>体</w:t>
            </w:r>
            <w:r>
              <w:rPr>
                <w:color w:val="auto"/>
              </w:rPr>
              <w:t>废</w:t>
            </w:r>
            <w:r>
              <w:rPr>
                <w:rFonts w:hint="eastAsia"/>
                <w:color w:val="auto"/>
              </w:rPr>
              <w:t>物</w:t>
            </w:r>
            <w:r>
              <w:rPr>
                <w:color w:val="auto"/>
              </w:rPr>
              <w:t>产生量）</w:t>
            </w:r>
            <w:r>
              <w:rPr>
                <w:color w:val="auto"/>
              </w:rPr>
              <w:fldChar w:fldCharType="begin"/>
            </w:r>
            <w:r>
              <w:rPr>
                <w:color w:val="auto"/>
              </w:rPr>
              <w:instrText xml:space="preserve"> = 1 \* GB3 \* MERGEFORMAT </w:instrText>
            </w:r>
            <w:r>
              <w:rPr>
                <w:color w:val="auto"/>
              </w:rPr>
              <w:fldChar w:fldCharType="separate"/>
            </w:r>
            <w:r>
              <w:rPr>
                <w:rFonts w:hint="eastAsia"/>
                <w:color w:val="auto"/>
              </w:rPr>
              <w:t>①</w:t>
            </w:r>
            <w:r>
              <w:rPr>
                <w:color w:val="auto"/>
              </w:rPr>
              <w:fldChar w:fldCharType="end"/>
            </w:r>
          </w:p>
        </w:tc>
        <w:tc>
          <w:tcPr>
            <w:tcW w:w="1159" w:type="dxa"/>
            <w:noWrap w:val="0"/>
            <w:tcMar>
              <w:left w:w="28" w:type="dxa"/>
              <w:right w:w="28" w:type="dxa"/>
            </w:tcMar>
            <w:vAlign w:val="center"/>
          </w:tcPr>
          <w:p w14:paraId="2747C741">
            <w:pPr>
              <w:spacing w:line="240" w:lineRule="auto"/>
              <w:ind w:firstLine="0" w:firstLineChars="0"/>
              <w:jc w:val="center"/>
              <w:rPr>
                <w:color w:val="auto"/>
              </w:rPr>
            </w:pPr>
            <w:r>
              <w:rPr>
                <w:color w:val="auto"/>
              </w:rPr>
              <w:t>现有工程</w:t>
            </w:r>
          </w:p>
          <w:p w14:paraId="21C4187A">
            <w:pPr>
              <w:spacing w:line="240" w:lineRule="auto"/>
              <w:ind w:firstLine="0" w:firstLineChars="0"/>
              <w:jc w:val="center"/>
              <w:rPr>
                <w:color w:val="auto"/>
              </w:rPr>
            </w:pPr>
            <w:r>
              <w:rPr>
                <w:color w:val="auto"/>
              </w:rPr>
              <w:t>许可排放量</w:t>
            </w:r>
            <w:r>
              <w:rPr>
                <w:color w:val="auto"/>
              </w:rPr>
              <w:fldChar w:fldCharType="begin"/>
            </w:r>
            <w:r>
              <w:rPr>
                <w:color w:val="auto"/>
              </w:rPr>
              <w:instrText xml:space="preserve"> = 2 \* GB3 \* MERGEFORMAT </w:instrText>
            </w:r>
            <w:r>
              <w:rPr>
                <w:color w:val="auto"/>
              </w:rPr>
              <w:fldChar w:fldCharType="separate"/>
            </w:r>
            <w:r>
              <w:rPr>
                <w:rFonts w:hint="eastAsia"/>
                <w:color w:val="auto"/>
              </w:rPr>
              <w:t>②</w:t>
            </w:r>
            <w:r>
              <w:rPr>
                <w:color w:val="auto"/>
              </w:rPr>
              <w:fldChar w:fldCharType="end"/>
            </w:r>
          </w:p>
        </w:tc>
        <w:tc>
          <w:tcPr>
            <w:tcW w:w="1725" w:type="dxa"/>
            <w:noWrap w:val="0"/>
            <w:tcMar>
              <w:left w:w="28" w:type="dxa"/>
              <w:right w:w="28" w:type="dxa"/>
            </w:tcMar>
            <w:vAlign w:val="center"/>
          </w:tcPr>
          <w:p w14:paraId="16F7CCC5">
            <w:pPr>
              <w:spacing w:line="240" w:lineRule="auto"/>
              <w:ind w:firstLine="0" w:firstLineChars="0"/>
              <w:jc w:val="center"/>
              <w:rPr>
                <w:rFonts w:hint="eastAsia"/>
                <w:color w:val="auto"/>
              </w:rPr>
            </w:pPr>
            <w:r>
              <w:rPr>
                <w:color w:val="auto"/>
              </w:rPr>
              <w:t>在建工程</w:t>
            </w:r>
          </w:p>
          <w:p w14:paraId="0C14E0C3">
            <w:pPr>
              <w:spacing w:line="240" w:lineRule="auto"/>
              <w:ind w:firstLine="0" w:firstLineChars="0"/>
              <w:jc w:val="center"/>
              <w:rPr>
                <w:color w:val="auto"/>
              </w:rPr>
            </w:pPr>
            <w:r>
              <w:rPr>
                <w:color w:val="auto"/>
              </w:rPr>
              <w:t>排放量（固</w:t>
            </w:r>
            <w:r>
              <w:rPr>
                <w:rFonts w:hint="eastAsia"/>
                <w:color w:val="auto"/>
              </w:rPr>
              <w:t>体</w:t>
            </w:r>
            <w:r>
              <w:rPr>
                <w:color w:val="auto"/>
              </w:rPr>
              <w:t>废</w:t>
            </w:r>
            <w:r>
              <w:rPr>
                <w:rFonts w:hint="eastAsia"/>
                <w:color w:val="auto"/>
              </w:rPr>
              <w:t>物</w:t>
            </w:r>
            <w:r>
              <w:rPr>
                <w:color w:val="auto"/>
              </w:rPr>
              <w:t>产生量）</w:t>
            </w:r>
            <w:r>
              <w:rPr>
                <w:color w:val="auto"/>
              </w:rPr>
              <w:fldChar w:fldCharType="begin"/>
            </w:r>
            <w:r>
              <w:rPr>
                <w:color w:val="auto"/>
              </w:rPr>
              <w:instrText xml:space="preserve"> = 3 \* GB3 \* MERGEFORMAT </w:instrText>
            </w:r>
            <w:r>
              <w:rPr>
                <w:color w:val="auto"/>
              </w:rPr>
              <w:fldChar w:fldCharType="separate"/>
            </w:r>
            <w:r>
              <w:rPr>
                <w:rFonts w:hint="eastAsia"/>
                <w:color w:val="auto"/>
              </w:rPr>
              <w:t>③</w:t>
            </w:r>
            <w:r>
              <w:rPr>
                <w:color w:val="auto"/>
              </w:rPr>
              <w:fldChar w:fldCharType="end"/>
            </w:r>
          </w:p>
        </w:tc>
        <w:tc>
          <w:tcPr>
            <w:tcW w:w="1463" w:type="dxa"/>
            <w:noWrap w:val="0"/>
            <w:tcMar>
              <w:left w:w="28" w:type="dxa"/>
              <w:right w:w="28" w:type="dxa"/>
            </w:tcMar>
            <w:vAlign w:val="center"/>
          </w:tcPr>
          <w:p w14:paraId="7774D346">
            <w:pPr>
              <w:spacing w:line="240" w:lineRule="auto"/>
              <w:ind w:firstLine="0" w:firstLineChars="0"/>
              <w:jc w:val="center"/>
              <w:rPr>
                <w:color w:val="auto"/>
              </w:rPr>
            </w:pPr>
            <w:r>
              <w:rPr>
                <w:color w:val="auto"/>
              </w:rPr>
              <w:t>本项目排放量（固</w:t>
            </w:r>
            <w:r>
              <w:rPr>
                <w:rFonts w:hint="eastAsia"/>
                <w:color w:val="auto"/>
              </w:rPr>
              <w:t>体</w:t>
            </w:r>
            <w:r>
              <w:rPr>
                <w:color w:val="auto"/>
              </w:rPr>
              <w:t>废</w:t>
            </w:r>
            <w:r>
              <w:rPr>
                <w:rFonts w:hint="eastAsia"/>
                <w:color w:val="auto"/>
              </w:rPr>
              <w:t>物</w:t>
            </w:r>
            <w:r>
              <w:rPr>
                <w:color w:val="auto"/>
              </w:rPr>
              <w:t>产生量）</w:t>
            </w:r>
            <w:r>
              <w:rPr>
                <w:color w:val="auto"/>
              </w:rPr>
              <w:fldChar w:fldCharType="begin"/>
            </w:r>
            <w:r>
              <w:rPr>
                <w:color w:val="auto"/>
              </w:rPr>
              <w:instrText xml:space="preserve"> = 4 \* GB3 \* MERGEFORMAT </w:instrText>
            </w:r>
            <w:r>
              <w:rPr>
                <w:color w:val="auto"/>
              </w:rPr>
              <w:fldChar w:fldCharType="separate"/>
            </w:r>
            <w:r>
              <w:rPr>
                <w:rFonts w:hint="eastAsia"/>
                <w:color w:val="auto"/>
              </w:rPr>
              <w:t>④</w:t>
            </w:r>
            <w:r>
              <w:rPr>
                <w:color w:val="auto"/>
              </w:rPr>
              <w:fldChar w:fldCharType="end"/>
            </w:r>
          </w:p>
        </w:tc>
        <w:tc>
          <w:tcPr>
            <w:tcW w:w="1450" w:type="dxa"/>
            <w:noWrap w:val="0"/>
            <w:tcMar>
              <w:left w:w="28" w:type="dxa"/>
              <w:right w:w="28" w:type="dxa"/>
            </w:tcMar>
            <w:vAlign w:val="center"/>
          </w:tcPr>
          <w:p w14:paraId="2341E56B">
            <w:pPr>
              <w:spacing w:line="240" w:lineRule="auto"/>
              <w:ind w:firstLine="0" w:firstLineChars="0"/>
              <w:jc w:val="center"/>
              <w:rPr>
                <w:color w:val="auto"/>
              </w:rPr>
            </w:pPr>
            <w:r>
              <w:rPr>
                <w:color w:val="auto"/>
              </w:rPr>
              <w:t>以新带老削减量（新建项目不填）</w:t>
            </w:r>
            <w:r>
              <w:rPr>
                <w:color w:val="auto"/>
              </w:rPr>
              <w:fldChar w:fldCharType="begin"/>
            </w:r>
            <w:r>
              <w:rPr>
                <w:color w:val="auto"/>
              </w:rPr>
              <w:instrText xml:space="preserve"> = 5 \* GB3 \* MERGEFORMAT </w:instrText>
            </w:r>
            <w:r>
              <w:rPr>
                <w:color w:val="auto"/>
              </w:rPr>
              <w:fldChar w:fldCharType="separate"/>
            </w:r>
            <w:r>
              <w:rPr>
                <w:rFonts w:hint="eastAsia"/>
                <w:color w:val="auto"/>
              </w:rPr>
              <w:t>⑤</w:t>
            </w:r>
            <w:r>
              <w:rPr>
                <w:color w:val="auto"/>
              </w:rPr>
              <w:fldChar w:fldCharType="end"/>
            </w:r>
          </w:p>
        </w:tc>
        <w:tc>
          <w:tcPr>
            <w:tcW w:w="1825" w:type="dxa"/>
            <w:noWrap w:val="0"/>
            <w:tcMar>
              <w:left w:w="28" w:type="dxa"/>
              <w:right w:w="28" w:type="dxa"/>
            </w:tcMar>
            <w:vAlign w:val="center"/>
          </w:tcPr>
          <w:p w14:paraId="0393777F">
            <w:pPr>
              <w:spacing w:line="240" w:lineRule="auto"/>
              <w:ind w:firstLine="0" w:firstLineChars="0"/>
              <w:jc w:val="center"/>
              <w:rPr>
                <w:rFonts w:hint="eastAsia"/>
                <w:color w:val="auto"/>
              </w:rPr>
            </w:pPr>
            <w:r>
              <w:rPr>
                <w:color w:val="auto"/>
              </w:rPr>
              <w:t>本项目建成后</w:t>
            </w:r>
          </w:p>
          <w:p w14:paraId="195507DA">
            <w:pPr>
              <w:spacing w:line="240" w:lineRule="auto"/>
              <w:ind w:firstLine="0" w:firstLineChars="0"/>
              <w:jc w:val="center"/>
              <w:rPr>
                <w:color w:val="auto"/>
              </w:rPr>
            </w:pPr>
            <w:r>
              <w:rPr>
                <w:rFonts w:hint="eastAsia"/>
                <w:color w:val="auto"/>
              </w:rPr>
              <w:t>全厂</w:t>
            </w:r>
            <w:r>
              <w:rPr>
                <w:color w:val="auto"/>
              </w:rPr>
              <w:t>排放量（固</w:t>
            </w:r>
            <w:r>
              <w:rPr>
                <w:rFonts w:hint="eastAsia"/>
                <w:color w:val="auto"/>
              </w:rPr>
              <w:t>体</w:t>
            </w:r>
            <w:r>
              <w:rPr>
                <w:color w:val="auto"/>
              </w:rPr>
              <w:t>废</w:t>
            </w:r>
            <w:r>
              <w:rPr>
                <w:rFonts w:hint="eastAsia"/>
                <w:color w:val="auto"/>
              </w:rPr>
              <w:t>物</w:t>
            </w:r>
            <w:r>
              <w:rPr>
                <w:color w:val="auto"/>
              </w:rPr>
              <w:t>产生量）</w:t>
            </w:r>
            <w:r>
              <w:rPr>
                <w:color w:val="auto"/>
              </w:rPr>
              <w:fldChar w:fldCharType="begin"/>
            </w:r>
            <w:r>
              <w:rPr>
                <w:color w:val="auto"/>
              </w:rPr>
              <w:instrText xml:space="preserve"> = 6 \* GB3 \* MERGEFORMAT </w:instrText>
            </w:r>
            <w:r>
              <w:rPr>
                <w:color w:val="auto"/>
              </w:rPr>
              <w:fldChar w:fldCharType="separate"/>
            </w:r>
            <w:r>
              <w:rPr>
                <w:rFonts w:hint="eastAsia"/>
                <w:color w:val="auto"/>
              </w:rPr>
              <w:t>⑥</w:t>
            </w:r>
            <w:r>
              <w:rPr>
                <w:color w:val="auto"/>
              </w:rPr>
              <w:fldChar w:fldCharType="end"/>
            </w:r>
          </w:p>
        </w:tc>
        <w:tc>
          <w:tcPr>
            <w:tcW w:w="1460" w:type="dxa"/>
            <w:noWrap w:val="0"/>
            <w:tcMar>
              <w:left w:w="28" w:type="dxa"/>
              <w:right w:w="28" w:type="dxa"/>
            </w:tcMar>
            <w:vAlign w:val="center"/>
          </w:tcPr>
          <w:p w14:paraId="5B87D088">
            <w:pPr>
              <w:spacing w:line="240" w:lineRule="auto"/>
              <w:ind w:firstLine="0" w:firstLineChars="0"/>
              <w:jc w:val="center"/>
              <w:rPr>
                <w:color w:val="auto"/>
              </w:rPr>
            </w:pPr>
            <w:r>
              <w:rPr>
                <w:color w:val="auto"/>
              </w:rPr>
              <w:t>变化量</w:t>
            </w:r>
          </w:p>
          <w:p w14:paraId="5DC225CC">
            <w:pPr>
              <w:spacing w:line="240" w:lineRule="auto"/>
              <w:ind w:firstLine="0" w:firstLineChars="0"/>
              <w:jc w:val="center"/>
              <w:rPr>
                <w:color w:val="auto"/>
              </w:rPr>
            </w:pPr>
            <w:r>
              <w:rPr>
                <w:color w:val="auto"/>
              </w:rPr>
              <w:fldChar w:fldCharType="begin"/>
            </w:r>
            <w:r>
              <w:rPr>
                <w:color w:val="auto"/>
              </w:rPr>
              <w:instrText xml:space="preserve"> = 7 \* GB3 \* MERGEFORMAT </w:instrText>
            </w:r>
            <w:r>
              <w:rPr>
                <w:color w:val="auto"/>
              </w:rPr>
              <w:fldChar w:fldCharType="separate"/>
            </w:r>
            <w:r>
              <w:rPr>
                <w:rFonts w:hint="eastAsia"/>
                <w:color w:val="auto"/>
              </w:rPr>
              <w:t>⑦</w:t>
            </w:r>
            <w:r>
              <w:rPr>
                <w:color w:val="auto"/>
              </w:rPr>
              <w:fldChar w:fldCharType="end"/>
            </w:r>
          </w:p>
        </w:tc>
      </w:tr>
      <w:tr w14:paraId="5C68C7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1869098E">
            <w:pPr>
              <w:ind w:firstLine="0" w:firstLineChars="0"/>
              <w:jc w:val="center"/>
              <w:rPr>
                <w:rFonts w:hint="eastAsia"/>
                <w:color w:val="auto"/>
              </w:rPr>
            </w:pPr>
            <w:r>
              <w:rPr>
                <w:rFonts w:hint="eastAsia"/>
                <w:color w:val="auto"/>
              </w:rPr>
              <w:t>废气</w:t>
            </w:r>
          </w:p>
        </w:tc>
        <w:tc>
          <w:tcPr>
            <w:tcW w:w="1417" w:type="dxa"/>
            <w:noWrap w:val="0"/>
            <w:vAlign w:val="center"/>
          </w:tcPr>
          <w:p w14:paraId="0193BD4D">
            <w:pPr>
              <w:ind w:firstLine="0" w:firstLineChars="0"/>
              <w:jc w:val="center"/>
              <w:rPr>
                <w:rFonts w:hint="eastAsia" w:eastAsia="宋体"/>
                <w:color w:val="auto"/>
                <w:lang w:eastAsia="zh-CN"/>
              </w:rPr>
            </w:pPr>
            <w:r>
              <w:rPr>
                <w:rFonts w:hint="eastAsia"/>
                <w:color w:val="auto"/>
                <w:lang w:val="en-US" w:eastAsia="zh-CN"/>
              </w:rPr>
              <w:t>非甲烷总烃</w:t>
            </w:r>
          </w:p>
        </w:tc>
        <w:tc>
          <w:tcPr>
            <w:tcW w:w="1701" w:type="dxa"/>
            <w:noWrap w:val="0"/>
            <w:vAlign w:val="center"/>
          </w:tcPr>
          <w:p w14:paraId="3267029A">
            <w:pPr>
              <w:ind w:firstLine="0" w:firstLineChars="0"/>
              <w:jc w:val="center"/>
              <w:rPr>
                <w:color w:val="auto"/>
              </w:rPr>
            </w:pPr>
          </w:p>
        </w:tc>
        <w:tc>
          <w:tcPr>
            <w:tcW w:w="1159" w:type="dxa"/>
            <w:noWrap w:val="0"/>
            <w:vAlign w:val="center"/>
          </w:tcPr>
          <w:p w14:paraId="355D1C9D">
            <w:pPr>
              <w:ind w:firstLine="0" w:firstLineChars="0"/>
              <w:jc w:val="center"/>
              <w:rPr>
                <w:color w:val="auto"/>
              </w:rPr>
            </w:pPr>
          </w:p>
        </w:tc>
        <w:tc>
          <w:tcPr>
            <w:tcW w:w="1725" w:type="dxa"/>
            <w:noWrap w:val="0"/>
            <w:vAlign w:val="center"/>
          </w:tcPr>
          <w:p w14:paraId="2B7861AA">
            <w:pPr>
              <w:ind w:firstLine="0" w:firstLineChars="0"/>
              <w:jc w:val="center"/>
              <w:rPr>
                <w:rFonts w:hint="eastAsia" w:ascii="Times New Roman" w:hAnsi="Times New Roman" w:eastAsia="宋体" w:cs="Times New Roman"/>
                <w:color w:val="auto"/>
                <w:lang w:val="en-US" w:eastAsia="zh-CN"/>
              </w:rPr>
            </w:pPr>
          </w:p>
        </w:tc>
        <w:tc>
          <w:tcPr>
            <w:tcW w:w="1463" w:type="dxa"/>
            <w:shd w:val="clear" w:color="auto" w:fill="auto"/>
            <w:noWrap w:val="0"/>
            <w:vAlign w:val="center"/>
          </w:tcPr>
          <w:p w14:paraId="7DD343BB">
            <w:pPr>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0.565</w:t>
            </w:r>
          </w:p>
        </w:tc>
        <w:tc>
          <w:tcPr>
            <w:tcW w:w="1450" w:type="dxa"/>
            <w:noWrap w:val="0"/>
            <w:vAlign w:val="center"/>
          </w:tcPr>
          <w:p w14:paraId="568982BD">
            <w:pPr>
              <w:ind w:firstLine="0" w:firstLineChars="0"/>
              <w:jc w:val="center"/>
              <w:rPr>
                <w:rFonts w:hint="eastAsia" w:ascii="Times New Roman" w:hAnsi="Times New Roman" w:eastAsia="宋体" w:cs="Times New Roman"/>
                <w:color w:val="auto"/>
                <w:lang w:val="en-US" w:eastAsia="zh-CN"/>
              </w:rPr>
            </w:pPr>
          </w:p>
        </w:tc>
        <w:tc>
          <w:tcPr>
            <w:tcW w:w="1825" w:type="dxa"/>
            <w:shd w:val="clear" w:color="auto" w:fill="auto"/>
            <w:noWrap w:val="0"/>
            <w:vAlign w:val="center"/>
          </w:tcPr>
          <w:p w14:paraId="3F0EC7A3">
            <w:pPr>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0.565</w:t>
            </w:r>
          </w:p>
        </w:tc>
        <w:tc>
          <w:tcPr>
            <w:tcW w:w="1460" w:type="dxa"/>
            <w:shd w:val="clear" w:color="auto" w:fill="auto"/>
            <w:noWrap w:val="0"/>
            <w:vAlign w:val="center"/>
          </w:tcPr>
          <w:p w14:paraId="593A658E">
            <w:pPr>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lang w:val="en-US" w:eastAsia="zh-CN"/>
              </w:rPr>
              <w:t>+0.565</w:t>
            </w:r>
          </w:p>
        </w:tc>
      </w:tr>
      <w:tr w14:paraId="153006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73C74A6A">
            <w:pPr>
              <w:ind w:firstLine="0" w:firstLineChars="0"/>
              <w:jc w:val="center"/>
              <w:rPr>
                <w:rFonts w:hint="eastAsia"/>
                <w:color w:val="auto"/>
              </w:rPr>
            </w:pPr>
          </w:p>
        </w:tc>
        <w:tc>
          <w:tcPr>
            <w:tcW w:w="1417" w:type="dxa"/>
            <w:noWrap w:val="0"/>
            <w:vAlign w:val="center"/>
          </w:tcPr>
          <w:p w14:paraId="3C5F3829">
            <w:pPr>
              <w:ind w:firstLine="0" w:firstLineChars="0"/>
              <w:jc w:val="center"/>
              <w:rPr>
                <w:rFonts w:hint="default" w:eastAsia="宋体"/>
                <w:color w:val="auto"/>
                <w:lang w:val="en-US" w:eastAsia="zh-CN"/>
              </w:rPr>
            </w:pPr>
            <w:r>
              <w:rPr>
                <w:rFonts w:hint="eastAsia"/>
                <w:color w:val="auto"/>
                <w:lang w:val="en-US" w:eastAsia="zh-CN"/>
              </w:rPr>
              <w:t>硫化氢</w:t>
            </w:r>
          </w:p>
        </w:tc>
        <w:tc>
          <w:tcPr>
            <w:tcW w:w="1701" w:type="dxa"/>
            <w:noWrap w:val="0"/>
            <w:vAlign w:val="center"/>
          </w:tcPr>
          <w:p w14:paraId="012E490C">
            <w:pPr>
              <w:ind w:firstLine="0" w:firstLineChars="0"/>
              <w:jc w:val="center"/>
              <w:rPr>
                <w:rFonts w:ascii="Times New Roman" w:hAnsi="Times New Roman" w:eastAsia="宋体"/>
                <w:color w:val="auto"/>
              </w:rPr>
            </w:pPr>
          </w:p>
        </w:tc>
        <w:tc>
          <w:tcPr>
            <w:tcW w:w="1159" w:type="dxa"/>
            <w:noWrap w:val="0"/>
            <w:vAlign w:val="center"/>
          </w:tcPr>
          <w:p w14:paraId="3343FC3E">
            <w:pPr>
              <w:ind w:firstLine="0" w:firstLineChars="0"/>
              <w:jc w:val="center"/>
              <w:rPr>
                <w:rFonts w:ascii="Times New Roman" w:hAnsi="Times New Roman" w:eastAsia="宋体"/>
                <w:color w:val="auto"/>
              </w:rPr>
            </w:pPr>
          </w:p>
        </w:tc>
        <w:tc>
          <w:tcPr>
            <w:tcW w:w="1725" w:type="dxa"/>
            <w:noWrap w:val="0"/>
            <w:vAlign w:val="center"/>
          </w:tcPr>
          <w:p w14:paraId="3C883CF7">
            <w:pPr>
              <w:ind w:firstLine="0" w:firstLineChars="0"/>
              <w:jc w:val="center"/>
              <w:rPr>
                <w:rFonts w:hint="eastAsia" w:ascii="Times New Roman" w:hAnsi="Times New Roman" w:eastAsia="宋体" w:cs="Times New Roman"/>
                <w:color w:val="auto"/>
                <w:lang w:val="en-US" w:eastAsia="zh-CN"/>
              </w:rPr>
            </w:pPr>
          </w:p>
        </w:tc>
        <w:tc>
          <w:tcPr>
            <w:tcW w:w="1463" w:type="dxa"/>
            <w:shd w:val="clear" w:color="auto" w:fill="auto"/>
            <w:noWrap w:val="0"/>
            <w:vAlign w:val="center"/>
          </w:tcPr>
          <w:p w14:paraId="404B45F8">
            <w:pPr>
              <w:ind w:firstLine="0" w:firstLine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0.168</w:t>
            </w:r>
          </w:p>
        </w:tc>
        <w:tc>
          <w:tcPr>
            <w:tcW w:w="1450" w:type="dxa"/>
            <w:noWrap w:val="0"/>
            <w:vAlign w:val="center"/>
          </w:tcPr>
          <w:p w14:paraId="56ACE67D">
            <w:pPr>
              <w:ind w:firstLine="0" w:firstLineChars="0"/>
              <w:jc w:val="center"/>
              <w:rPr>
                <w:rFonts w:hint="eastAsia" w:ascii="Times New Roman" w:hAnsi="Times New Roman" w:eastAsia="宋体" w:cs="Times New Roman"/>
                <w:color w:val="auto"/>
                <w:lang w:val="en-US" w:eastAsia="zh-CN"/>
              </w:rPr>
            </w:pPr>
          </w:p>
        </w:tc>
        <w:tc>
          <w:tcPr>
            <w:tcW w:w="1825" w:type="dxa"/>
            <w:shd w:val="clear" w:color="auto" w:fill="auto"/>
            <w:noWrap w:val="0"/>
            <w:vAlign w:val="center"/>
          </w:tcPr>
          <w:p w14:paraId="1C5FE16E">
            <w:pPr>
              <w:ind w:firstLine="0" w:firstLine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0.168</w:t>
            </w:r>
          </w:p>
        </w:tc>
        <w:tc>
          <w:tcPr>
            <w:tcW w:w="1460" w:type="dxa"/>
            <w:shd w:val="clear" w:color="auto" w:fill="auto"/>
            <w:noWrap w:val="0"/>
            <w:vAlign w:val="center"/>
          </w:tcPr>
          <w:p w14:paraId="6C4FC034">
            <w:pPr>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lang w:val="en-US" w:eastAsia="zh-CN"/>
              </w:rPr>
              <w:t>+0.168</w:t>
            </w:r>
          </w:p>
        </w:tc>
      </w:tr>
      <w:tr w14:paraId="6A3BA8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58A9C113">
            <w:pPr>
              <w:ind w:firstLine="0" w:firstLineChars="0"/>
              <w:jc w:val="center"/>
              <w:rPr>
                <w:rFonts w:hint="eastAsia"/>
                <w:color w:val="auto"/>
              </w:rPr>
            </w:pPr>
          </w:p>
        </w:tc>
        <w:tc>
          <w:tcPr>
            <w:tcW w:w="1417" w:type="dxa"/>
            <w:noWrap w:val="0"/>
            <w:vAlign w:val="center"/>
          </w:tcPr>
          <w:p w14:paraId="7AB9DCF4">
            <w:pPr>
              <w:ind w:firstLine="0" w:firstLineChars="0"/>
              <w:jc w:val="center"/>
              <w:rPr>
                <w:rFonts w:hint="eastAsia" w:eastAsia="宋体"/>
                <w:color w:val="auto"/>
                <w:lang w:eastAsia="zh-CN"/>
              </w:rPr>
            </w:pPr>
            <w:r>
              <w:rPr>
                <w:rFonts w:hint="eastAsia"/>
                <w:color w:val="auto"/>
                <w:lang w:val="en-US" w:eastAsia="zh-CN"/>
              </w:rPr>
              <w:t>颗粒物</w:t>
            </w:r>
          </w:p>
        </w:tc>
        <w:tc>
          <w:tcPr>
            <w:tcW w:w="1701" w:type="dxa"/>
            <w:noWrap w:val="0"/>
            <w:vAlign w:val="center"/>
          </w:tcPr>
          <w:p w14:paraId="0D2C17D6">
            <w:pPr>
              <w:ind w:firstLine="0" w:firstLineChars="0"/>
              <w:jc w:val="center"/>
              <w:rPr>
                <w:rFonts w:ascii="Times New Roman" w:hAnsi="Times New Roman" w:eastAsia="宋体"/>
                <w:color w:val="auto"/>
              </w:rPr>
            </w:pPr>
          </w:p>
        </w:tc>
        <w:tc>
          <w:tcPr>
            <w:tcW w:w="1159" w:type="dxa"/>
            <w:noWrap w:val="0"/>
            <w:vAlign w:val="center"/>
          </w:tcPr>
          <w:p w14:paraId="3490F221">
            <w:pPr>
              <w:ind w:firstLine="0" w:firstLineChars="0"/>
              <w:jc w:val="center"/>
              <w:rPr>
                <w:rFonts w:ascii="Times New Roman" w:hAnsi="Times New Roman" w:eastAsia="宋体"/>
                <w:color w:val="auto"/>
              </w:rPr>
            </w:pPr>
          </w:p>
        </w:tc>
        <w:tc>
          <w:tcPr>
            <w:tcW w:w="1725" w:type="dxa"/>
            <w:noWrap w:val="0"/>
            <w:vAlign w:val="center"/>
          </w:tcPr>
          <w:p w14:paraId="7F7BA0A0">
            <w:pPr>
              <w:ind w:firstLine="0" w:firstLineChars="0"/>
              <w:jc w:val="center"/>
              <w:rPr>
                <w:rFonts w:hint="eastAsia" w:ascii="Times New Roman" w:hAnsi="Times New Roman" w:eastAsia="宋体" w:cs="Times New Roman"/>
                <w:color w:val="auto"/>
                <w:lang w:val="en-US" w:eastAsia="zh-CN"/>
              </w:rPr>
            </w:pPr>
          </w:p>
        </w:tc>
        <w:tc>
          <w:tcPr>
            <w:tcW w:w="1463" w:type="dxa"/>
            <w:shd w:val="clear" w:color="auto" w:fill="auto"/>
            <w:noWrap w:val="0"/>
            <w:vAlign w:val="center"/>
          </w:tcPr>
          <w:p w14:paraId="08752057">
            <w:pPr>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0.653</w:t>
            </w:r>
          </w:p>
        </w:tc>
        <w:tc>
          <w:tcPr>
            <w:tcW w:w="1450" w:type="dxa"/>
            <w:noWrap w:val="0"/>
            <w:vAlign w:val="center"/>
          </w:tcPr>
          <w:p w14:paraId="309A78FA">
            <w:pPr>
              <w:ind w:firstLine="0" w:firstLineChars="0"/>
              <w:jc w:val="center"/>
              <w:rPr>
                <w:rFonts w:hint="eastAsia" w:ascii="Times New Roman" w:hAnsi="Times New Roman" w:eastAsia="宋体" w:cs="Times New Roman"/>
                <w:color w:val="auto"/>
                <w:lang w:val="en-US" w:eastAsia="zh-CN"/>
              </w:rPr>
            </w:pPr>
          </w:p>
        </w:tc>
        <w:tc>
          <w:tcPr>
            <w:tcW w:w="1825" w:type="dxa"/>
            <w:shd w:val="clear" w:color="auto" w:fill="auto"/>
            <w:noWrap w:val="0"/>
            <w:vAlign w:val="center"/>
          </w:tcPr>
          <w:p w14:paraId="0266C35D">
            <w:pPr>
              <w:ind w:firstLine="0" w:firstLine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0.653</w:t>
            </w:r>
          </w:p>
        </w:tc>
        <w:tc>
          <w:tcPr>
            <w:tcW w:w="1460" w:type="dxa"/>
            <w:shd w:val="clear" w:color="auto" w:fill="auto"/>
            <w:noWrap w:val="0"/>
            <w:vAlign w:val="center"/>
          </w:tcPr>
          <w:p w14:paraId="0F70D94A">
            <w:pPr>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lang w:val="en-US" w:eastAsia="zh-CN"/>
              </w:rPr>
              <w:t>+0.653</w:t>
            </w:r>
          </w:p>
        </w:tc>
      </w:tr>
      <w:tr w14:paraId="4B813C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3B464543">
            <w:pPr>
              <w:ind w:firstLine="0" w:firstLineChars="0"/>
              <w:jc w:val="center"/>
              <w:rPr>
                <w:rFonts w:hint="eastAsia" w:eastAsia="宋体"/>
                <w:color w:val="auto"/>
                <w:lang w:eastAsia="zh-CN"/>
              </w:rPr>
            </w:pPr>
            <w:r>
              <w:rPr>
                <w:rFonts w:hint="eastAsia"/>
                <w:color w:val="auto"/>
              </w:rPr>
              <w:t>废水</w:t>
            </w:r>
            <w:r>
              <w:rPr>
                <w:rFonts w:hint="eastAsia"/>
                <w:color w:val="auto"/>
                <w:lang w:eastAsia="zh-CN"/>
              </w:rPr>
              <w:t>（接管排放量）</w:t>
            </w:r>
          </w:p>
        </w:tc>
        <w:tc>
          <w:tcPr>
            <w:tcW w:w="1417" w:type="dxa"/>
            <w:noWrap w:val="0"/>
            <w:vAlign w:val="center"/>
          </w:tcPr>
          <w:p w14:paraId="052B247B">
            <w:pPr>
              <w:pStyle w:val="46"/>
              <w:spacing w:beforeLines="0" w:afterLines="0" w:line="240" w:lineRule="auto"/>
              <w:ind w:firstLine="0" w:firstLineChars="0"/>
              <w:rPr>
                <w:rFonts w:ascii="Times New Roman"/>
                <w:snapToGrid w:val="0"/>
                <w:color w:val="auto"/>
                <w:kern w:val="21"/>
                <w:szCs w:val="24"/>
              </w:rPr>
            </w:pPr>
            <w:r>
              <w:rPr>
                <w:rFonts w:hint="eastAsia" w:ascii="Times New Roman"/>
                <w:snapToGrid w:val="0"/>
                <w:color w:val="auto"/>
                <w:kern w:val="21"/>
                <w:szCs w:val="24"/>
              </w:rPr>
              <w:t>水量</w:t>
            </w:r>
          </w:p>
        </w:tc>
        <w:tc>
          <w:tcPr>
            <w:tcW w:w="1701" w:type="dxa"/>
            <w:noWrap w:val="0"/>
            <w:vAlign w:val="center"/>
          </w:tcPr>
          <w:p w14:paraId="7D912AB3">
            <w:pPr>
              <w:ind w:firstLine="0" w:firstLineChars="0"/>
              <w:jc w:val="center"/>
              <w:rPr>
                <w:rFonts w:hint="default" w:ascii="Times New Roman" w:hAnsi="Times New Roman" w:eastAsia="宋体"/>
                <w:color w:val="auto"/>
                <w:lang w:val="en-US" w:eastAsia="zh-CN"/>
              </w:rPr>
            </w:pPr>
          </w:p>
        </w:tc>
        <w:tc>
          <w:tcPr>
            <w:tcW w:w="1159" w:type="dxa"/>
            <w:noWrap w:val="0"/>
            <w:vAlign w:val="center"/>
          </w:tcPr>
          <w:p w14:paraId="4E472F52">
            <w:pPr>
              <w:ind w:firstLine="0" w:firstLineChars="0"/>
              <w:jc w:val="center"/>
              <w:rPr>
                <w:rFonts w:ascii="Times New Roman" w:hAnsi="Times New Roman" w:eastAsia="宋体"/>
                <w:color w:val="auto"/>
              </w:rPr>
            </w:pPr>
          </w:p>
        </w:tc>
        <w:tc>
          <w:tcPr>
            <w:tcW w:w="1725" w:type="dxa"/>
            <w:noWrap w:val="0"/>
            <w:vAlign w:val="center"/>
          </w:tcPr>
          <w:p w14:paraId="3DECFEB8">
            <w:pPr>
              <w:ind w:firstLine="0" w:firstLineChars="0"/>
              <w:jc w:val="center"/>
              <w:rPr>
                <w:rFonts w:hint="eastAsia" w:ascii="Times New Roman" w:hAnsi="Times New Roman" w:eastAsia="宋体" w:cs="Times New Roman"/>
                <w:color w:val="auto"/>
                <w:lang w:val="en-US" w:eastAsia="zh-CN"/>
              </w:rPr>
            </w:pPr>
          </w:p>
        </w:tc>
        <w:tc>
          <w:tcPr>
            <w:tcW w:w="1463" w:type="dxa"/>
            <w:shd w:val="clear" w:color="auto" w:fill="auto"/>
            <w:noWrap w:val="0"/>
            <w:vAlign w:val="center"/>
          </w:tcPr>
          <w:p w14:paraId="5436B1D1">
            <w:pPr>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2082.9</w:t>
            </w:r>
          </w:p>
        </w:tc>
        <w:tc>
          <w:tcPr>
            <w:tcW w:w="1450" w:type="dxa"/>
            <w:noWrap w:val="0"/>
            <w:vAlign w:val="center"/>
          </w:tcPr>
          <w:p w14:paraId="45083A86">
            <w:pPr>
              <w:ind w:firstLine="0" w:firstLineChars="0"/>
              <w:jc w:val="center"/>
              <w:rPr>
                <w:rFonts w:hint="eastAsia" w:ascii="Times New Roman" w:hAnsi="Times New Roman" w:eastAsia="宋体" w:cs="Times New Roman"/>
                <w:color w:val="auto"/>
                <w:lang w:val="en-US" w:eastAsia="zh-CN"/>
              </w:rPr>
            </w:pPr>
          </w:p>
        </w:tc>
        <w:tc>
          <w:tcPr>
            <w:tcW w:w="1825" w:type="dxa"/>
            <w:shd w:val="clear" w:color="auto" w:fill="auto"/>
            <w:noWrap w:val="0"/>
            <w:vAlign w:val="center"/>
          </w:tcPr>
          <w:p w14:paraId="49EEC20B">
            <w:pPr>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lang w:val="en-US" w:eastAsia="zh-CN"/>
              </w:rPr>
              <w:t>2082.9</w:t>
            </w:r>
          </w:p>
        </w:tc>
        <w:tc>
          <w:tcPr>
            <w:tcW w:w="1460" w:type="dxa"/>
            <w:shd w:val="clear" w:color="auto" w:fill="auto"/>
            <w:noWrap w:val="0"/>
            <w:vAlign w:val="center"/>
          </w:tcPr>
          <w:p w14:paraId="5E96672D">
            <w:pPr>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lang w:val="en-US" w:eastAsia="zh-CN"/>
              </w:rPr>
              <w:t>+2082.9</w:t>
            </w:r>
          </w:p>
        </w:tc>
      </w:tr>
      <w:tr w14:paraId="0428B1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60752FE4">
            <w:pPr>
              <w:ind w:firstLine="0" w:firstLineChars="0"/>
              <w:jc w:val="center"/>
              <w:rPr>
                <w:rFonts w:hint="eastAsia"/>
                <w:color w:val="auto"/>
              </w:rPr>
            </w:pPr>
          </w:p>
        </w:tc>
        <w:tc>
          <w:tcPr>
            <w:tcW w:w="1417" w:type="dxa"/>
            <w:noWrap w:val="0"/>
            <w:vAlign w:val="center"/>
          </w:tcPr>
          <w:p w14:paraId="5CAFC573">
            <w:pPr>
              <w:adjustRightInd w:val="0"/>
              <w:spacing w:line="240" w:lineRule="auto"/>
              <w:ind w:firstLine="0" w:firstLineChars="0"/>
              <w:jc w:val="center"/>
              <w:rPr>
                <w:bCs/>
                <w:color w:val="auto"/>
                <w:kern w:val="0"/>
              </w:rPr>
            </w:pPr>
            <w:r>
              <w:rPr>
                <w:rFonts w:hint="eastAsia"/>
                <w:bCs/>
                <w:color w:val="auto"/>
                <w:kern w:val="0"/>
              </w:rPr>
              <w:t>COD</w:t>
            </w:r>
          </w:p>
        </w:tc>
        <w:tc>
          <w:tcPr>
            <w:tcW w:w="1701" w:type="dxa"/>
            <w:noWrap w:val="0"/>
            <w:vAlign w:val="center"/>
          </w:tcPr>
          <w:p w14:paraId="05F6E4BF">
            <w:pPr>
              <w:ind w:firstLine="0" w:firstLineChars="0"/>
              <w:jc w:val="center"/>
              <w:rPr>
                <w:rFonts w:ascii="Times New Roman" w:hAnsi="Times New Roman" w:eastAsia="宋体"/>
                <w:color w:val="auto"/>
              </w:rPr>
            </w:pPr>
          </w:p>
        </w:tc>
        <w:tc>
          <w:tcPr>
            <w:tcW w:w="1159" w:type="dxa"/>
            <w:noWrap w:val="0"/>
            <w:vAlign w:val="center"/>
          </w:tcPr>
          <w:p w14:paraId="350826D1">
            <w:pPr>
              <w:ind w:firstLine="0" w:firstLineChars="0"/>
              <w:jc w:val="center"/>
              <w:rPr>
                <w:rFonts w:ascii="Times New Roman" w:hAnsi="Times New Roman" w:eastAsia="宋体"/>
                <w:color w:val="auto"/>
              </w:rPr>
            </w:pPr>
          </w:p>
        </w:tc>
        <w:tc>
          <w:tcPr>
            <w:tcW w:w="1725" w:type="dxa"/>
            <w:noWrap w:val="0"/>
            <w:vAlign w:val="center"/>
          </w:tcPr>
          <w:p w14:paraId="6DAB26D5">
            <w:pPr>
              <w:ind w:firstLine="0" w:firstLineChars="0"/>
              <w:jc w:val="center"/>
              <w:rPr>
                <w:rFonts w:hint="eastAsia" w:ascii="Times New Roman" w:hAnsi="Times New Roman" w:eastAsia="宋体" w:cs="Times New Roman"/>
                <w:color w:val="auto"/>
                <w:lang w:val="en-US" w:eastAsia="zh-CN"/>
              </w:rPr>
            </w:pPr>
          </w:p>
        </w:tc>
        <w:tc>
          <w:tcPr>
            <w:tcW w:w="1463" w:type="dxa"/>
            <w:shd w:val="clear" w:color="auto" w:fill="auto"/>
            <w:noWrap w:val="0"/>
            <w:vAlign w:val="center"/>
          </w:tcPr>
          <w:p w14:paraId="0C699540">
            <w:pPr>
              <w:ind w:firstLine="0" w:firstLine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0.600 </w:t>
            </w:r>
          </w:p>
        </w:tc>
        <w:tc>
          <w:tcPr>
            <w:tcW w:w="1450" w:type="dxa"/>
            <w:noWrap w:val="0"/>
            <w:vAlign w:val="center"/>
          </w:tcPr>
          <w:p w14:paraId="1AC7A7E5">
            <w:pPr>
              <w:ind w:firstLine="0" w:firstLineChars="0"/>
              <w:jc w:val="center"/>
              <w:rPr>
                <w:rFonts w:hint="eastAsia" w:ascii="Times New Roman" w:hAnsi="Times New Roman" w:eastAsia="宋体" w:cs="Times New Roman"/>
                <w:color w:val="auto"/>
                <w:lang w:val="en-US" w:eastAsia="zh-CN"/>
              </w:rPr>
            </w:pPr>
          </w:p>
        </w:tc>
        <w:tc>
          <w:tcPr>
            <w:tcW w:w="1825" w:type="dxa"/>
            <w:shd w:val="clear" w:color="auto" w:fill="auto"/>
            <w:noWrap w:val="0"/>
            <w:vAlign w:val="center"/>
          </w:tcPr>
          <w:p w14:paraId="242F4ACF">
            <w:pPr>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lang w:val="en-US" w:eastAsia="zh-CN"/>
              </w:rPr>
              <w:t xml:space="preserve">0.600 </w:t>
            </w:r>
          </w:p>
        </w:tc>
        <w:tc>
          <w:tcPr>
            <w:tcW w:w="1460" w:type="dxa"/>
            <w:shd w:val="clear" w:color="auto" w:fill="auto"/>
            <w:noWrap w:val="0"/>
            <w:vAlign w:val="center"/>
          </w:tcPr>
          <w:p w14:paraId="103EB64B">
            <w:pPr>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lang w:val="en-US" w:eastAsia="zh-CN"/>
              </w:rPr>
              <w:t xml:space="preserve">+0.600 </w:t>
            </w:r>
          </w:p>
        </w:tc>
      </w:tr>
      <w:tr w14:paraId="3111BB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58E02D00">
            <w:pPr>
              <w:ind w:firstLine="0" w:firstLineChars="0"/>
              <w:jc w:val="center"/>
              <w:rPr>
                <w:rFonts w:hint="eastAsia"/>
                <w:color w:val="auto"/>
              </w:rPr>
            </w:pPr>
          </w:p>
        </w:tc>
        <w:tc>
          <w:tcPr>
            <w:tcW w:w="1417" w:type="dxa"/>
            <w:noWrap w:val="0"/>
            <w:vAlign w:val="center"/>
          </w:tcPr>
          <w:p w14:paraId="2E6D99CD">
            <w:pPr>
              <w:adjustRightInd w:val="0"/>
              <w:spacing w:line="240" w:lineRule="auto"/>
              <w:ind w:firstLine="0" w:firstLineChars="0"/>
              <w:jc w:val="center"/>
              <w:rPr>
                <w:bCs/>
                <w:color w:val="auto"/>
                <w:kern w:val="0"/>
              </w:rPr>
            </w:pPr>
            <w:r>
              <w:rPr>
                <w:rFonts w:hint="eastAsia"/>
                <w:bCs/>
                <w:color w:val="auto"/>
                <w:kern w:val="0"/>
              </w:rPr>
              <w:t>BOD</w:t>
            </w:r>
            <w:r>
              <w:rPr>
                <w:rFonts w:hint="eastAsia"/>
                <w:bCs/>
                <w:color w:val="auto"/>
                <w:kern w:val="0"/>
                <w:vertAlign w:val="subscript"/>
              </w:rPr>
              <w:t>5</w:t>
            </w:r>
          </w:p>
        </w:tc>
        <w:tc>
          <w:tcPr>
            <w:tcW w:w="1701" w:type="dxa"/>
            <w:noWrap w:val="0"/>
            <w:vAlign w:val="center"/>
          </w:tcPr>
          <w:p w14:paraId="227E1E29">
            <w:pPr>
              <w:ind w:firstLine="0" w:firstLineChars="0"/>
              <w:jc w:val="center"/>
              <w:rPr>
                <w:rFonts w:ascii="Times New Roman" w:hAnsi="Times New Roman" w:eastAsia="宋体"/>
                <w:color w:val="auto"/>
                <w:lang w:val="en-US" w:eastAsia="zh-CN"/>
              </w:rPr>
            </w:pPr>
          </w:p>
        </w:tc>
        <w:tc>
          <w:tcPr>
            <w:tcW w:w="1159" w:type="dxa"/>
            <w:noWrap w:val="0"/>
            <w:vAlign w:val="center"/>
          </w:tcPr>
          <w:p w14:paraId="6E726242">
            <w:pPr>
              <w:ind w:firstLine="0" w:firstLineChars="0"/>
              <w:jc w:val="center"/>
              <w:rPr>
                <w:rFonts w:ascii="Times New Roman" w:hAnsi="Times New Roman" w:eastAsia="宋体"/>
                <w:color w:val="auto"/>
              </w:rPr>
            </w:pPr>
          </w:p>
        </w:tc>
        <w:tc>
          <w:tcPr>
            <w:tcW w:w="1725" w:type="dxa"/>
            <w:noWrap w:val="0"/>
            <w:vAlign w:val="center"/>
          </w:tcPr>
          <w:p w14:paraId="490CB8BD">
            <w:pPr>
              <w:ind w:firstLine="0" w:firstLineChars="0"/>
              <w:jc w:val="center"/>
              <w:rPr>
                <w:rFonts w:hint="eastAsia" w:ascii="Times New Roman" w:hAnsi="Times New Roman" w:eastAsia="宋体" w:cs="Times New Roman"/>
                <w:color w:val="auto"/>
                <w:lang w:val="en-US" w:eastAsia="zh-CN"/>
              </w:rPr>
            </w:pPr>
          </w:p>
        </w:tc>
        <w:tc>
          <w:tcPr>
            <w:tcW w:w="1463" w:type="dxa"/>
            <w:shd w:val="clear" w:color="auto" w:fill="auto"/>
            <w:noWrap w:val="0"/>
            <w:vAlign w:val="center"/>
          </w:tcPr>
          <w:p w14:paraId="7503CA67">
            <w:pPr>
              <w:ind w:firstLine="0" w:firstLine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0.243 </w:t>
            </w:r>
          </w:p>
        </w:tc>
        <w:tc>
          <w:tcPr>
            <w:tcW w:w="1450" w:type="dxa"/>
            <w:noWrap w:val="0"/>
            <w:vAlign w:val="center"/>
          </w:tcPr>
          <w:p w14:paraId="1528ACC8">
            <w:pPr>
              <w:ind w:firstLine="0" w:firstLineChars="0"/>
              <w:jc w:val="center"/>
              <w:rPr>
                <w:rFonts w:hint="eastAsia" w:ascii="Times New Roman" w:hAnsi="Times New Roman" w:eastAsia="宋体" w:cs="Times New Roman"/>
                <w:color w:val="auto"/>
                <w:lang w:val="en-US" w:eastAsia="zh-CN"/>
              </w:rPr>
            </w:pPr>
          </w:p>
        </w:tc>
        <w:tc>
          <w:tcPr>
            <w:tcW w:w="1825" w:type="dxa"/>
            <w:shd w:val="clear" w:color="auto" w:fill="auto"/>
            <w:noWrap w:val="0"/>
            <w:vAlign w:val="center"/>
          </w:tcPr>
          <w:p w14:paraId="7E4DE43B">
            <w:pPr>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lang w:val="en-US" w:eastAsia="zh-CN"/>
              </w:rPr>
              <w:t xml:space="preserve">0.243 </w:t>
            </w:r>
          </w:p>
        </w:tc>
        <w:tc>
          <w:tcPr>
            <w:tcW w:w="1460" w:type="dxa"/>
            <w:shd w:val="clear" w:color="auto" w:fill="auto"/>
            <w:noWrap w:val="0"/>
            <w:vAlign w:val="center"/>
          </w:tcPr>
          <w:p w14:paraId="059D75F0">
            <w:pPr>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lang w:val="en-US" w:eastAsia="zh-CN"/>
              </w:rPr>
              <w:t xml:space="preserve">+0.243 </w:t>
            </w:r>
          </w:p>
        </w:tc>
      </w:tr>
      <w:tr w14:paraId="30DD34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6836B7AD">
            <w:pPr>
              <w:ind w:firstLine="0" w:firstLineChars="0"/>
              <w:jc w:val="center"/>
              <w:rPr>
                <w:rFonts w:hint="eastAsia"/>
                <w:color w:val="auto"/>
              </w:rPr>
            </w:pPr>
          </w:p>
        </w:tc>
        <w:tc>
          <w:tcPr>
            <w:tcW w:w="1417" w:type="dxa"/>
            <w:noWrap w:val="0"/>
            <w:vAlign w:val="center"/>
          </w:tcPr>
          <w:p w14:paraId="483C5375">
            <w:pPr>
              <w:adjustRightInd w:val="0"/>
              <w:spacing w:line="240" w:lineRule="auto"/>
              <w:ind w:firstLine="0" w:firstLineChars="0"/>
              <w:jc w:val="center"/>
              <w:rPr>
                <w:bCs/>
                <w:color w:val="auto"/>
                <w:kern w:val="0"/>
              </w:rPr>
            </w:pPr>
            <w:r>
              <w:rPr>
                <w:rFonts w:hint="eastAsia"/>
                <w:bCs/>
                <w:color w:val="auto"/>
                <w:kern w:val="0"/>
              </w:rPr>
              <w:t>SS</w:t>
            </w:r>
          </w:p>
        </w:tc>
        <w:tc>
          <w:tcPr>
            <w:tcW w:w="1701" w:type="dxa"/>
            <w:noWrap w:val="0"/>
            <w:vAlign w:val="center"/>
          </w:tcPr>
          <w:p w14:paraId="3A2D8B88">
            <w:pPr>
              <w:ind w:firstLine="0" w:firstLineChars="0"/>
              <w:jc w:val="center"/>
              <w:rPr>
                <w:rFonts w:ascii="Times New Roman" w:hAnsi="Times New Roman" w:eastAsia="宋体"/>
                <w:color w:val="auto"/>
                <w:lang w:val="en-US" w:eastAsia="zh-CN"/>
              </w:rPr>
            </w:pPr>
          </w:p>
        </w:tc>
        <w:tc>
          <w:tcPr>
            <w:tcW w:w="1159" w:type="dxa"/>
            <w:noWrap w:val="0"/>
            <w:vAlign w:val="center"/>
          </w:tcPr>
          <w:p w14:paraId="28A0236D">
            <w:pPr>
              <w:ind w:firstLine="0" w:firstLineChars="0"/>
              <w:jc w:val="center"/>
              <w:rPr>
                <w:rFonts w:ascii="Times New Roman" w:hAnsi="Times New Roman" w:eastAsia="宋体"/>
                <w:color w:val="auto"/>
              </w:rPr>
            </w:pPr>
          </w:p>
        </w:tc>
        <w:tc>
          <w:tcPr>
            <w:tcW w:w="1725" w:type="dxa"/>
            <w:noWrap w:val="0"/>
            <w:vAlign w:val="center"/>
          </w:tcPr>
          <w:p w14:paraId="3F6DF00F">
            <w:pPr>
              <w:ind w:firstLine="0" w:firstLineChars="0"/>
              <w:jc w:val="center"/>
              <w:rPr>
                <w:rFonts w:hint="eastAsia" w:ascii="Times New Roman" w:hAnsi="Times New Roman" w:eastAsia="宋体" w:cs="Times New Roman"/>
                <w:color w:val="auto"/>
                <w:lang w:val="en-US" w:eastAsia="zh-CN"/>
              </w:rPr>
            </w:pPr>
          </w:p>
        </w:tc>
        <w:tc>
          <w:tcPr>
            <w:tcW w:w="1463" w:type="dxa"/>
            <w:shd w:val="clear" w:color="auto" w:fill="auto"/>
            <w:noWrap w:val="0"/>
            <w:vAlign w:val="center"/>
          </w:tcPr>
          <w:p w14:paraId="7072FED2">
            <w:pPr>
              <w:ind w:firstLine="0" w:firstLine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0.223 </w:t>
            </w:r>
          </w:p>
        </w:tc>
        <w:tc>
          <w:tcPr>
            <w:tcW w:w="1450" w:type="dxa"/>
            <w:noWrap w:val="0"/>
            <w:vAlign w:val="center"/>
          </w:tcPr>
          <w:p w14:paraId="0DF6E795">
            <w:pPr>
              <w:ind w:firstLine="0" w:firstLineChars="0"/>
              <w:jc w:val="center"/>
              <w:rPr>
                <w:rFonts w:hint="eastAsia" w:ascii="Times New Roman" w:hAnsi="Times New Roman" w:eastAsia="宋体" w:cs="Times New Roman"/>
                <w:color w:val="auto"/>
                <w:lang w:val="en-US" w:eastAsia="zh-CN"/>
              </w:rPr>
            </w:pPr>
          </w:p>
        </w:tc>
        <w:tc>
          <w:tcPr>
            <w:tcW w:w="1825" w:type="dxa"/>
            <w:shd w:val="clear" w:color="auto" w:fill="auto"/>
            <w:noWrap w:val="0"/>
            <w:vAlign w:val="center"/>
          </w:tcPr>
          <w:p w14:paraId="57D9CB20">
            <w:pPr>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lang w:val="en-US" w:eastAsia="zh-CN"/>
              </w:rPr>
              <w:t xml:space="preserve">0.223 </w:t>
            </w:r>
          </w:p>
        </w:tc>
        <w:tc>
          <w:tcPr>
            <w:tcW w:w="1460" w:type="dxa"/>
            <w:shd w:val="clear" w:color="auto" w:fill="auto"/>
            <w:noWrap w:val="0"/>
            <w:vAlign w:val="center"/>
          </w:tcPr>
          <w:p w14:paraId="2106DB25">
            <w:pPr>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lang w:val="en-US" w:eastAsia="zh-CN"/>
              </w:rPr>
              <w:t xml:space="preserve">+0.223 </w:t>
            </w:r>
          </w:p>
        </w:tc>
      </w:tr>
      <w:tr w14:paraId="101734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27D7DB2A">
            <w:pPr>
              <w:ind w:firstLine="0" w:firstLineChars="0"/>
              <w:jc w:val="center"/>
              <w:rPr>
                <w:rFonts w:hint="eastAsia"/>
                <w:color w:val="auto"/>
              </w:rPr>
            </w:pPr>
          </w:p>
        </w:tc>
        <w:tc>
          <w:tcPr>
            <w:tcW w:w="1417" w:type="dxa"/>
            <w:noWrap w:val="0"/>
            <w:vAlign w:val="center"/>
          </w:tcPr>
          <w:p w14:paraId="2882D62A">
            <w:pPr>
              <w:adjustRightInd w:val="0"/>
              <w:spacing w:line="240" w:lineRule="auto"/>
              <w:ind w:firstLine="0" w:firstLineChars="0"/>
              <w:jc w:val="center"/>
              <w:rPr>
                <w:bCs/>
                <w:color w:val="auto"/>
                <w:kern w:val="0"/>
              </w:rPr>
            </w:pPr>
            <w:r>
              <w:rPr>
                <w:rFonts w:hint="eastAsia"/>
                <w:bCs/>
                <w:color w:val="auto"/>
                <w:kern w:val="0"/>
              </w:rPr>
              <w:t>NH</w:t>
            </w:r>
            <w:r>
              <w:rPr>
                <w:rFonts w:hint="eastAsia"/>
                <w:bCs/>
                <w:color w:val="auto"/>
                <w:kern w:val="0"/>
                <w:vertAlign w:val="subscript"/>
              </w:rPr>
              <w:t>3</w:t>
            </w:r>
            <w:r>
              <w:rPr>
                <w:rFonts w:hint="eastAsia"/>
                <w:bCs/>
                <w:color w:val="auto"/>
                <w:kern w:val="0"/>
              </w:rPr>
              <w:t>-N</w:t>
            </w:r>
          </w:p>
        </w:tc>
        <w:tc>
          <w:tcPr>
            <w:tcW w:w="1701" w:type="dxa"/>
            <w:noWrap w:val="0"/>
            <w:vAlign w:val="center"/>
          </w:tcPr>
          <w:p w14:paraId="539710F2">
            <w:pPr>
              <w:ind w:firstLine="0" w:firstLineChars="0"/>
              <w:jc w:val="center"/>
              <w:rPr>
                <w:rFonts w:ascii="Times New Roman" w:hAnsi="Times New Roman" w:eastAsia="宋体"/>
                <w:color w:val="auto"/>
                <w:lang w:val="en-US" w:eastAsia="zh-CN"/>
              </w:rPr>
            </w:pPr>
          </w:p>
        </w:tc>
        <w:tc>
          <w:tcPr>
            <w:tcW w:w="1159" w:type="dxa"/>
            <w:noWrap w:val="0"/>
            <w:vAlign w:val="center"/>
          </w:tcPr>
          <w:p w14:paraId="077FB63F">
            <w:pPr>
              <w:ind w:firstLine="0" w:firstLineChars="0"/>
              <w:jc w:val="center"/>
              <w:rPr>
                <w:rFonts w:ascii="Times New Roman" w:hAnsi="Times New Roman" w:eastAsia="宋体"/>
                <w:color w:val="auto"/>
              </w:rPr>
            </w:pPr>
          </w:p>
        </w:tc>
        <w:tc>
          <w:tcPr>
            <w:tcW w:w="1725" w:type="dxa"/>
            <w:noWrap w:val="0"/>
            <w:vAlign w:val="center"/>
          </w:tcPr>
          <w:p w14:paraId="005A508D">
            <w:pPr>
              <w:ind w:firstLine="0" w:firstLineChars="0"/>
              <w:jc w:val="center"/>
              <w:rPr>
                <w:rFonts w:hint="eastAsia" w:ascii="Times New Roman" w:hAnsi="Times New Roman" w:eastAsia="宋体" w:cs="Times New Roman"/>
                <w:color w:val="auto"/>
                <w:lang w:val="en-US" w:eastAsia="zh-CN"/>
              </w:rPr>
            </w:pPr>
          </w:p>
        </w:tc>
        <w:tc>
          <w:tcPr>
            <w:tcW w:w="1463" w:type="dxa"/>
            <w:shd w:val="clear" w:color="auto" w:fill="auto"/>
            <w:noWrap w:val="0"/>
            <w:vAlign w:val="center"/>
          </w:tcPr>
          <w:p w14:paraId="5B867865">
            <w:pPr>
              <w:ind w:firstLine="0" w:firstLine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0.044 </w:t>
            </w:r>
          </w:p>
        </w:tc>
        <w:tc>
          <w:tcPr>
            <w:tcW w:w="1450" w:type="dxa"/>
            <w:noWrap w:val="0"/>
            <w:vAlign w:val="center"/>
          </w:tcPr>
          <w:p w14:paraId="29CB2332">
            <w:pPr>
              <w:ind w:firstLine="0" w:firstLineChars="0"/>
              <w:jc w:val="center"/>
              <w:rPr>
                <w:rFonts w:hint="eastAsia" w:ascii="Times New Roman" w:hAnsi="Times New Roman" w:eastAsia="宋体" w:cs="Times New Roman"/>
                <w:color w:val="auto"/>
                <w:lang w:val="en-US" w:eastAsia="zh-CN"/>
              </w:rPr>
            </w:pPr>
          </w:p>
        </w:tc>
        <w:tc>
          <w:tcPr>
            <w:tcW w:w="1825" w:type="dxa"/>
            <w:shd w:val="clear" w:color="auto" w:fill="auto"/>
            <w:noWrap w:val="0"/>
            <w:vAlign w:val="center"/>
          </w:tcPr>
          <w:p w14:paraId="02278892">
            <w:pPr>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lang w:val="en-US" w:eastAsia="zh-CN"/>
              </w:rPr>
              <w:t xml:space="preserve">0.044 </w:t>
            </w:r>
          </w:p>
        </w:tc>
        <w:tc>
          <w:tcPr>
            <w:tcW w:w="1460" w:type="dxa"/>
            <w:shd w:val="clear" w:color="auto" w:fill="auto"/>
            <w:noWrap w:val="0"/>
            <w:vAlign w:val="center"/>
          </w:tcPr>
          <w:p w14:paraId="27AFA22D">
            <w:pPr>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lang w:val="en-US" w:eastAsia="zh-CN"/>
              </w:rPr>
              <w:t xml:space="preserve">+0.044 </w:t>
            </w:r>
          </w:p>
        </w:tc>
      </w:tr>
      <w:tr w14:paraId="74445D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005" w:type="dxa"/>
            <w:gridSpan w:val="2"/>
            <w:noWrap w:val="0"/>
            <w:vAlign w:val="center"/>
          </w:tcPr>
          <w:p w14:paraId="468C1598">
            <w:pPr>
              <w:ind w:firstLine="0" w:firstLineChars="0"/>
              <w:jc w:val="center"/>
              <w:rPr>
                <w:color w:val="auto"/>
              </w:rPr>
            </w:pPr>
            <w:r>
              <w:rPr>
                <w:rFonts w:hint="eastAsia"/>
                <w:color w:val="auto"/>
              </w:rPr>
              <w:t>一般工业固体废物</w:t>
            </w:r>
          </w:p>
        </w:tc>
        <w:tc>
          <w:tcPr>
            <w:tcW w:w="1701" w:type="dxa"/>
            <w:noWrap w:val="0"/>
            <w:vAlign w:val="center"/>
          </w:tcPr>
          <w:p w14:paraId="325269AE">
            <w:pPr>
              <w:ind w:firstLine="0" w:firstLineChars="0"/>
              <w:jc w:val="center"/>
              <w:rPr>
                <w:rFonts w:ascii="Times New Roman" w:hAnsi="Times New Roman" w:eastAsia="宋体"/>
                <w:color w:val="auto"/>
                <w:lang w:val="en-US" w:eastAsia="zh-CN"/>
              </w:rPr>
            </w:pPr>
          </w:p>
        </w:tc>
        <w:tc>
          <w:tcPr>
            <w:tcW w:w="1159" w:type="dxa"/>
            <w:noWrap w:val="0"/>
            <w:vAlign w:val="center"/>
          </w:tcPr>
          <w:p w14:paraId="0951A7AB">
            <w:pPr>
              <w:ind w:firstLine="0" w:firstLineChars="0"/>
              <w:jc w:val="center"/>
              <w:rPr>
                <w:rFonts w:ascii="Times New Roman" w:hAnsi="Times New Roman" w:eastAsia="宋体"/>
                <w:color w:val="auto"/>
              </w:rPr>
            </w:pPr>
          </w:p>
        </w:tc>
        <w:tc>
          <w:tcPr>
            <w:tcW w:w="1725" w:type="dxa"/>
            <w:noWrap w:val="0"/>
            <w:vAlign w:val="center"/>
          </w:tcPr>
          <w:p w14:paraId="4E48B550">
            <w:pPr>
              <w:ind w:firstLine="0" w:firstLineChars="0"/>
              <w:jc w:val="center"/>
              <w:rPr>
                <w:rFonts w:hint="eastAsia" w:ascii="Times New Roman" w:hAnsi="Times New Roman" w:eastAsia="宋体" w:cs="Times New Roman"/>
                <w:color w:val="auto"/>
                <w:lang w:val="en-US" w:eastAsia="zh-CN"/>
              </w:rPr>
            </w:pPr>
          </w:p>
        </w:tc>
        <w:tc>
          <w:tcPr>
            <w:tcW w:w="1463" w:type="dxa"/>
            <w:noWrap w:val="0"/>
            <w:vAlign w:val="center"/>
          </w:tcPr>
          <w:p w14:paraId="09AD1231">
            <w:pPr>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114.81</w:t>
            </w:r>
          </w:p>
        </w:tc>
        <w:tc>
          <w:tcPr>
            <w:tcW w:w="1450" w:type="dxa"/>
            <w:noWrap w:val="0"/>
            <w:vAlign w:val="center"/>
          </w:tcPr>
          <w:p w14:paraId="63DA511F">
            <w:pPr>
              <w:ind w:firstLine="0" w:firstLineChars="0"/>
              <w:jc w:val="center"/>
              <w:rPr>
                <w:rFonts w:hint="eastAsia" w:ascii="Times New Roman" w:hAnsi="Times New Roman" w:eastAsia="宋体" w:cs="Times New Roman"/>
                <w:color w:val="auto"/>
                <w:lang w:val="en-US" w:eastAsia="zh-CN"/>
              </w:rPr>
            </w:pPr>
          </w:p>
        </w:tc>
        <w:tc>
          <w:tcPr>
            <w:tcW w:w="1825" w:type="dxa"/>
            <w:shd w:val="clear" w:color="auto" w:fill="auto"/>
            <w:noWrap w:val="0"/>
            <w:vAlign w:val="center"/>
          </w:tcPr>
          <w:p w14:paraId="69B00318">
            <w:pPr>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lang w:val="en-US" w:eastAsia="zh-CN"/>
              </w:rPr>
              <w:t>114.81</w:t>
            </w:r>
          </w:p>
        </w:tc>
        <w:tc>
          <w:tcPr>
            <w:tcW w:w="1460" w:type="dxa"/>
            <w:shd w:val="clear" w:color="auto" w:fill="auto"/>
            <w:noWrap w:val="0"/>
            <w:vAlign w:val="center"/>
          </w:tcPr>
          <w:p w14:paraId="7C74D485">
            <w:pPr>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lang w:val="en-US" w:eastAsia="zh-CN"/>
              </w:rPr>
              <w:t>+114.81</w:t>
            </w:r>
          </w:p>
        </w:tc>
      </w:tr>
      <w:tr w14:paraId="2690B5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005" w:type="dxa"/>
            <w:gridSpan w:val="2"/>
            <w:noWrap w:val="0"/>
            <w:vAlign w:val="center"/>
          </w:tcPr>
          <w:p w14:paraId="445049EE">
            <w:pPr>
              <w:widowControl/>
              <w:spacing w:line="240" w:lineRule="auto"/>
              <w:ind w:firstLine="0" w:firstLineChars="0"/>
              <w:jc w:val="center"/>
              <w:textAlignment w:val="center"/>
              <w:rPr>
                <w:color w:val="auto"/>
                <w:kern w:val="0"/>
                <w:lang w:bidi="ar"/>
              </w:rPr>
            </w:pPr>
            <w:r>
              <w:rPr>
                <w:rFonts w:hint="eastAsia"/>
                <w:color w:val="auto"/>
              </w:rPr>
              <w:t>危险废物</w:t>
            </w:r>
          </w:p>
        </w:tc>
        <w:tc>
          <w:tcPr>
            <w:tcW w:w="1701" w:type="dxa"/>
            <w:noWrap w:val="0"/>
            <w:vAlign w:val="center"/>
          </w:tcPr>
          <w:p w14:paraId="49F76A8E">
            <w:pPr>
              <w:ind w:firstLine="0" w:firstLineChars="0"/>
              <w:jc w:val="center"/>
              <w:rPr>
                <w:rFonts w:ascii="Times New Roman" w:hAnsi="Times New Roman" w:eastAsia="宋体"/>
                <w:color w:val="auto"/>
                <w:lang w:val="en-US" w:eastAsia="zh-CN"/>
              </w:rPr>
            </w:pPr>
          </w:p>
        </w:tc>
        <w:tc>
          <w:tcPr>
            <w:tcW w:w="1159" w:type="dxa"/>
            <w:noWrap w:val="0"/>
            <w:vAlign w:val="center"/>
          </w:tcPr>
          <w:p w14:paraId="38B9A2A0">
            <w:pPr>
              <w:ind w:firstLine="0" w:firstLineChars="0"/>
              <w:jc w:val="center"/>
              <w:rPr>
                <w:rFonts w:ascii="Times New Roman" w:hAnsi="Times New Roman" w:eastAsia="宋体"/>
                <w:color w:val="auto"/>
              </w:rPr>
            </w:pPr>
          </w:p>
        </w:tc>
        <w:tc>
          <w:tcPr>
            <w:tcW w:w="1725" w:type="dxa"/>
            <w:noWrap w:val="0"/>
            <w:vAlign w:val="center"/>
          </w:tcPr>
          <w:p w14:paraId="765AFF25">
            <w:pPr>
              <w:ind w:firstLine="0" w:firstLineChars="0"/>
              <w:jc w:val="center"/>
              <w:rPr>
                <w:rFonts w:hint="eastAsia" w:ascii="Times New Roman" w:hAnsi="Times New Roman" w:eastAsia="宋体" w:cs="Times New Roman"/>
                <w:color w:val="auto"/>
                <w:lang w:val="en-US" w:eastAsia="zh-CN"/>
              </w:rPr>
            </w:pPr>
          </w:p>
        </w:tc>
        <w:tc>
          <w:tcPr>
            <w:tcW w:w="1463" w:type="dxa"/>
            <w:noWrap w:val="0"/>
            <w:vAlign w:val="center"/>
          </w:tcPr>
          <w:p w14:paraId="76168E41">
            <w:pPr>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24.893</w:t>
            </w:r>
          </w:p>
        </w:tc>
        <w:tc>
          <w:tcPr>
            <w:tcW w:w="1450" w:type="dxa"/>
            <w:noWrap w:val="0"/>
            <w:vAlign w:val="center"/>
          </w:tcPr>
          <w:p w14:paraId="6FD0B309">
            <w:pPr>
              <w:ind w:firstLine="0" w:firstLineChars="0"/>
              <w:jc w:val="center"/>
              <w:rPr>
                <w:rFonts w:hint="eastAsia" w:ascii="Times New Roman" w:hAnsi="Times New Roman" w:eastAsia="宋体" w:cs="Times New Roman"/>
                <w:color w:val="auto"/>
                <w:lang w:val="en-US" w:eastAsia="zh-CN"/>
              </w:rPr>
            </w:pPr>
          </w:p>
        </w:tc>
        <w:tc>
          <w:tcPr>
            <w:tcW w:w="1825" w:type="dxa"/>
            <w:shd w:val="clear" w:color="auto" w:fill="auto"/>
            <w:noWrap w:val="0"/>
            <w:vAlign w:val="center"/>
          </w:tcPr>
          <w:p w14:paraId="315A02B1">
            <w:pPr>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lang w:val="en-US" w:eastAsia="zh-CN"/>
              </w:rPr>
              <w:t>24.893</w:t>
            </w:r>
          </w:p>
        </w:tc>
        <w:tc>
          <w:tcPr>
            <w:tcW w:w="1460" w:type="dxa"/>
            <w:shd w:val="clear" w:color="auto" w:fill="auto"/>
            <w:noWrap w:val="0"/>
            <w:vAlign w:val="center"/>
          </w:tcPr>
          <w:p w14:paraId="2905C09C">
            <w:pPr>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lang w:val="en-US" w:eastAsia="zh-CN"/>
              </w:rPr>
              <w:t>+24.893</w:t>
            </w:r>
          </w:p>
        </w:tc>
      </w:tr>
    </w:tbl>
    <w:p w14:paraId="7F0BD1B3">
      <w:pPr>
        <w:ind w:firstLine="0" w:firstLineChars="0"/>
        <w:rPr>
          <w:rFonts w:ascii="宋体" w:hAnsi="宋体" w:eastAsia="黑体"/>
          <w:color w:val="auto"/>
        </w:rPr>
      </w:pPr>
    </w:p>
    <w:sectPr>
      <w:footerReference r:id="rId8" w:type="default"/>
      <w:pgSz w:w="16838" w:h="11905" w:orient="landscape"/>
      <w:pgMar w:top="1531" w:right="1701" w:bottom="1531" w:left="1701" w:header="851" w:footer="850" w:gutter="0"/>
      <w:pgNumType w:fmt="decimal"/>
      <w:cols w:space="720" w:num="1"/>
      <w:docGrid w:type="linesAndChars"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 w:name="TimesNewRomanPS-BoldMT">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6A1CB">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16810">
    <w:pPr>
      <w:pStyle w:val="16"/>
      <w:framePr w:wrap="around" w:vAnchor="text" w:hAnchor="margin" w:xAlign="center" w:y="1"/>
      <w:ind w:firstLine="360"/>
      <w:rPr>
        <w:rStyle w:val="27"/>
      </w:rPr>
    </w:pPr>
    <w:r>
      <w:fldChar w:fldCharType="begin"/>
    </w:r>
    <w:r>
      <w:rPr>
        <w:rStyle w:val="27"/>
      </w:rPr>
      <w:instrText xml:space="preserve">PAGE  </w:instrText>
    </w:r>
    <w:r>
      <w:fldChar w:fldCharType="end"/>
    </w:r>
  </w:p>
  <w:p w14:paraId="23E866C3">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46629">
    <w:pPr>
      <w:pStyle w:val="16"/>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CDFBBC8">
                          <w:pPr>
                            <w:pStyle w:val="16"/>
                          </w:pPr>
                          <w:r>
                            <w:t xml:space="preserve">第 </w:t>
                          </w:r>
                          <w:r>
                            <w:fldChar w:fldCharType="begin"/>
                          </w:r>
                          <w:r>
                            <w:instrText xml:space="preserve"> PAGE  \* MERGEFORMAT </w:instrText>
                          </w:r>
                          <w:r>
                            <w:fldChar w:fldCharType="separate"/>
                          </w:r>
                          <w:r>
                            <w:t>4</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Md25eDdAQAAvwMAAA4AAAAAAAAA&#10;AQAgAAAAHgEAAGRycy9lMm9Eb2MueG1sUEsFBgAAAAAGAAYAWQEAAG0FAAAAAA==&#10;">
              <v:fill on="f" focussize="0,0"/>
              <v:stroke on="f"/>
              <v:imagedata o:title=""/>
              <o:lock v:ext="edit" aspectratio="f"/>
              <v:textbox inset="0mm,0mm,0mm,0mm" style="mso-fit-shape-to-text:t;">
                <w:txbxContent>
                  <w:p w14:paraId="1CDFBBC8">
                    <w:pPr>
                      <w:pStyle w:val="16"/>
                    </w:pPr>
                    <w:r>
                      <w:t xml:space="preserve">第 </w:t>
                    </w:r>
                    <w:r>
                      <w:fldChar w:fldCharType="begin"/>
                    </w:r>
                    <w:r>
                      <w:instrText xml:space="preserve"> PAGE  \* MERGEFORMAT </w:instrText>
                    </w:r>
                    <w:r>
                      <w:fldChar w:fldCharType="separate"/>
                    </w:r>
                    <w:r>
                      <w:t>4</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BEFE9">
    <w:pPr>
      <w:pStyle w:val="16"/>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BC8831">
                          <w:pPr>
                            <w:pStyle w:val="16"/>
                          </w:pPr>
                          <w:r>
                            <w:t xml:space="preserve">第 </w:t>
                          </w:r>
                          <w:r>
                            <w:fldChar w:fldCharType="begin"/>
                          </w:r>
                          <w:r>
                            <w:instrText xml:space="preserve"> PAGE  \* MERGEFORMAT </w:instrText>
                          </w:r>
                          <w:r>
                            <w:fldChar w:fldCharType="separate"/>
                          </w:r>
                          <w:r>
                            <w:t>80</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JBEkY3gEAAL8DAAAOAAAAAAAA&#10;AAEAIAAAAB4BAABkcnMvZTJvRG9jLnhtbFBLBQYAAAAABgAGAFkBAABuBQAAAAA=&#10;">
              <v:fill on="f" focussize="0,0"/>
              <v:stroke on="f"/>
              <v:imagedata o:title=""/>
              <o:lock v:ext="edit" aspectratio="f"/>
              <v:textbox inset="0mm,0mm,0mm,0mm" style="mso-fit-shape-to-text:t;">
                <w:txbxContent>
                  <w:p w14:paraId="0DBC8831">
                    <w:pPr>
                      <w:pStyle w:val="16"/>
                    </w:pPr>
                    <w:r>
                      <w:t xml:space="preserve">第 </w:t>
                    </w:r>
                    <w:r>
                      <w:fldChar w:fldCharType="begin"/>
                    </w:r>
                    <w:r>
                      <w:instrText xml:space="preserve"> PAGE  \* MERGEFORMAT </w:instrText>
                    </w:r>
                    <w:r>
                      <w:fldChar w:fldCharType="separate"/>
                    </w:r>
                    <w:r>
                      <w:t>80</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301E43"/>
    <w:multiLevelType w:val="singleLevel"/>
    <w:tmpl w:val="99301E43"/>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1">
    <w:nsid w:val="0BD11DA2"/>
    <w:multiLevelType w:val="singleLevel"/>
    <w:tmpl w:val="0BD11DA2"/>
    <w:lvl w:ilvl="0" w:tentative="0">
      <w:start w:val="1"/>
      <w:numFmt w:val="decimal"/>
      <w:suff w:val="nothing"/>
      <w:lvlText w:val="（%1）"/>
      <w:lvlJc w:val="left"/>
    </w:lvl>
  </w:abstractNum>
  <w:abstractNum w:abstractNumId="2">
    <w:nsid w:val="19C652F7"/>
    <w:multiLevelType w:val="multilevel"/>
    <w:tmpl w:val="19C652F7"/>
    <w:lvl w:ilvl="0" w:tentative="0">
      <w:start w:val="1"/>
      <w:numFmt w:val="none"/>
      <w:suff w:val="space"/>
      <w:lvlText w:val="1.2.1"/>
      <w:lvlJc w:val="center"/>
      <w:pPr>
        <w:tabs>
          <w:tab w:val="left" w:pos="0"/>
        </w:tabs>
        <w:ind w:left="0" w:firstLine="0"/>
      </w:pPr>
      <w:rPr>
        <w:rFonts w:hint="default" w:ascii="宋体" w:hAnsi="宋体" w:eastAsia="宋体" w:cs="宋体"/>
        <w:sz w:val="24"/>
      </w:rPr>
    </w:lvl>
    <w:lvl w:ilvl="1" w:tentative="0">
      <w:start w:val="1"/>
      <w:numFmt w:val="decimal"/>
      <w:suff w:val="nothing"/>
      <w:lvlText w:val="%1.%2"/>
      <w:lvlJc w:val="left"/>
      <w:pPr>
        <w:tabs>
          <w:tab w:val="left" w:pos="420"/>
        </w:tabs>
        <w:ind w:left="0" w:firstLine="0"/>
      </w:pPr>
      <w:rPr>
        <w:rFonts w:hint="default" w:ascii="宋体" w:hAnsi="宋体" w:eastAsia="宋体" w:cs="宋体"/>
      </w:rPr>
    </w:lvl>
    <w:lvl w:ilvl="2" w:tentative="0">
      <w:start w:val="1"/>
      <w:numFmt w:val="decimal"/>
      <w:lvlText w:val="%1.%2.%3"/>
      <w:lvlJc w:val="left"/>
      <w:pPr>
        <w:tabs>
          <w:tab w:val="left" w:pos="420"/>
        </w:tabs>
        <w:ind w:left="0" w:firstLine="0"/>
      </w:pPr>
      <w:rPr>
        <w:rFonts w:hint="default" w:ascii="宋体" w:hAnsi="宋体" w:eastAsia="宋体" w:cs="宋体"/>
        <w:sz w:val="24"/>
        <w:szCs w:val="24"/>
      </w:rPr>
    </w:lvl>
    <w:lvl w:ilvl="3" w:tentative="0">
      <w:start w:val="1"/>
      <w:numFmt w:val="decimal"/>
      <w:pStyle w:val="5"/>
      <w:suff w:val="nothing"/>
      <w:lvlText w:val="%1.%2.%3.%4"/>
      <w:lvlJc w:val="left"/>
      <w:pPr>
        <w:tabs>
          <w:tab w:val="left" w:pos="420"/>
        </w:tabs>
        <w:ind w:left="0" w:firstLine="0"/>
      </w:pPr>
      <w:rPr>
        <w:rFonts w:hint="default" w:ascii="宋体" w:hAnsi="宋体" w:eastAsia="宋体" w:cs="宋体"/>
        <w:sz w:val="24"/>
        <w:szCs w:val="24"/>
      </w:rPr>
    </w:lvl>
    <w:lvl w:ilvl="4" w:tentative="0">
      <w:start w:val="1"/>
      <w:numFmt w:val="decimal"/>
      <w:lvlText w:val="%5."/>
      <w:lvlJc w:val="left"/>
      <w:pPr>
        <w:tabs>
          <w:tab w:val="left" w:pos="420"/>
        </w:tabs>
        <w:ind w:left="992" w:hanging="992"/>
      </w:pPr>
      <w:rPr>
        <w:rFonts w:hint="default" w:ascii="宋体" w:hAnsi="宋体" w:eastAsia="宋体" w:cs="宋体"/>
      </w:rPr>
    </w:lvl>
    <w:lvl w:ilvl="5" w:tentative="0">
      <w:start w:val="1"/>
      <w:numFmt w:val="decimal"/>
      <w:suff w:val="nothing"/>
      <w:lvlText w:val="（%6）"/>
      <w:lvlJc w:val="left"/>
      <w:pPr>
        <w:tabs>
          <w:tab w:val="left" w:pos="420"/>
        </w:tabs>
        <w:ind w:left="0" w:firstLine="0"/>
      </w:pPr>
      <w:rPr>
        <w:rFonts w:hint="default" w:ascii="宋体" w:hAnsi="宋体" w:eastAsia="宋体" w:cs="宋体"/>
      </w:rPr>
    </w:lvl>
    <w:lvl w:ilvl="6" w:tentative="0">
      <w:start w:val="1"/>
      <w:numFmt w:val="upperLetter"/>
      <w:lvlText w:val="%7."/>
      <w:lvlJc w:val="left"/>
      <w:pPr>
        <w:tabs>
          <w:tab w:val="left" w:pos="420"/>
        </w:tabs>
        <w:ind w:left="0" w:firstLine="0"/>
      </w:pPr>
      <w:rPr>
        <w:rFonts w:hint="default" w:ascii="宋体" w:hAnsi="宋体" w:eastAsia="宋体" w:cs="宋体"/>
      </w:rPr>
    </w:lvl>
    <w:lvl w:ilvl="7" w:tentative="0">
      <w:start w:val="1"/>
      <w:numFmt w:val="decimal"/>
      <w:lvlRestart w:val="3"/>
      <w:suff w:val="space"/>
      <w:lvlText w:val="表%1.%2.%3-%8"/>
      <w:lvlJc w:val="left"/>
      <w:pPr>
        <w:tabs>
          <w:tab w:val="left" w:pos="420"/>
        </w:tabs>
        <w:ind w:left="0" w:firstLine="180"/>
      </w:pPr>
      <w:rPr>
        <w:rFonts w:hint="default" w:ascii="宋体" w:hAnsi="宋体" w:eastAsia="宋体" w:cs="宋体"/>
      </w:rPr>
    </w:lvl>
    <w:lvl w:ilvl="8" w:tentative="0">
      <w:start w:val="1"/>
      <w:numFmt w:val="decimal"/>
      <w:lvlRestart w:val="0"/>
      <w:suff w:val="space"/>
      <w:lvlText w:val="图%9"/>
      <w:lvlJc w:val="left"/>
      <w:pPr>
        <w:tabs>
          <w:tab w:val="left" w:pos="0"/>
        </w:tabs>
        <w:ind w:left="0" w:firstLine="0"/>
      </w:pPr>
      <w:rPr>
        <w:rFonts w:hint="default" w:ascii="宋体" w:hAnsi="宋体" w:eastAsia="宋体" w:cs="宋体"/>
      </w:rPr>
    </w:lvl>
  </w:abstractNum>
  <w:abstractNum w:abstractNumId="3">
    <w:nsid w:val="3ED785DE"/>
    <w:multiLevelType w:val="singleLevel"/>
    <w:tmpl w:val="3ED785DE"/>
    <w:lvl w:ilvl="0" w:tentative="0">
      <w:start w:val="1"/>
      <w:numFmt w:val="decimal"/>
      <w:suff w:val="nothing"/>
      <w:lvlText w:val="%1、"/>
      <w:lvlJc w:val="left"/>
    </w:lvl>
  </w:abstractNum>
  <w:abstractNum w:abstractNumId="4">
    <w:nsid w:val="46741172"/>
    <w:multiLevelType w:val="multilevel"/>
    <w:tmpl w:val="46741172"/>
    <w:lvl w:ilvl="0" w:tentative="0">
      <w:start w:val="1"/>
      <w:numFmt w:val="decimal"/>
      <w:lvlText w:val="表%1"/>
      <w:lvlJc w:val="left"/>
      <w:pPr>
        <w:ind w:left="420" w:hanging="420"/>
      </w:pPr>
      <w:rPr>
        <w:rFonts w:hint="default"/>
        <w:b/>
        <w:bCs/>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7587653"/>
    <w:multiLevelType w:val="singleLevel"/>
    <w:tmpl w:val="57587653"/>
    <w:lvl w:ilvl="0" w:tentative="0">
      <w:start w:val="1"/>
      <w:numFmt w:val="decimal"/>
      <w:suff w:val="nothing"/>
      <w:lvlText w:val="%1、"/>
      <w:lvlJc w:val="left"/>
    </w:lvl>
  </w:abstractNum>
  <w:abstractNum w:abstractNumId="6">
    <w:nsid w:val="78D7A132"/>
    <w:multiLevelType w:val="singleLevel"/>
    <w:tmpl w:val="78D7A132"/>
    <w:lvl w:ilvl="0" w:tentative="0">
      <w:start w:val="1"/>
      <w:numFmt w:val="decimal"/>
      <w:suff w:val="nothing"/>
      <w:lvlText w:val="%1、"/>
      <w:lvlJc w:val="left"/>
    </w:lvl>
  </w:abstractNum>
  <w:abstractNum w:abstractNumId="7">
    <w:nsid w:val="7CDDE5FF"/>
    <w:multiLevelType w:val="singleLevel"/>
    <w:tmpl w:val="7CDDE5FF"/>
    <w:lvl w:ilvl="0" w:tentative="0">
      <w:start w:val="1"/>
      <w:numFmt w:val="decimal"/>
      <w:suff w:val="nothing"/>
      <w:lvlText w:val="%1、"/>
      <w:lvlJc w:val="left"/>
    </w:lvl>
  </w:abstractNum>
  <w:num w:numId="1">
    <w:abstractNumId w:val="2"/>
  </w:num>
  <w:num w:numId="2">
    <w:abstractNumId w:val="0"/>
  </w:num>
  <w:num w:numId="3">
    <w:abstractNumId w:val="7"/>
  </w:num>
  <w:num w:numId="4">
    <w:abstractNumId w:val="1"/>
  </w:num>
  <w:num w:numId="5">
    <w:abstractNumId w:val="5"/>
  </w:num>
  <w:num w:numId="6">
    <w:abstractNumId w:val="6"/>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HorizontalSpacing w:val="240"/>
  <w:drawingGridVerticalSpacing w:val="164"/>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4MTIwZmY0ODA2NzRmMzYzOTg5MjI4NTEyYTgzNzgifQ=="/>
  </w:docVars>
  <w:rsids>
    <w:rsidRoot w:val="00A14947"/>
    <w:rsid w:val="000060B3"/>
    <w:rsid w:val="0002561E"/>
    <w:rsid w:val="00034D66"/>
    <w:rsid w:val="0004364B"/>
    <w:rsid w:val="00061B1F"/>
    <w:rsid w:val="000733C4"/>
    <w:rsid w:val="00074783"/>
    <w:rsid w:val="0008070B"/>
    <w:rsid w:val="000810AC"/>
    <w:rsid w:val="00081A02"/>
    <w:rsid w:val="00082231"/>
    <w:rsid w:val="00092D38"/>
    <w:rsid w:val="0009377B"/>
    <w:rsid w:val="000A20C9"/>
    <w:rsid w:val="000B058F"/>
    <w:rsid w:val="000B0757"/>
    <w:rsid w:val="000B4467"/>
    <w:rsid w:val="000B4DB9"/>
    <w:rsid w:val="000C09AC"/>
    <w:rsid w:val="000C767F"/>
    <w:rsid w:val="000D5A44"/>
    <w:rsid w:val="000E3ED2"/>
    <w:rsid w:val="00101730"/>
    <w:rsid w:val="00131F42"/>
    <w:rsid w:val="001357F1"/>
    <w:rsid w:val="00140FA8"/>
    <w:rsid w:val="00142FEB"/>
    <w:rsid w:val="00143437"/>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E3795"/>
    <w:rsid w:val="001F0F17"/>
    <w:rsid w:val="001F3347"/>
    <w:rsid w:val="001F69E4"/>
    <w:rsid w:val="002125B4"/>
    <w:rsid w:val="002155B8"/>
    <w:rsid w:val="00224839"/>
    <w:rsid w:val="002249B2"/>
    <w:rsid w:val="00226574"/>
    <w:rsid w:val="002278EC"/>
    <w:rsid w:val="0023280E"/>
    <w:rsid w:val="002377D1"/>
    <w:rsid w:val="002506BC"/>
    <w:rsid w:val="00252AFD"/>
    <w:rsid w:val="00254345"/>
    <w:rsid w:val="00264557"/>
    <w:rsid w:val="002805AB"/>
    <w:rsid w:val="00284204"/>
    <w:rsid w:val="00291773"/>
    <w:rsid w:val="00291C05"/>
    <w:rsid w:val="0029689A"/>
    <w:rsid w:val="002A168C"/>
    <w:rsid w:val="002A3DC7"/>
    <w:rsid w:val="002B49E2"/>
    <w:rsid w:val="002B7B00"/>
    <w:rsid w:val="002B7C44"/>
    <w:rsid w:val="002C2B17"/>
    <w:rsid w:val="002D3DD0"/>
    <w:rsid w:val="002E1F3A"/>
    <w:rsid w:val="002E298A"/>
    <w:rsid w:val="00301978"/>
    <w:rsid w:val="0030332C"/>
    <w:rsid w:val="003051C2"/>
    <w:rsid w:val="00312296"/>
    <w:rsid w:val="003127C5"/>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43DB"/>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22DD"/>
    <w:rsid w:val="00433CE7"/>
    <w:rsid w:val="00451A1D"/>
    <w:rsid w:val="00452738"/>
    <w:rsid w:val="00456091"/>
    <w:rsid w:val="00466321"/>
    <w:rsid w:val="00475D18"/>
    <w:rsid w:val="00484B9B"/>
    <w:rsid w:val="004855F6"/>
    <w:rsid w:val="0048661E"/>
    <w:rsid w:val="00494670"/>
    <w:rsid w:val="004A3823"/>
    <w:rsid w:val="004E6946"/>
    <w:rsid w:val="004F1AD8"/>
    <w:rsid w:val="005015CC"/>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22BD"/>
    <w:rsid w:val="00594D77"/>
    <w:rsid w:val="005969E4"/>
    <w:rsid w:val="005A051A"/>
    <w:rsid w:val="005A06B7"/>
    <w:rsid w:val="005A1589"/>
    <w:rsid w:val="005A1759"/>
    <w:rsid w:val="005A68A7"/>
    <w:rsid w:val="005D36AB"/>
    <w:rsid w:val="00600900"/>
    <w:rsid w:val="00617CC3"/>
    <w:rsid w:val="006269CB"/>
    <w:rsid w:val="006377A6"/>
    <w:rsid w:val="00637A3D"/>
    <w:rsid w:val="006411EF"/>
    <w:rsid w:val="00663254"/>
    <w:rsid w:val="006748B8"/>
    <w:rsid w:val="006775C3"/>
    <w:rsid w:val="0069290A"/>
    <w:rsid w:val="0069775A"/>
    <w:rsid w:val="00697813"/>
    <w:rsid w:val="006A3EE8"/>
    <w:rsid w:val="006A72BF"/>
    <w:rsid w:val="006B03F2"/>
    <w:rsid w:val="006B37DC"/>
    <w:rsid w:val="006B4F68"/>
    <w:rsid w:val="006C0592"/>
    <w:rsid w:val="006C202B"/>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7689E"/>
    <w:rsid w:val="00880364"/>
    <w:rsid w:val="00891592"/>
    <w:rsid w:val="00891E9E"/>
    <w:rsid w:val="00896600"/>
    <w:rsid w:val="008A2F68"/>
    <w:rsid w:val="008B4FA6"/>
    <w:rsid w:val="008B5282"/>
    <w:rsid w:val="008B7C17"/>
    <w:rsid w:val="008C2D01"/>
    <w:rsid w:val="008C40E6"/>
    <w:rsid w:val="008D0F7A"/>
    <w:rsid w:val="008D68E4"/>
    <w:rsid w:val="008E0506"/>
    <w:rsid w:val="008E0CFF"/>
    <w:rsid w:val="008E2A49"/>
    <w:rsid w:val="008E5D6B"/>
    <w:rsid w:val="008E5FF8"/>
    <w:rsid w:val="008E76F0"/>
    <w:rsid w:val="008F1445"/>
    <w:rsid w:val="008F15FE"/>
    <w:rsid w:val="008F2D29"/>
    <w:rsid w:val="008F5187"/>
    <w:rsid w:val="008F60D8"/>
    <w:rsid w:val="00902727"/>
    <w:rsid w:val="0090312B"/>
    <w:rsid w:val="0091736D"/>
    <w:rsid w:val="0093037A"/>
    <w:rsid w:val="0094154D"/>
    <w:rsid w:val="0095155F"/>
    <w:rsid w:val="00954429"/>
    <w:rsid w:val="009563CE"/>
    <w:rsid w:val="0096215B"/>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64380"/>
    <w:rsid w:val="00A75AAF"/>
    <w:rsid w:val="00A8713F"/>
    <w:rsid w:val="00A90BA1"/>
    <w:rsid w:val="00A97A9A"/>
    <w:rsid w:val="00AA0671"/>
    <w:rsid w:val="00AA2531"/>
    <w:rsid w:val="00AB1E09"/>
    <w:rsid w:val="00AB5330"/>
    <w:rsid w:val="00AB7747"/>
    <w:rsid w:val="00AC14CE"/>
    <w:rsid w:val="00AC2A56"/>
    <w:rsid w:val="00AD055E"/>
    <w:rsid w:val="00AD47A7"/>
    <w:rsid w:val="00AE2012"/>
    <w:rsid w:val="00AE3480"/>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06D87"/>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153A"/>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34BC"/>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86FED"/>
    <w:rsid w:val="00F9212D"/>
    <w:rsid w:val="00F94BF5"/>
    <w:rsid w:val="00F965DA"/>
    <w:rsid w:val="00FA406A"/>
    <w:rsid w:val="00FB503A"/>
    <w:rsid w:val="00FB516C"/>
    <w:rsid w:val="00FD0236"/>
    <w:rsid w:val="00FD18F4"/>
    <w:rsid w:val="00FD54DB"/>
    <w:rsid w:val="00FD619F"/>
    <w:rsid w:val="01290F7E"/>
    <w:rsid w:val="012C3CDD"/>
    <w:rsid w:val="013D1236"/>
    <w:rsid w:val="015D1E09"/>
    <w:rsid w:val="01885EF5"/>
    <w:rsid w:val="019C4F21"/>
    <w:rsid w:val="02165D98"/>
    <w:rsid w:val="02370286"/>
    <w:rsid w:val="02577B3C"/>
    <w:rsid w:val="02697903"/>
    <w:rsid w:val="02F96569"/>
    <w:rsid w:val="03017D6F"/>
    <w:rsid w:val="031E710B"/>
    <w:rsid w:val="03476267"/>
    <w:rsid w:val="03EA7B21"/>
    <w:rsid w:val="048316A1"/>
    <w:rsid w:val="04BB1570"/>
    <w:rsid w:val="053C512E"/>
    <w:rsid w:val="054B337E"/>
    <w:rsid w:val="05F83EAE"/>
    <w:rsid w:val="063E7D85"/>
    <w:rsid w:val="07293586"/>
    <w:rsid w:val="07295285"/>
    <w:rsid w:val="07481B8C"/>
    <w:rsid w:val="07636392"/>
    <w:rsid w:val="07770C56"/>
    <w:rsid w:val="079B6A73"/>
    <w:rsid w:val="092217DD"/>
    <w:rsid w:val="093A7294"/>
    <w:rsid w:val="09824B74"/>
    <w:rsid w:val="0A263993"/>
    <w:rsid w:val="0A2D3AC2"/>
    <w:rsid w:val="0AA755DF"/>
    <w:rsid w:val="0B120D44"/>
    <w:rsid w:val="0BD27BF6"/>
    <w:rsid w:val="0C3B3C7D"/>
    <w:rsid w:val="0CAB2EAE"/>
    <w:rsid w:val="0D621C7D"/>
    <w:rsid w:val="0DE31D38"/>
    <w:rsid w:val="0E73034D"/>
    <w:rsid w:val="0F13775A"/>
    <w:rsid w:val="0F2227A9"/>
    <w:rsid w:val="0F5F45FE"/>
    <w:rsid w:val="0F9A112B"/>
    <w:rsid w:val="0FB31066"/>
    <w:rsid w:val="0FCC4F73"/>
    <w:rsid w:val="105E064F"/>
    <w:rsid w:val="106D2F64"/>
    <w:rsid w:val="1084509F"/>
    <w:rsid w:val="10B63710"/>
    <w:rsid w:val="10DB0B52"/>
    <w:rsid w:val="10E044C8"/>
    <w:rsid w:val="10F10820"/>
    <w:rsid w:val="111C2F7A"/>
    <w:rsid w:val="1165628D"/>
    <w:rsid w:val="11665CA1"/>
    <w:rsid w:val="13951726"/>
    <w:rsid w:val="13F51A75"/>
    <w:rsid w:val="14396509"/>
    <w:rsid w:val="14DD2C3C"/>
    <w:rsid w:val="16087E1D"/>
    <w:rsid w:val="16114E28"/>
    <w:rsid w:val="165D5225"/>
    <w:rsid w:val="17701D14"/>
    <w:rsid w:val="177272CA"/>
    <w:rsid w:val="17735226"/>
    <w:rsid w:val="185B2414"/>
    <w:rsid w:val="18862895"/>
    <w:rsid w:val="189F624C"/>
    <w:rsid w:val="18AE38F5"/>
    <w:rsid w:val="19A10FBE"/>
    <w:rsid w:val="1A1C66C0"/>
    <w:rsid w:val="1A42393B"/>
    <w:rsid w:val="1A491A28"/>
    <w:rsid w:val="1AAD45DE"/>
    <w:rsid w:val="1ABA5CCF"/>
    <w:rsid w:val="1B046F80"/>
    <w:rsid w:val="1B3267B5"/>
    <w:rsid w:val="1B40161D"/>
    <w:rsid w:val="1B441859"/>
    <w:rsid w:val="1B6606B1"/>
    <w:rsid w:val="1BAB429E"/>
    <w:rsid w:val="1C5E7925"/>
    <w:rsid w:val="1CFD070F"/>
    <w:rsid w:val="1D5F6196"/>
    <w:rsid w:val="1D6132A5"/>
    <w:rsid w:val="1D8E56D5"/>
    <w:rsid w:val="1E204CFB"/>
    <w:rsid w:val="1E7A43DA"/>
    <w:rsid w:val="1F032E25"/>
    <w:rsid w:val="1FE7539E"/>
    <w:rsid w:val="20671BE0"/>
    <w:rsid w:val="20963CB8"/>
    <w:rsid w:val="209B53C4"/>
    <w:rsid w:val="20A81A1B"/>
    <w:rsid w:val="20AC1FAB"/>
    <w:rsid w:val="20B07FB6"/>
    <w:rsid w:val="20B646FB"/>
    <w:rsid w:val="213B74B1"/>
    <w:rsid w:val="215A2310"/>
    <w:rsid w:val="21B46CFE"/>
    <w:rsid w:val="21DE318A"/>
    <w:rsid w:val="21EF5B80"/>
    <w:rsid w:val="21FA21DE"/>
    <w:rsid w:val="22576990"/>
    <w:rsid w:val="22F47480"/>
    <w:rsid w:val="239E0697"/>
    <w:rsid w:val="23DE1C48"/>
    <w:rsid w:val="240210CD"/>
    <w:rsid w:val="24BF09F7"/>
    <w:rsid w:val="252D53FE"/>
    <w:rsid w:val="25D30526"/>
    <w:rsid w:val="25EC2D81"/>
    <w:rsid w:val="263B1C8C"/>
    <w:rsid w:val="26642C8E"/>
    <w:rsid w:val="26656708"/>
    <w:rsid w:val="277057A2"/>
    <w:rsid w:val="28E75D12"/>
    <w:rsid w:val="29206EB8"/>
    <w:rsid w:val="29595666"/>
    <w:rsid w:val="29874881"/>
    <w:rsid w:val="29E325E0"/>
    <w:rsid w:val="2A452503"/>
    <w:rsid w:val="2B147ABB"/>
    <w:rsid w:val="2B3C4165"/>
    <w:rsid w:val="2BA936A8"/>
    <w:rsid w:val="2C102672"/>
    <w:rsid w:val="2C315A5A"/>
    <w:rsid w:val="2C4B1C25"/>
    <w:rsid w:val="2C997D62"/>
    <w:rsid w:val="2CF103E4"/>
    <w:rsid w:val="2D9E56F5"/>
    <w:rsid w:val="2E667F96"/>
    <w:rsid w:val="2E8226AB"/>
    <w:rsid w:val="2E85772D"/>
    <w:rsid w:val="2ECC1344"/>
    <w:rsid w:val="2FBD5EFC"/>
    <w:rsid w:val="2FD065E6"/>
    <w:rsid w:val="2FD96870"/>
    <w:rsid w:val="30580BC9"/>
    <w:rsid w:val="30687502"/>
    <w:rsid w:val="3082074E"/>
    <w:rsid w:val="30A336F1"/>
    <w:rsid w:val="30C776F3"/>
    <w:rsid w:val="311E2ED7"/>
    <w:rsid w:val="315619EE"/>
    <w:rsid w:val="315C449C"/>
    <w:rsid w:val="31B82709"/>
    <w:rsid w:val="31D05482"/>
    <w:rsid w:val="32400B34"/>
    <w:rsid w:val="329E6876"/>
    <w:rsid w:val="333015F2"/>
    <w:rsid w:val="334B6320"/>
    <w:rsid w:val="33A2675E"/>
    <w:rsid w:val="33D934D4"/>
    <w:rsid w:val="33FE2F6A"/>
    <w:rsid w:val="340E07E5"/>
    <w:rsid w:val="34235BF7"/>
    <w:rsid w:val="348558FB"/>
    <w:rsid w:val="34871673"/>
    <w:rsid w:val="35157367"/>
    <w:rsid w:val="358C5FA8"/>
    <w:rsid w:val="35B952C0"/>
    <w:rsid w:val="35C15DF1"/>
    <w:rsid w:val="36074A7F"/>
    <w:rsid w:val="36923549"/>
    <w:rsid w:val="36B75FBF"/>
    <w:rsid w:val="36BD0C45"/>
    <w:rsid w:val="37E00298"/>
    <w:rsid w:val="38AD4E41"/>
    <w:rsid w:val="38B302F9"/>
    <w:rsid w:val="38F12CD3"/>
    <w:rsid w:val="38F94775"/>
    <w:rsid w:val="392971ED"/>
    <w:rsid w:val="39325651"/>
    <w:rsid w:val="3965467C"/>
    <w:rsid w:val="3A872856"/>
    <w:rsid w:val="3B3763D1"/>
    <w:rsid w:val="3B8854B1"/>
    <w:rsid w:val="3C2F6E1E"/>
    <w:rsid w:val="3C4F64BA"/>
    <w:rsid w:val="3C522540"/>
    <w:rsid w:val="3CDA245A"/>
    <w:rsid w:val="3D1543AD"/>
    <w:rsid w:val="3D1E06B7"/>
    <w:rsid w:val="3DE625CE"/>
    <w:rsid w:val="3EDA0523"/>
    <w:rsid w:val="3F006895"/>
    <w:rsid w:val="3F554CE9"/>
    <w:rsid w:val="3F5D062B"/>
    <w:rsid w:val="407A6407"/>
    <w:rsid w:val="411954F0"/>
    <w:rsid w:val="4200449D"/>
    <w:rsid w:val="423A3BCC"/>
    <w:rsid w:val="424E57D2"/>
    <w:rsid w:val="42B26C49"/>
    <w:rsid w:val="42C06AD8"/>
    <w:rsid w:val="42D02CA1"/>
    <w:rsid w:val="433A6FE6"/>
    <w:rsid w:val="43480868"/>
    <w:rsid w:val="4350713C"/>
    <w:rsid w:val="436653E0"/>
    <w:rsid w:val="43C4431A"/>
    <w:rsid w:val="43C91A4A"/>
    <w:rsid w:val="43E12232"/>
    <w:rsid w:val="43EE2F35"/>
    <w:rsid w:val="4482451A"/>
    <w:rsid w:val="44835D1A"/>
    <w:rsid w:val="44B951CC"/>
    <w:rsid w:val="44CD14E0"/>
    <w:rsid w:val="44F20B0B"/>
    <w:rsid w:val="450D7547"/>
    <w:rsid w:val="452E5F4C"/>
    <w:rsid w:val="455B7E64"/>
    <w:rsid w:val="45612018"/>
    <w:rsid w:val="458946E9"/>
    <w:rsid w:val="45A47C0E"/>
    <w:rsid w:val="45B2064E"/>
    <w:rsid w:val="46577FD6"/>
    <w:rsid w:val="466435C2"/>
    <w:rsid w:val="46D955A7"/>
    <w:rsid w:val="47133957"/>
    <w:rsid w:val="478A52AA"/>
    <w:rsid w:val="47A07E0C"/>
    <w:rsid w:val="4870272E"/>
    <w:rsid w:val="48F2447E"/>
    <w:rsid w:val="493C4491"/>
    <w:rsid w:val="49AB6FED"/>
    <w:rsid w:val="49B9387B"/>
    <w:rsid w:val="49DC7715"/>
    <w:rsid w:val="49F11610"/>
    <w:rsid w:val="4A023139"/>
    <w:rsid w:val="4A3A76D3"/>
    <w:rsid w:val="4A7B576F"/>
    <w:rsid w:val="4A936C6C"/>
    <w:rsid w:val="4AD52B4D"/>
    <w:rsid w:val="4AF561A9"/>
    <w:rsid w:val="4C4A0649"/>
    <w:rsid w:val="4C7E5ECA"/>
    <w:rsid w:val="4C876AA5"/>
    <w:rsid w:val="4C9E1E69"/>
    <w:rsid w:val="4D0E00FB"/>
    <w:rsid w:val="4D176606"/>
    <w:rsid w:val="4D3D4893"/>
    <w:rsid w:val="4DCB40E7"/>
    <w:rsid w:val="4DEC4FB0"/>
    <w:rsid w:val="4E075D8A"/>
    <w:rsid w:val="4E3A7CF7"/>
    <w:rsid w:val="4E507FDA"/>
    <w:rsid w:val="4E680130"/>
    <w:rsid w:val="4E8011B5"/>
    <w:rsid w:val="4EC00FAD"/>
    <w:rsid w:val="4F9843DC"/>
    <w:rsid w:val="4FC62A8C"/>
    <w:rsid w:val="4FE20F0D"/>
    <w:rsid w:val="4FE51552"/>
    <w:rsid w:val="50137E15"/>
    <w:rsid w:val="501E7898"/>
    <w:rsid w:val="50306C0B"/>
    <w:rsid w:val="50504C4B"/>
    <w:rsid w:val="50652DF3"/>
    <w:rsid w:val="509C6E7C"/>
    <w:rsid w:val="50EF3FED"/>
    <w:rsid w:val="510D20C4"/>
    <w:rsid w:val="5162104E"/>
    <w:rsid w:val="51DA5080"/>
    <w:rsid w:val="525D33B4"/>
    <w:rsid w:val="52A93B2E"/>
    <w:rsid w:val="53A039CC"/>
    <w:rsid w:val="53A1505A"/>
    <w:rsid w:val="54063E08"/>
    <w:rsid w:val="541B5912"/>
    <w:rsid w:val="543437E8"/>
    <w:rsid w:val="543C2458"/>
    <w:rsid w:val="54F73313"/>
    <w:rsid w:val="54F80955"/>
    <w:rsid w:val="550B3AAD"/>
    <w:rsid w:val="555170A7"/>
    <w:rsid w:val="556762CA"/>
    <w:rsid w:val="5587536D"/>
    <w:rsid w:val="559B174B"/>
    <w:rsid w:val="55CE0CF4"/>
    <w:rsid w:val="56AD4B91"/>
    <w:rsid w:val="56B22A9C"/>
    <w:rsid w:val="56DA62D5"/>
    <w:rsid w:val="5757461B"/>
    <w:rsid w:val="57B72A76"/>
    <w:rsid w:val="57C3426C"/>
    <w:rsid w:val="57CE1F93"/>
    <w:rsid w:val="57F9532F"/>
    <w:rsid w:val="58180BAD"/>
    <w:rsid w:val="583954CE"/>
    <w:rsid w:val="588743D1"/>
    <w:rsid w:val="5887701A"/>
    <w:rsid w:val="58AB2479"/>
    <w:rsid w:val="58CE2699"/>
    <w:rsid w:val="58FB443C"/>
    <w:rsid w:val="59C0439F"/>
    <w:rsid w:val="5ABE2233"/>
    <w:rsid w:val="5AE64A95"/>
    <w:rsid w:val="5BDF5D95"/>
    <w:rsid w:val="5BE52C20"/>
    <w:rsid w:val="5BFE7528"/>
    <w:rsid w:val="5D9A5292"/>
    <w:rsid w:val="5DC41298"/>
    <w:rsid w:val="5DF07121"/>
    <w:rsid w:val="5E2467F1"/>
    <w:rsid w:val="5E2733FB"/>
    <w:rsid w:val="5F1A2B43"/>
    <w:rsid w:val="5FB837BB"/>
    <w:rsid w:val="60886C8F"/>
    <w:rsid w:val="60CC405A"/>
    <w:rsid w:val="613F280A"/>
    <w:rsid w:val="618E7C43"/>
    <w:rsid w:val="61E215D8"/>
    <w:rsid w:val="621B3775"/>
    <w:rsid w:val="62364782"/>
    <w:rsid w:val="637C722D"/>
    <w:rsid w:val="6394356A"/>
    <w:rsid w:val="639A445E"/>
    <w:rsid w:val="63BE0830"/>
    <w:rsid w:val="63C61B2C"/>
    <w:rsid w:val="63D40BE9"/>
    <w:rsid w:val="64102431"/>
    <w:rsid w:val="64A5243A"/>
    <w:rsid w:val="64F531DE"/>
    <w:rsid w:val="65373578"/>
    <w:rsid w:val="671F124A"/>
    <w:rsid w:val="67492634"/>
    <w:rsid w:val="677A33C6"/>
    <w:rsid w:val="67A34F0D"/>
    <w:rsid w:val="67AE06E9"/>
    <w:rsid w:val="68040309"/>
    <w:rsid w:val="681F6961"/>
    <w:rsid w:val="68236B9E"/>
    <w:rsid w:val="68430AED"/>
    <w:rsid w:val="6858797B"/>
    <w:rsid w:val="68610A2F"/>
    <w:rsid w:val="68805514"/>
    <w:rsid w:val="68A91683"/>
    <w:rsid w:val="68C63431"/>
    <w:rsid w:val="69316E2F"/>
    <w:rsid w:val="694E2071"/>
    <w:rsid w:val="69765D62"/>
    <w:rsid w:val="69766163"/>
    <w:rsid w:val="697A3B33"/>
    <w:rsid w:val="698E71BB"/>
    <w:rsid w:val="69B81EB1"/>
    <w:rsid w:val="69D44760"/>
    <w:rsid w:val="6A520EC7"/>
    <w:rsid w:val="6AF87E20"/>
    <w:rsid w:val="6B2807B2"/>
    <w:rsid w:val="6B322639"/>
    <w:rsid w:val="6B551F9B"/>
    <w:rsid w:val="6C1C743D"/>
    <w:rsid w:val="6C636C38"/>
    <w:rsid w:val="6D5444AE"/>
    <w:rsid w:val="6DA26FD1"/>
    <w:rsid w:val="6DA7589E"/>
    <w:rsid w:val="6DB34098"/>
    <w:rsid w:val="6DB545B6"/>
    <w:rsid w:val="6DE02FB4"/>
    <w:rsid w:val="6DED5329"/>
    <w:rsid w:val="6E3D3E50"/>
    <w:rsid w:val="6E514CED"/>
    <w:rsid w:val="6E792859"/>
    <w:rsid w:val="6E925F3D"/>
    <w:rsid w:val="6EB563D5"/>
    <w:rsid w:val="6ED92677"/>
    <w:rsid w:val="6F0C7F6E"/>
    <w:rsid w:val="6F225983"/>
    <w:rsid w:val="6F2E18DF"/>
    <w:rsid w:val="6FFC5590"/>
    <w:rsid w:val="706D1DD0"/>
    <w:rsid w:val="70856B87"/>
    <w:rsid w:val="70D527EE"/>
    <w:rsid w:val="715B5300"/>
    <w:rsid w:val="717F07F5"/>
    <w:rsid w:val="71D27F8A"/>
    <w:rsid w:val="72553024"/>
    <w:rsid w:val="73122968"/>
    <w:rsid w:val="731F5D5E"/>
    <w:rsid w:val="736855C3"/>
    <w:rsid w:val="73C51AD5"/>
    <w:rsid w:val="741E793C"/>
    <w:rsid w:val="745E3944"/>
    <w:rsid w:val="75853E55"/>
    <w:rsid w:val="760D70BE"/>
    <w:rsid w:val="7624611E"/>
    <w:rsid w:val="7635099D"/>
    <w:rsid w:val="768C3252"/>
    <w:rsid w:val="76905B27"/>
    <w:rsid w:val="773A5AF5"/>
    <w:rsid w:val="77762421"/>
    <w:rsid w:val="77B56B1F"/>
    <w:rsid w:val="780F09F4"/>
    <w:rsid w:val="78A90480"/>
    <w:rsid w:val="79017EF0"/>
    <w:rsid w:val="795B43F5"/>
    <w:rsid w:val="795D4AE0"/>
    <w:rsid w:val="79D37B74"/>
    <w:rsid w:val="79EA1F10"/>
    <w:rsid w:val="7A364017"/>
    <w:rsid w:val="7A405750"/>
    <w:rsid w:val="7A6A32E4"/>
    <w:rsid w:val="7A8265E1"/>
    <w:rsid w:val="7AE8061D"/>
    <w:rsid w:val="7B686D42"/>
    <w:rsid w:val="7B737828"/>
    <w:rsid w:val="7B841746"/>
    <w:rsid w:val="7C6C5AC7"/>
    <w:rsid w:val="7C995909"/>
    <w:rsid w:val="7CC6544B"/>
    <w:rsid w:val="7D0239FF"/>
    <w:rsid w:val="7D0E733F"/>
    <w:rsid w:val="7D160A7A"/>
    <w:rsid w:val="7D5E40CD"/>
    <w:rsid w:val="7DCD56F2"/>
    <w:rsid w:val="7E1A3F8B"/>
    <w:rsid w:val="7F001CE7"/>
    <w:rsid w:val="7FAF0A78"/>
    <w:rsid w:val="7FE47E50"/>
    <w:rsid w:val="7FE61A7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qFormat="1" w:unhideWhenUsed="0" w:uiPriority="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qFormat="1"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0" w:firstLineChars="0"/>
      <w:jc w:val="both"/>
    </w:pPr>
    <w:rPr>
      <w:rFonts w:ascii="Times New Roman" w:hAnsi="Times New Roman" w:eastAsia="宋体" w:cs="Times New Roman"/>
      <w:kern w:val="2"/>
      <w:sz w:val="24"/>
      <w:szCs w:val="24"/>
      <w:lang w:val="en-US" w:eastAsia="zh-CN" w:bidi="ar-SA"/>
    </w:rPr>
  </w:style>
  <w:style w:type="paragraph" w:styleId="2">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autoRedefine/>
    <w:qFormat/>
    <w:locked/>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4">
    <w:name w:val="heading 3"/>
    <w:basedOn w:val="1"/>
    <w:next w:val="1"/>
    <w:autoRedefine/>
    <w:qFormat/>
    <w:locked/>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paragraph" w:styleId="5">
    <w:name w:val="heading 4"/>
    <w:basedOn w:val="1"/>
    <w:next w:val="1"/>
    <w:autoRedefine/>
    <w:qFormat/>
    <w:locked/>
    <w:uiPriority w:val="0"/>
    <w:pPr>
      <w:keepNext/>
      <w:keepLines/>
      <w:numPr>
        <w:ilvl w:val="3"/>
        <w:numId w:val="1"/>
      </w:numPr>
      <w:spacing w:before="280" w:beforeLines="0" w:beforeAutospacing="0" w:after="290" w:afterLines="0" w:afterAutospacing="0" w:line="372" w:lineRule="auto"/>
      <w:outlineLvl w:val="3"/>
    </w:pPr>
    <w:rPr>
      <w:rFonts w:ascii="Arial" w:hAnsi="Arial" w:eastAsia="黑体"/>
      <w:b/>
      <w:sz w:val="28"/>
    </w:rPr>
  </w:style>
  <w:style w:type="character" w:default="1" w:styleId="25">
    <w:name w:val="Default Paragraph Font"/>
    <w:autoRedefine/>
    <w:semiHidden/>
    <w:qFormat/>
    <w:uiPriority w:val="0"/>
  </w:style>
  <w:style w:type="table" w:default="1" w:styleId="23">
    <w:name w:val="Normal Table"/>
    <w:autoRedefine/>
    <w:semiHidden/>
    <w:qFormat/>
    <w:uiPriority w:val="0"/>
    <w:tblPr>
      <w:tblCellMar>
        <w:top w:w="0" w:type="dxa"/>
        <w:left w:w="108" w:type="dxa"/>
        <w:bottom w:w="0" w:type="dxa"/>
        <w:right w:w="108" w:type="dxa"/>
      </w:tblCellMar>
    </w:tblPr>
  </w:style>
  <w:style w:type="paragraph" w:styleId="6">
    <w:name w:val="annotation text"/>
    <w:basedOn w:val="1"/>
    <w:link w:val="33"/>
    <w:autoRedefine/>
    <w:semiHidden/>
    <w:qFormat/>
    <w:uiPriority w:val="0"/>
    <w:pPr>
      <w:jc w:val="left"/>
    </w:pPr>
    <w:rPr>
      <w:kern w:val="0"/>
      <w:sz w:val="24"/>
      <w:szCs w:val="20"/>
    </w:rPr>
  </w:style>
  <w:style w:type="paragraph" w:styleId="7">
    <w:name w:val="Body Text"/>
    <w:basedOn w:val="1"/>
    <w:next w:val="1"/>
    <w:link w:val="32"/>
    <w:autoRedefine/>
    <w:qFormat/>
    <w:uiPriority w:val="0"/>
    <w:pPr>
      <w:widowControl/>
      <w:snapToGrid w:val="0"/>
      <w:spacing w:before="60" w:after="160" w:line="259" w:lineRule="auto"/>
      <w:ind w:right="113"/>
    </w:pPr>
    <w:rPr>
      <w:kern w:val="0"/>
      <w:sz w:val="18"/>
      <w:szCs w:val="20"/>
    </w:rPr>
  </w:style>
  <w:style w:type="paragraph" w:styleId="8">
    <w:name w:val="Body Text Indent"/>
    <w:basedOn w:val="1"/>
    <w:next w:val="9"/>
    <w:link w:val="34"/>
    <w:autoRedefine/>
    <w:qFormat/>
    <w:uiPriority w:val="0"/>
    <w:pPr>
      <w:spacing w:after="120"/>
      <w:ind w:left="420" w:leftChars="200"/>
    </w:pPr>
    <w:rPr>
      <w:kern w:val="0"/>
      <w:sz w:val="24"/>
      <w:szCs w:val="20"/>
    </w:rPr>
  </w:style>
  <w:style w:type="paragraph" w:styleId="9">
    <w:name w:val="Body Text Indent 2"/>
    <w:basedOn w:val="1"/>
    <w:next w:val="10"/>
    <w:autoRedefine/>
    <w:qFormat/>
    <w:locked/>
    <w:uiPriority w:val="0"/>
    <w:pPr>
      <w:spacing w:after="120" w:line="480" w:lineRule="auto"/>
      <w:ind w:left="420" w:leftChars="200"/>
    </w:pPr>
    <w:rPr>
      <w:szCs w:val="24"/>
    </w:rPr>
  </w:style>
  <w:style w:type="paragraph" w:styleId="10">
    <w:name w:val="Body Text First Indent 2"/>
    <w:basedOn w:val="8"/>
    <w:next w:val="1"/>
    <w:autoRedefine/>
    <w:qFormat/>
    <w:locked/>
    <w:uiPriority w:val="0"/>
    <w:pPr>
      <w:spacing w:after="120" w:line="240" w:lineRule="auto"/>
      <w:ind w:left="420" w:leftChars="200" w:firstLine="420" w:firstLineChars="200"/>
    </w:pPr>
    <w:rPr>
      <w:sz w:val="21"/>
      <w:szCs w:val="24"/>
    </w:rPr>
  </w:style>
  <w:style w:type="paragraph" w:styleId="11">
    <w:name w:val="Plain Text"/>
    <w:basedOn w:val="1"/>
    <w:autoRedefine/>
    <w:qFormat/>
    <w:locked/>
    <w:uiPriority w:val="0"/>
    <w:rPr>
      <w:rFonts w:ascii="宋体" w:hAnsi="Courier New"/>
    </w:rPr>
  </w:style>
  <w:style w:type="paragraph" w:styleId="12">
    <w:name w:val="List Bullet 5"/>
    <w:basedOn w:val="1"/>
    <w:autoRedefine/>
    <w:qFormat/>
    <w:locked/>
    <w:uiPriority w:val="0"/>
    <w:pPr>
      <w:numPr>
        <w:ilvl w:val="0"/>
        <w:numId w:val="2"/>
      </w:numPr>
    </w:pPr>
  </w:style>
  <w:style w:type="paragraph" w:styleId="13">
    <w:name w:val="Date"/>
    <w:basedOn w:val="1"/>
    <w:next w:val="1"/>
    <w:link w:val="35"/>
    <w:autoRedefine/>
    <w:qFormat/>
    <w:uiPriority w:val="0"/>
    <w:pPr>
      <w:ind w:left="100" w:leftChars="2500"/>
    </w:pPr>
    <w:rPr>
      <w:kern w:val="0"/>
      <w:sz w:val="24"/>
      <w:szCs w:val="20"/>
    </w:rPr>
  </w:style>
  <w:style w:type="paragraph" w:styleId="14">
    <w:name w:val="endnote text"/>
    <w:basedOn w:val="1"/>
    <w:autoRedefine/>
    <w:qFormat/>
    <w:locked/>
    <w:uiPriority w:val="0"/>
    <w:pPr>
      <w:snapToGrid w:val="0"/>
      <w:jc w:val="left"/>
    </w:pPr>
  </w:style>
  <w:style w:type="paragraph" w:styleId="15">
    <w:name w:val="Balloon Text"/>
    <w:basedOn w:val="1"/>
    <w:link w:val="36"/>
    <w:autoRedefine/>
    <w:semiHidden/>
    <w:qFormat/>
    <w:uiPriority w:val="0"/>
    <w:rPr>
      <w:kern w:val="0"/>
      <w:sz w:val="18"/>
      <w:szCs w:val="20"/>
    </w:rPr>
  </w:style>
  <w:style w:type="paragraph" w:styleId="16">
    <w:name w:val="footer"/>
    <w:basedOn w:val="1"/>
    <w:link w:val="37"/>
    <w:autoRedefine/>
    <w:qFormat/>
    <w:uiPriority w:val="99"/>
    <w:pPr>
      <w:tabs>
        <w:tab w:val="center" w:pos="4153"/>
        <w:tab w:val="right" w:pos="8306"/>
      </w:tabs>
      <w:snapToGrid w:val="0"/>
      <w:jc w:val="left"/>
    </w:pPr>
    <w:rPr>
      <w:kern w:val="0"/>
      <w:sz w:val="18"/>
      <w:szCs w:val="20"/>
    </w:rPr>
  </w:style>
  <w:style w:type="paragraph" w:styleId="17">
    <w:name w:val="header"/>
    <w:basedOn w:val="1"/>
    <w:link w:val="38"/>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8">
    <w:name w:val="table of figures"/>
    <w:basedOn w:val="1"/>
    <w:next w:val="1"/>
    <w:autoRedefine/>
    <w:semiHidden/>
    <w:qFormat/>
    <w:locked/>
    <w:uiPriority w:val="0"/>
    <w:pPr>
      <w:spacing w:after="120" w:line="500" w:lineRule="exact"/>
      <w:jc w:val="center"/>
    </w:pPr>
    <w:rPr>
      <w:rFonts w:ascii="仿宋_GB2312" w:eastAsia="仿宋_GB2312"/>
      <w:sz w:val="28"/>
    </w:rPr>
  </w:style>
  <w:style w:type="paragraph" w:styleId="19">
    <w:name w:val="Body Text 2"/>
    <w:basedOn w:val="1"/>
    <w:autoRedefine/>
    <w:qFormat/>
    <w:locked/>
    <w:uiPriority w:val="0"/>
    <w:pPr>
      <w:widowControl w:val="0"/>
      <w:adjustRightInd w:val="0"/>
      <w:snapToGrid w:val="0"/>
      <w:spacing w:beforeLines="50" w:line="360" w:lineRule="auto"/>
      <w:ind w:firstLine="200" w:firstLineChars="200"/>
      <w:jc w:val="both"/>
    </w:pPr>
    <w:rPr>
      <w:rFonts w:ascii="Times New Roman" w:hAnsi="Times New Roman" w:eastAsia="宋体" w:cs="Times New Roman"/>
      <w:kern w:val="2"/>
      <w:sz w:val="36"/>
      <w:szCs w:val="24"/>
      <w:lang w:val="en-US" w:eastAsia="zh-CN" w:bidi="ar-SA"/>
    </w:rPr>
  </w:style>
  <w:style w:type="paragraph" w:styleId="20">
    <w:name w:val="Normal (Web)"/>
    <w:basedOn w:val="1"/>
    <w:link w:val="39"/>
    <w:autoRedefine/>
    <w:qFormat/>
    <w:uiPriority w:val="0"/>
    <w:pPr>
      <w:widowControl/>
      <w:spacing w:before="100" w:beforeAutospacing="1" w:after="100" w:afterAutospacing="1"/>
      <w:jc w:val="left"/>
    </w:pPr>
    <w:rPr>
      <w:rFonts w:ascii="宋体" w:hAnsi="宋体"/>
      <w:kern w:val="0"/>
      <w:sz w:val="24"/>
      <w:szCs w:val="20"/>
    </w:rPr>
  </w:style>
  <w:style w:type="paragraph" w:styleId="21">
    <w:name w:val="annotation subject"/>
    <w:basedOn w:val="6"/>
    <w:next w:val="6"/>
    <w:link w:val="40"/>
    <w:autoRedefine/>
    <w:semiHidden/>
    <w:qFormat/>
    <w:uiPriority w:val="0"/>
    <w:rPr>
      <w:b/>
      <w:sz w:val="24"/>
      <w:szCs w:val="20"/>
    </w:rPr>
  </w:style>
  <w:style w:type="paragraph" w:styleId="22">
    <w:name w:val="Body Text First Indent"/>
    <w:basedOn w:val="7"/>
    <w:next w:val="1"/>
    <w:autoRedefine/>
    <w:qFormat/>
    <w:locked/>
    <w:uiPriority w:val="0"/>
    <w:pPr>
      <w:spacing w:after="120" w:line="500" w:lineRule="exact"/>
      <w:ind w:firstLine="420" w:firstLineChars="100"/>
    </w:pPr>
    <w:rPr>
      <w:rFonts w:ascii="Calibri" w:hAnsi="Calibri" w:cs="Times New Roman"/>
      <w:sz w:val="28"/>
    </w:rPr>
  </w:style>
  <w:style w:type="table" w:styleId="24">
    <w:name w:val="Table Grid"/>
    <w:basedOn w:val="23"/>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autoRedefine/>
    <w:qFormat/>
    <w:locked/>
    <w:uiPriority w:val="0"/>
    <w:rPr>
      <w:b/>
    </w:rPr>
  </w:style>
  <w:style w:type="character" w:styleId="27">
    <w:name w:val="page number"/>
    <w:autoRedefine/>
    <w:qFormat/>
    <w:locked/>
    <w:uiPriority w:val="0"/>
  </w:style>
  <w:style w:type="character" w:styleId="28">
    <w:name w:val="FollowedHyperlink"/>
    <w:autoRedefine/>
    <w:qFormat/>
    <w:locked/>
    <w:uiPriority w:val="0"/>
    <w:rPr>
      <w:color w:val="800080"/>
      <w:u w:val="none"/>
    </w:rPr>
  </w:style>
  <w:style w:type="character" w:styleId="29">
    <w:name w:val="Emphasis"/>
    <w:autoRedefine/>
    <w:qFormat/>
    <w:locked/>
    <w:uiPriority w:val="0"/>
  </w:style>
  <w:style w:type="character" w:styleId="30">
    <w:name w:val="Hyperlink"/>
    <w:autoRedefine/>
    <w:qFormat/>
    <w:locked/>
    <w:uiPriority w:val="0"/>
    <w:rPr>
      <w:color w:val="0000FF"/>
      <w:u w:val="none"/>
    </w:rPr>
  </w:style>
  <w:style w:type="character" w:styleId="31">
    <w:name w:val="annotation reference"/>
    <w:autoRedefine/>
    <w:semiHidden/>
    <w:qFormat/>
    <w:uiPriority w:val="0"/>
    <w:rPr>
      <w:sz w:val="21"/>
    </w:rPr>
  </w:style>
  <w:style w:type="character" w:customStyle="1" w:styleId="32">
    <w:name w:val="正文文本 字符"/>
    <w:link w:val="7"/>
    <w:autoRedefine/>
    <w:qFormat/>
    <w:locked/>
    <w:uiPriority w:val="0"/>
    <w:rPr>
      <w:sz w:val="18"/>
    </w:rPr>
  </w:style>
  <w:style w:type="character" w:customStyle="1" w:styleId="33">
    <w:name w:val="批注文字 字符"/>
    <w:link w:val="6"/>
    <w:autoRedefine/>
    <w:qFormat/>
    <w:locked/>
    <w:uiPriority w:val="0"/>
    <w:rPr>
      <w:rFonts w:ascii="Times New Roman" w:hAnsi="Times New Roman" w:eastAsia="宋体"/>
      <w:sz w:val="24"/>
    </w:rPr>
  </w:style>
  <w:style w:type="character" w:customStyle="1" w:styleId="34">
    <w:name w:val="正文文本缩进 字符"/>
    <w:link w:val="8"/>
    <w:autoRedefine/>
    <w:semiHidden/>
    <w:qFormat/>
    <w:locked/>
    <w:uiPriority w:val="0"/>
    <w:rPr>
      <w:rFonts w:ascii="Times New Roman" w:hAnsi="Times New Roman" w:eastAsia="宋体"/>
      <w:sz w:val="24"/>
    </w:rPr>
  </w:style>
  <w:style w:type="character" w:customStyle="1" w:styleId="35">
    <w:name w:val="日期 字符1"/>
    <w:link w:val="13"/>
    <w:autoRedefine/>
    <w:qFormat/>
    <w:locked/>
    <w:uiPriority w:val="0"/>
    <w:rPr>
      <w:rFonts w:ascii="Times New Roman" w:hAnsi="Times New Roman" w:eastAsia="宋体"/>
      <w:sz w:val="24"/>
    </w:rPr>
  </w:style>
  <w:style w:type="character" w:customStyle="1" w:styleId="36">
    <w:name w:val="批注框文本 字符"/>
    <w:link w:val="15"/>
    <w:autoRedefine/>
    <w:semiHidden/>
    <w:qFormat/>
    <w:locked/>
    <w:uiPriority w:val="0"/>
    <w:rPr>
      <w:rFonts w:ascii="Times New Roman" w:hAnsi="Times New Roman" w:eastAsia="宋体"/>
      <w:sz w:val="18"/>
    </w:rPr>
  </w:style>
  <w:style w:type="character" w:customStyle="1" w:styleId="37">
    <w:name w:val="页脚 字符1"/>
    <w:link w:val="16"/>
    <w:autoRedefine/>
    <w:qFormat/>
    <w:locked/>
    <w:uiPriority w:val="99"/>
    <w:rPr>
      <w:sz w:val="18"/>
    </w:rPr>
  </w:style>
  <w:style w:type="character" w:customStyle="1" w:styleId="38">
    <w:name w:val="页眉 字符"/>
    <w:link w:val="17"/>
    <w:autoRedefine/>
    <w:qFormat/>
    <w:locked/>
    <w:uiPriority w:val="0"/>
    <w:rPr>
      <w:sz w:val="18"/>
    </w:rPr>
  </w:style>
  <w:style w:type="character" w:customStyle="1" w:styleId="39">
    <w:name w:val="普通(网站) 字符"/>
    <w:link w:val="20"/>
    <w:autoRedefine/>
    <w:qFormat/>
    <w:locked/>
    <w:uiPriority w:val="0"/>
    <w:rPr>
      <w:rFonts w:ascii="宋体" w:hAnsi="宋体" w:eastAsia="宋体"/>
      <w:sz w:val="24"/>
    </w:rPr>
  </w:style>
  <w:style w:type="character" w:customStyle="1" w:styleId="40">
    <w:name w:val="批注主题 字符"/>
    <w:link w:val="21"/>
    <w:autoRedefine/>
    <w:semiHidden/>
    <w:qFormat/>
    <w:locked/>
    <w:uiPriority w:val="0"/>
    <w:rPr>
      <w:rFonts w:ascii="Times New Roman" w:hAnsi="Times New Roman" w:eastAsia="宋体"/>
      <w:b/>
      <w:kern w:val="2"/>
      <w:sz w:val="24"/>
    </w:rPr>
  </w:style>
  <w:style w:type="character" w:customStyle="1" w:styleId="41">
    <w:name w:val="批注文字 字符1"/>
    <w:autoRedefine/>
    <w:semiHidden/>
    <w:qFormat/>
    <w:uiPriority w:val="0"/>
    <w:rPr>
      <w:rFonts w:ascii="Times New Roman" w:hAnsi="Times New Roman" w:eastAsia="宋体"/>
      <w:sz w:val="24"/>
    </w:rPr>
  </w:style>
  <w:style w:type="character" w:customStyle="1" w:styleId="42">
    <w:name w:val="日期 字符"/>
    <w:autoRedefine/>
    <w:semiHidden/>
    <w:qFormat/>
    <w:uiPriority w:val="0"/>
    <w:rPr>
      <w:rFonts w:ascii="Times New Roman" w:hAnsi="Times New Roman" w:eastAsia="宋体"/>
      <w:sz w:val="24"/>
    </w:rPr>
  </w:style>
  <w:style w:type="character" w:customStyle="1" w:styleId="43">
    <w:name w:val="页脚 字符"/>
    <w:autoRedefine/>
    <w:qFormat/>
    <w:uiPriority w:val="99"/>
  </w:style>
  <w:style w:type="character" w:customStyle="1" w:styleId="44">
    <w:name w:val="正文文本 字符1"/>
    <w:autoRedefine/>
    <w:semiHidden/>
    <w:qFormat/>
    <w:uiPriority w:val="0"/>
    <w:rPr>
      <w:rFonts w:ascii="Times New Roman" w:hAnsi="Times New Roman" w:eastAsia="宋体"/>
      <w:sz w:val="24"/>
    </w:rPr>
  </w:style>
  <w:style w:type="character" w:customStyle="1" w:styleId="45">
    <w:name w:val="表格 Char"/>
    <w:link w:val="46"/>
    <w:autoRedefine/>
    <w:qFormat/>
    <w:locked/>
    <w:uiPriority w:val="0"/>
    <w:rPr>
      <w:rFonts w:ascii="宋体"/>
      <w:sz w:val="21"/>
    </w:rPr>
  </w:style>
  <w:style w:type="paragraph" w:customStyle="1" w:styleId="46">
    <w:name w:val="表格"/>
    <w:basedOn w:val="1"/>
    <w:next w:val="1"/>
    <w:link w:val="45"/>
    <w:autoRedefine/>
    <w:qFormat/>
    <w:uiPriority w:val="0"/>
    <w:pPr>
      <w:adjustRightInd w:val="0"/>
      <w:snapToGrid w:val="0"/>
      <w:spacing w:beforeLines="10" w:afterLines="10" w:line="259" w:lineRule="auto"/>
      <w:jc w:val="center"/>
    </w:pPr>
    <w:rPr>
      <w:rFonts w:ascii="宋体"/>
      <w:kern w:val="0"/>
      <w:szCs w:val="20"/>
    </w:rPr>
  </w:style>
  <w:style w:type="paragraph" w:customStyle="1" w:styleId="47">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8">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49">
    <w:name w:val="标题2"/>
    <w:basedOn w:val="3"/>
    <w:autoRedefine/>
    <w:qFormat/>
    <w:uiPriority w:val="0"/>
    <w:pPr>
      <w:keepLines w:val="0"/>
      <w:tabs>
        <w:tab w:val="left" w:pos="420"/>
      </w:tabs>
      <w:adjustRightInd w:val="0"/>
      <w:snapToGrid w:val="0"/>
      <w:spacing w:before="0" w:after="0" w:line="360" w:lineRule="auto"/>
    </w:pPr>
    <w:rPr>
      <w:rFonts w:ascii="黑体" w:hAnsi="Times New Roman"/>
      <w:snapToGrid w:val="0"/>
      <w:kern w:val="0"/>
      <w:sz w:val="24"/>
      <w:szCs w:val="20"/>
    </w:rPr>
  </w:style>
  <w:style w:type="table" w:customStyle="1" w:styleId="50">
    <w:name w:val="Table Normal"/>
    <w:autoRedefine/>
    <w:unhideWhenUsed/>
    <w:qFormat/>
    <w:uiPriority w:val="0"/>
    <w:rPr>
      <w:lang w:val="en-US" w:eastAsia="zh-CN" w:bidi="ar-SA"/>
    </w:rPr>
    <w:tblPr>
      <w:tblCellMar>
        <w:top w:w="0" w:type="dxa"/>
        <w:left w:w="0" w:type="dxa"/>
        <w:bottom w:w="0" w:type="dxa"/>
        <w:right w:w="0" w:type="dxa"/>
      </w:tblCellMar>
    </w:tblPr>
  </w:style>
  <w:style w:type="paragraph" w:customStyle="1" w:styleId="51">
    <w:name w:val="表格标题"/>
    <w:basedOn w:val="22"/>
    <w:next w:val="52"/>
    <w:autoRedefine/>
    <w:qFormat/>
    <w:uiPriority w:val="0"/>
    <w:pPr>
      <w:adjustRightInd w:val="0"/>
      <w:snapToGrid w:val="0"/>
      <w:spacing w:line="480" w:lineRule="exact"/>
      <w:jc w:val="center"/>
    </w:pPr>
    <w:rPr>
      <w:rFonts w:eastAsia="黑体"/>
      <w:b/>
      <w:snapToGrid w:val="0"/>
      <w:kern w:val="0"/>
      <w:sz w:val="24"/>
    </w:rPr>
  </w:style>
  <w:style w:type="paragraph" w:customStyle="1" w:styleId="52">
    <w:name w:val="表格内容"/>
    <w:basedOn w:val="51"/>
    <w:next w:val="1"/>
    <w:qFormat/>
    <w:uiPriority w:val="0"/>
    <w:pPr>
      <w:framePr w:wrap="around" w:vAnchor="margin" w:hAnchor="text" w:y="1"/>
      <w:spacing w:line="240" w:lineRule="atLeast"/>
    </w:pPr>
    <w:rPr>
      <w:rFonts w:eastAsia="宋体"/>
      <w:sz w:val="21"/>
    </w:rPr>
  </w:style>
  <w:style w:type="paragraph" w:customStyle="1" w:styleId="53">
    <w:name w:val="样式3"/>
    <w:basedOn w:val="1"/>
    <w:next w:val="54"/>
    <w:autoRedefine/>
    <w:qFormat/>
    <w:uiPriority w:val="0"/>
    <w:pPr>
      <w:spacing w:line="460" w:lineRule="exact"/>
      <w:ind w:left="210"/>
    </w:pPr>
    <w:rPr>
      <w:rFonts w:ascii="Times New Roman" w:hAnsi="Times New Roman"/>
      <w:spacing w:val="0"/>
      <w:sz w:val="24"/>
      <w:szCs w:val="24"/>
    </w:rPr>
  </w:style>
  <w:style w:type="paragraph" w:customStyle="1" w:styleId="54">
    <w:name w:val="目录 53"/>
    <w:basedOn w:val="1"/>
    <w:next w:val="1"/>
    <w:autoRedefine/>
    <w:qFormat/>
    <w:uiPriority w:val="0"/>
    <w:pPr>
      <w:ind w:left="840"/>
    </w:pPr>
    <w:rPr>
      <w:rFonts w:cs="宋体"/>
      <w:color w:val="000000"/>
    </w:rPr>
  </w:style>
  <w:style w:type="paragraph" w:customStyle="1" w:styleId="55">
    <w:name w:val="Default"/>
    <w:basedOn w:val="49"/>
    <w:next w:val="53"/>
    <w:autoRedefine/>
    <w:qFormat/>
    <w:uiPriority w:val="99"/>
    <w:pPr>
      <w:widowControl w:val="0"/>
      <w:autoSpaceDE w:val="0"/>
      <w:autoSpaceDN w:val="0"/>
      <w:adjustRightInd w:val="0"/>
    </w:pPr>
    <w:rPr>
      <w:rFonts w:ascii="黑体" w:eastAsia="黑体"/>
      <w:color w:val="000000"/>
      <w:sz w:val="24"/>
      <w:szCs w:val="24"/>
      <w:lang w:val="en-US" w:eastAsia="zh-CN" w:bidi="ar-SA"/>
    </w:rPr>
  </w:style>
  <w:style w:type="paragraph" w:customStyle="1" w:styleId="56">
    <w:name w:val="Table Paragraph"/>
    <w:basedOn w:val="1"/>
    <w:autoRedefine/>
    <w:qFormat/>
    <w:uiPriority w:val="1"/>
    <w:rPr>
      <w:rFonts w:ascii="宋体" w:hAnsi="宋体" w:eastAsia="宋体" w:cs="宋体"/>
      <w:lang w:val="zh-CN" w:eastAsia="zh-CN" w:bidi="zh-CN"/>
    </w:rPr>
  </w:style>
  <w:style w:type="character" w:customStyle="1" w:styleId="57">
    <w:name w:val="font11"/>
    <w:basedOn w:val="25"/>
    <w:autoRedefine/>
    <w:qFormat/>
    <w:uiPriority w:val="0"/>
    <w:rPr>
      <w:rFonts w:hint="eastAsia" w:ascii="宋体" w:hAnsi="宋体" w:eastAsia="宋体" w:cs="宋体"/>
      <w:color w:val="000000"/>
      <w:sz w:val="21"/>
      <w:szCs w:val="21"/>
      <w:u w:val="none"/>
    </w:rPr>
  </w:style>
  <w:style w:type="character" w:customStyle="1" w:styleId="58">
    <w:name w:val="font31"/>
    <w:basedOn w:val="25"/>
    <w:autoRedefine/>
    <w:qFormat/>
    <w:uiPriority w:val="0"/>
    <w:rPr>
      <w:rFonts w:hint="eastAsia" w:ascii="宋体" w:hAnsi="宋体" w:eastAsia="宋体" w:cs="宋体"/>
      <w:color w:val="000000"/>
      <w:sz w:val="22"/>
      <w:szCs w:val="22"/>
      <w:u w:val="none"/>
    </w:rPr>
  </w:style>
  <w:style w:type="paragraph" w:customStyle="1" w:styleId="59">
    <w:name w:val="1表格"/>
    <w:basedOn w:val="1"/>
    <w:autoRedefine/>
    <w:qFormat/>
    <w:uiPriority w:val="0"/>
    <w:pPr>
      <w:snapToGrid w:val="0"/>
      <w:spacing w:line="360" w:lineRule="atLeast"/>
      <w:jc w:val="center"/>
    </w:pPr>
    <w:rPr>
      <w:rFonts w:eastAsia="Times New Roman"/>
      <w:szCs w:val="20"/>
    </w:rPr>
  </w:style>
  <w:style w:type="paragraph" w:customStyle="1" w:styleId="60">
    <w:name w:val="正文（首行缩进） Char"/>
    <w:basedOn w:val="1"/>
    <w:autoRedefine/>
    <w:qFormat/>
    <w:uiPriority w:val="0"/>
    <w:pPr>
      <w:widowControl/>
      <w:overflowPunct w:val="0"/>
      <w:topLinePunct/>
      <w:autoSpaceDE w:val="0"/>
      <w:autoSpaceDN w:val="0"/>
      <w:adjustRightInd w:val="0"/>
      <w:snapToGrid w:val="0"/>
      <w:spacing w:line="360" w:lineRule="auto"/>
      <w:ind w:firstLine="480" w:firstLineChars="200"/>
      <w:textAlignment w:val="baseline"/>
    </w:pPr>
    <w:rPr>
      <w:snapToGrid w:val="0"/>
      <w:kern w:val="0"/>
      <w:sz w:val="24"/>
      <w:szCs w:val="24"/>
    </w:rPr>
  </w:style>
  <w:style w:type="character" w:customStyle="1" w:styleId="61">
    <w:name w:val="znspantitle"/>
    <w:autoRedefine/>
    <w:qFormat/>
    <w:uiPriority w:val="0"/>
    <w:rPr>
      <w:b/>
      <w:bCs/>
      <w:color w:val="333333"/>
    </w:rPr>
  </w:style>
  <w:style w:type="character" w:customStyle="1" w:styleId="62">
    <w:name w:val="disabled"/>
    <w:autoRedefine/>
    <w:qFormat/>
    <w:uiPriority w:val="0"/>
    <w:rPr>
      <w:vanish/>
    </w:rPr>
  </w:style>
  <w:style w:type="character" w:customStyle="1" w:styleId="63">
    <w:name w:val="font21"/>
    <w:basedOn w:val="25"/>
    <w:autoRedefine/>
    <w:qFormat/>
    <w:uiPriority w:val="0"/>
    <w:rPr>
      <w:rFonts w:hint="eastAsia" w:ascii="宋体" w:hAnsi="宋体" w:eastAsia="宋体" w:cs="宋体"/>
      <w:color w:val="000000"/>
      <w:sz w:val="21"/>
      <w:szCs w:val="21"/>
      <w:u w:val="none"/>
    </w:rPr>
  </w:style>
  <w:style w:type="character" w:customStyle="1" w:styleId="64">
    <w:name w:val="font01"/>
    <w:basedOn w:val="25"/>
    <w:autoRedefine/>
    <w:qFormat/>
    <w:uiPriority w:val="0"/>
    <w:rPr>
      <w:rFonts w:hint="eastAsia" w:ascii="宋体" w:hAnsi="宋体" w:eastAsia="宋体" w:cs="宋体"/>
      <w:color w:val="000000"/>
      <w:sz w:val="21"/>
      <w:szCs w:val="21"/>
      <w:u w:val="none"/>
    </w:rPr>
  </w:style>
  <w:style w:type="character" w:customStyle="1" w:styleId="65">
    <w:name w:val="font61"/>
    <w:basedOn w:val="25"/>
    <w:autoRedefine/>
    <w:qFormat/>
    <w:uiPriority w:val="0"/>
    <w:rPr>
      <w:rFonts w:ascii="Arial" w:hAnsi="Arial" w:cs="Arial"/>
      <w:color w:val="000000"/>
      <w:sz w:val="22"/>
      <w:szCs w:val="22"/>
      <w:u w:val="none"/>
    </w:rPr>
  </w:style>
  <w:style w:type="paragraph" w:customStyle="1" w:styleId="66">
    <w:name w:val="表格内部—常用"/>
    <w:basedOn w:val="1"/>
    <w:next w:val="1"/>
    <w:autoRedefine/>
    <w:qFormat/>
    <w:uiPriority w:val="0"/>
    <w:pPr>
      <w:jc w:val="center"/>
    </w:pPr>
    <w:rPr>
      <w:sz w:val="21"/>
      <w:szCs w:val="21"/>
    </w:rPr>
  </w:style>
  <w:style w:type="paragraph" w:customStyle="1" w:styleId="67">
    <w:name w:val="4正文"/>
    <w:basedOn w:val="1"/>
    <w:autoRedefine/>
    <w:qFormat/>
    <w:uiPriority w:val="0"/>
    <w:pPr>
      <w:spacing w:line="360" w:lineRule="auto"/>
      <w:ind w:firstLine="480" w:firstLineChars="200"/>
    </w:pPr>
    <w:rPr>
      <w:rFonts w:eastAsia="Times New Roman"/>
    </w:rPr>
  </w:style>
  <w:style w:type="paragraph" w:customStyle="1" w:styleId="68">
    <w:name w:val="[1]表格"/>
    <w:basedOn w:val="1"/>
    <w:autoRedefine/>
    <w:qFormat/>
    <w:uiPriority w:val="0"/>
    <w:pPr>
      <w:widowControl/>
      <w:tabs>
        <w:tab w:val="left" w:pos="8773"/>
      </w:tabs>
      <w:autoSpaceDE w:val="0"/>
      <w:autoSpaceDN w:val="0"/>
      <w:adjustRightInd w:val="0"/>
      <w:snapToGrid w:val="0"/>
      <w:spacing w:line="320" w:lineRule="exact"/>
      <w:jc w:val="center"/>
    </w:pPr>
    <w:rPr>
      <w:rFonts w:cs="宋体"/>
      <w:kern w:val="0"/>
      <w:lang w:val="en-GB"/>
    </w:rPr>
  </w:style>
  <w:style w:type="paragraph" w:customStyle="1" w:styleId="69">
    <w:name w:val="Table Text"/>
    <w:basedOn w:val="1"/>
    <w:autoRedefine/>
    <w:semiHidden/>
    <w:qFormat/>
    <w:uiPriority w:val="0"/>
    <w:rPr>
      <w:rFonts w:ascii="宋体" w:hAnsi="宋体" w:eastAsia="宋体" w:cs="宋体"/>
      <w:sz w:val="20"/>
      <w:szCs w:val="20"/>
      <w:lang w:val="en-US" w:eastAsia="en-US" w:bidi="ar-SA"/>
    </w:rPr>
  </w:style>
  <w:style w:type="paragraph" w:customStyle="1" w:styleId="70">
    <w:name w:val="表格正文"/>
    <w:basedOn w:val="1"/>
    <w:qFormat/>
    <w:uiPriority w:val="0"/>
    <w:pPr>
      <w:widowControl/>
      <w:jc w:val="center"/>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9.png"/><Relationship Id="rId34" Type="http://schemas.openxmlformats.org/officeDocument/2006/relationships/image" Target="media/image18.wmf"/><Relationship Id="rId33" Type="http://schemas.openxmlformats.org/officeDocument/2006/relationships/oleObject" Target="embeddings/oleObject7.bin"/><Relationship Id="rId32" Type="http://schemas.openxmlformats.org/officeDocument/2006/relationships/image" Target="media/image17.wmf"/><Relationship Id="rId31" Type="http://schemas.openxmlformats.org/officeDocument/2006/relationships/oleObject" Target="embeddings/oleObject6.bin"/><Relationship Id="rId30" Type="http://schemas.openxmlformats.org/officeDocument/2006/relationships/image" Target="media/image16.wmf"/><Relationship Id="rId3" Type="http://schemas.openxmlformats.org/officeDocument/2006/relationships/footnotes" Target="footnotes.xml"/><Relationship Id="rId29" Type="http://schemas.openxmlformats.org/officeDocument/2006/relationships/oleObject" Target="embeddings/oleObject5.bin"/><Relationship Id="rId28" Type="http://schemas.openxmlformats.org/officeDocument/2006/relationships/image" Target="media/image15.wmf"/><Relationship Id="rId27" Type="http://schemas.openxmlformats.org/officeDocument/2006/relationships/oleObject" Target="embeddings/oleObject4.bin"/><Relationship Id="rId26" Type="http://schemas.openxmlformats.org/officeDocument/2006/relationships/image" Target="media/image14.wmf"/><Relationship Id="rId25" Type="http://schemas.openxmlformats.org/officeDocument/2006/relationships/oleObject" Target="embeddings/oleObject3.bin"/><Relationship Id="rId24" Type="http://schemas.openxmlformats.org/officeDocument/2006/relationships/image" Target="media/image13.wmf"/><Relationship Id="rId23" Type="http://schemas.openxmlformats.org/officeDocument/2006/relationships/oleObject" Target="embeddings/oleObject2.bin"/><Relationship Id="rId22" Type="http://schemas.openxmlformats.org/officeDocument/2006/relationships/image" Target="media/image12.wmf"/><Relationship Id="rId21" Type="http://schemas.openxmlformats.org/officeDocument/2006/relationships/oleObject" Target="embeddings/oleObject1.bin"/><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TA2MjY5NTY2MjM3IiwKCSJHcm91cElkIiA6ICIxMzUzNTE5MTUiLAoJIkltYWdlIiA6ICJpVkJPUncwS0dnb0FBQUFOU1VoRVVnQUFCcVlBQUFhNUNBWUFBQUFwYmJ0QUFBQUFBWE5TUjBJQXJzNGM2UUFBSUFCSlJFRlVlSnpzM1hsMGxlVzVOK0I3SnlGQWlCZzBvQldVUVZBUXdaR3F0QTUxQUk5MlFHMXRyUU5xOGF0VHA2TmlxNjNTQ3JXS0EzNE9SejJlbzNqcWhKVmFiQkhoVktRNHRXb0J0WXFLZ29BU05OWXdDQW1FL1g1L0ZQS3gyWnNRa3JBRGVGMXJaWm4zZnA5cGg1U3V4Vzg5enhNQk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E2UG4rUHowQ1BTMmdHZFU3QUFBQUFFbEZUa1N1UW1DQyIsCgkiVGhlbWUiIDogIiIsCgkiVHlwZSIgOiAiZmxvdyIsCgkiVXNlcklkIiA6ICIyNDAxMDgyNDciLAoJIlZlcnNpb24iIDogIiIKfQo="/>
    </extobj>
    <extobj name="ECB019B1-382A-4266-B25C-5B523AA43C14-2">
      <extobjdata type="ECB019B1-382A-4266-B25C-5B523AA43C14" data="ewoJIkZpbGVJZCIgOiAiNTA2Mjc0Nzg4ODg1IiwKCSJHcm91cElkIiA6ICIxMzUzNTE5MTUiLAoJIkltYWdlIiA6ICJpVkJPUncwS0dnb0FBQUFOU1VoRVVnQUFEVlFBQUFjbUNBWUFBQUJVc3MrQ0FBQUFBWE5TUjBJQXJzNGM2UUFBSUFCSlJFRlVlSnpzM1h1UVZ2VjlQL0RQZVhZWEZySmM1Q1phd0ZVeEsrQnkzelg5Q1Y0NytrdHMweVRhSlBnelpxYTFUUjFITTVsa0VrMWlZckEvYmF5YW1PbTBxWWx0bkRaS3B2N3MyR2lhWWdXZHBBVk1CWUhsSm5KUnhJQVNCVjF1eSs2ZTN4OUlnL0k4enk3TDhseGZyeGtuOEh5KzUzcysvSlAzbnJQUDU1d0l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Q5SS93dHM5VDZPZEhDc293QUFBQUJKUlU1RXJrSmdnZz09IiwKCSJUaGVtZSIgOiAiIiwKCSJUeXBlIiA6ICJmbG93IiwKCSJVc2VySWQiIDogIjI0MDEwODI0NyIsCgkiVmVyc2lvbiIgOiAiNjM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71</Pages>
  <Words>13101</Words>
  <Characters>14741</Characters>
  <Lines>458</Lines>
  <Paragraphs>129</Paragraphs>
  <TotalTime>5</TotalTime>
  <ScaleCrop>false</ScaleCrop>
  <LinksUpToDate>false</LinksUpToDate>
  <CharactersWithSpaces>14851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Administrator</cp:lastModifiedBy>
  <cp:lastPrinted>2020-12-29T02:43:00Z</cp:lastPrinted>
  <dcterms:modified xsi:type="dcterms:W3CDTF">2026-04-11T07:24:37Z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CC3842364D59493BB3F9B5492C1344F0_13</vt:lpwstr>
  </property>
  <property fmtid="{D5CDD505-2E9C-101B-9397-08002B2CF9AE}" pid="4" name="KSOTemplateDocerSaveRecord">
    <vt:lpwstr>eyJoZGlkIjoiZmMwZjU4YTEwM2RhMzEwMzYxNzU2YmRmZmJkMTcyZmYiLCJ1c2VySWQiOiIyNDAxMDgyNDcifQ==</vt:lpwstr>
  </property>
</Properties>
</file>